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line="240" w:lineRule="auto"/>
        <w:ind w:firstLine="562" w:firstLineChars="200"/>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招标编号：SCMX-SC-2024-1071</w:t>
      </w:r>
    </w:p>
    <w:p>
      <w:pPr>
        <w:spacing w:line="240" w:lineRule="auto"/>
        <w:rPr>
          <w:color w:val="auto"/>
          <w:highlight w:val="none"/>
        </w:rPr>
      </w:pPr>
    </w:p>
    <w:p>
      <w:pPr>
        <w:spacing w:line="240" w:lineRule="auto"/>
        <w:rPr>
          <w:color w:val="auto"/>
          <w:highlight w:val="none"/>
        </w:rPr>
      </w:pPr>
    </w:p>
    <w:p>
      <w:pPr>
        <w:spacing w:line="240" w:lineRule="auto"/>
        <w:jc w:val="center"/>
        <w:rPr>
          <w:rFonts w:ascii="宋体" w:hAnsi="宋体" w:eastAsia="宋体" w:cs="宋体"/>
          <w:color w:val="auto"/>
          <w:spacing w:val="16"/>
          <w:sz w:val="47"/>
          <w:szCs w:val="47"/>
          <w:highlight w:val="none"/>
          <w14:textOutline w14:w="8712" w14:cap="sq" w14:cmpd="sng" w14:algn="ctr">
            <w14:solidFill>
              <w14:srgbClr w14:val="000000"/>
            </w14:solidFill>
            <w14:prstDash w14:val="solid"/>
            <w14:bevel/>
          </w14:textOutline>
        </w:rPr>
      </w:pPr>
    </w:p>
    <w:p>
      <w:pPr>
        <w:spacing w:line="240" w:lineRule="auto"/>
        <w:ind w:firstLine="883" w:firstLineChars="200"/>
        <w:jc w:val="center"/>
        <w:rPr>
          <w:rFonts w:hint="eastAsia" w:ascii="宋体" w:hAnsi="宋体" w:eastAsia="宋体" w:cs="宋体"/>
          <w:b/>
          <w:bCs/>
          <w:color w:val="auto"/>
          <w:sz w:val="44"/>
          <w:szCs w:val="44"/>
          <w:highlight w:val="none"/>
          <w:lang w:eastAsia="zh-CN"/>
        </w:rPr>
      </w:pPr>
      <w:r>
        <w:rPr>
          <w:rFonts w:hint="eastAsia" w:ascii="宋体" w:hAnsi="宋体" w:eastAsia="宋体" w:cs="宋体"/>
          <w:b/>
          <w:bCs/>
          <w:color w:val="auto"/>
          <w:sz w:val="44"/>
          <w:szCs w:val="44"/>
          <w:highlight w:val="none"/>
          <w:lang w:eastAsia="zh-CN"/>
        </w:rPr>
        <w:t>成都市技师学院（成都工贸职业技术学院）2024级学生军训服采购项目</w:t>
      </w: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line="240" w:lineRule="auto"/>
        <w:jc w:val="center"/>
        <w:rPr>
          <w:rFonts w:hint="eastAsia" w:eastAsia="宋体"/>
          <w:b/>
          <w:bCs/>
          <w:color w:val="auto"/>
          <w:sz w:val="72"/>
          <w:szCs w:val="72"/>
          <w:highlight w:val="none"/>
          <w:lang w:val="en-US" w:eastAsia="zh-CN"/>
        </w:rPr>
      </w:pPr>
      <w:r>
        <w:rPr>
          <w:rFonts w:hint="eastAsia" w:eastAsia="宋体"/>
          <w:b/>
          <w:bCs/>
          <w:color w:val="auto"/>
          <w:sz w:val="72"/>
          <w:szCs w:val="72"/>
          <w:highlight w:val="none"/>
          <w:lang w:val="en-US" w:eastAsia="zh-CN"/>
        </w:rPr>
        <w:t>招标文件</w:t>
      </w: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line="240" w:lineRule="auto"/>
        <w:ind w:firstLine="562" w:firstLineChars="200"/>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四川</w:t>
      </w:r>
      <w:r>
        <w:rPr>
          <w:rFonts w:hint="eastAsia" w:ascii="宋体" w:hAnsi="宋体" w:eastAsia="宋体" w:cs="宋体"/>
          <w:b/>
          <w:bCs/>
          <w:color w:val="auto"/>
          <w:sz w:val="28"/>
          <w:szCs w:val="28"/>
          <w:highlight w:val="none"/>
        </w:rPr>
        <w:t xml:space="preserve"> · </w:t>
      </w:r>
      <w:r>
        <w:rPr>
          <w:rFonts w:hint="eastAsia" w:ascii="宋体" w:hAnsi="宋体" w:eastAsia="宋体" w:cs="宋体"/>
          <w:b/>
          <w:bCs/>
          <w:color w:val="auto"/>
          <w:sz w:val="28"/>
          <w:szCs w:val="28"/>
          <w:highlight w:val="none"/>
          <w:lang w:eastAsia="zh-CN"/>
        </w:rPr>
        <w:t>成都</w:t>
      </w:r>
    </w:p>
    <w:p>
      <w:pPr>
        <w:spacing w:line="240" w:lineRule="auto"/>
        <w:ind w:firstLine="3168" w:firstLineChars="1127"/>
        <w:jc w:val="both"/>
        <w:rPr>
          <w:rFonts w:hint="eastAsia" w:ascii="宋体" w:hAnsi="宋体" w:eastAsia="宋体" w:cs="宋体"/>
          <w:b/>
          <w:bCs/>
          <w:color w:val="auto"/>
          <w:sz w:val="28"/>
          <w:szCs w:val="28"/>
          <w:highlight w:val="none"/>
          <w:lang w:eastAsia="zh-CN"/>
        </w:rPr>
      </w:pPr>
      <w:bookmarkStart w:id="0" w:name="_Toc21667"/>
      <w:r>
        <w:rPr>
          <w:rFonts w:hint="eastAsia" w:ascii="宋体" w:hAnsi="宋体" w:eastAsia="宋体" w:cs="宋体"/>
          <w:b/>
          <w:bCs/>
          <w:color w:val="auto"/>
          <w:sz w:val="28"/>
          <w:szCs w:val="28"/>
          <w:highlight w:val="none"/>
        </w:rPr>
        <w:t>招标人：</w:t>
      </w:r>
      <w:bookmarkEnd w:id="0"/>
      <w:r>
        <w:rPr>
          <w:rFonts w:hint="eastAsia" w:ascii="宋体" w:hAnsi="宋体" w:eastAsia="宋体" w:cs="宋体"/>
          <w:b/>
          <w:bCs/>
          <w:color w:val="auto"/>
          <w:sz w:val="28"/>
          <w:szCs w:val="28"/>
          <w:highlight w:val="none"/>
          <w:lang w:eastAsia="zh-CN"/>
        </w:rPr>
        <w:t>成都市技师学院</w:t>
      </w:r>
      <w:r>
        <w:rPr>
          <w:rFonts w:hint="eastAsia" w:ascii="仿宋_GB2312" w:hAnsi="仿宋_GB2312" w:eastAsia="仿宋_GB2312" w:cs="仿宋_GB2312"/>
          <w:bCs/>
          <w:szCs w:val="32"/>
          <w:u w:val="single"/>
        </w:rPr>
        <w:t>（成都工贸职业技术学院</w:t>
      </w:r>
      <w:r>
        <w:rPr>
          <w:rFonts w:hint="eastAsia" w:ascii="仿宋_GB2312" w:hAnsi="仿宋_GB2312" w:eastAsia="仿宋_GB2312" w:cs="仿宋_GB2312"/>
          <w:bCs/>
          <w:szCs w:val="32"/>
          <w:u w:val="single"/>
          <w:lang w:eastAsia="zh-CN"/>
        </w:rPr>
        <w:t>）</w:t>
      </w:r>
    </w:p>
    <w:p>
      <w:pPr>
        <w:spacing w:line="240" w:lineRule="auto"/>
        <w:jc w:val="center"/>
        <w:rPr>
          <w:rFonts w:hint="default" w:ascii="宋体" w:hAnsi="宋体" w:eastAsia="宋体" w:cs="宋体"/>
          <w:b/>
          <w:bCs/>
          <w:color w:val="auto"/>
          <w:sz w:val="28"/>
          <w:szCs w:val="28"/>
          <w:highlight w:val="none"/>
          <w:lang w:val="en-US" w:eastAsia="zh-CN"/>
        </w:rPr>
      </w:pPr>
      <w:bookmarkStart w:id="1" w:name="_Toc8024"/>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招标代理机构：</w:t>
      </w:r>
      <w:bookmarkEnd w:id="1"/>
      <w:r>
        <w:rPr>
          <w:rFonts w:hint="eastAsia" w:ascii="宋体" w:hAnsi="宋体" w:eastAsia="宋体" w:cs="宋体"/>
          <w:b/>
          <w:bCs/>
          <w:color w:val="auto"/>
          <w:sz w:val="28"/>
          <w:szCs w:val="28"/>
          <w:highlight w:val="none"/>
          <w:lang w:val="en-US" w:eastAsia="zh-CN"/>
        </w:rPr>
        <w:t>四川铭信工程招标咨询有限公司</w:t>
      </w:r>
    </w:p>
    <w:p>
      <w:pPr>
        <w:spacing w:line="240" w:lineRule="auto"/>
        <w:ind w:firstLine="562" w:firstLineChars="200"/>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共同编制</w:t>
      </w:r>
    </w:p>
    <w:p>
      <w:pPr>
        <w:spacing w:line="240" w:lineRule="auto"/>
        <w:ind w:firstLine="562" w:firstLineChars="200"/>
        <w:jc w:val="center"/>
        <w:rPr>
          <w:color w:val="auto"/>
          <w:highlight w:val="none"/>
        </w:rPr>
      </w:pPr>
      <w:r>
        <w:rPr>
          <w:rFonts w:hint="eastAsia" w:ascii="宋体" w:hAnsi="宋体" w:eastAsia="宋体" w:cs="宋体"/>
          <w:b/>
          <w:bCs/>
          <w:color w:val="auto"/>
          <w:sz w:val="28"/>
          <w:szCs w:val="28"/>
          <w:highlight w:val="none"/>
        </w:rPr>
        <w:t>202</w:t>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lang w:val="en-US" w:eastAsia="zh-CN"/>
        </w:rPr>
        <w:t>6</w:t>
      </w:r>
      <w:r>
        <w:rPr>
          <w:rFonts w:hint="eastAsia" w:ascii="宋体" w:hAnsi="宋体" w:eastAsia="宋体" w:cs="宋体"/>
          <w:b/>
          <w:bCs/>
          <w:color w:val="auto"/>
          <w:sz w:val="28"/>
          <w:szCs w:val="28"/>
          <w:highlight w:val="none"/>
        </w:rPr>
        <w:t>月</w:t>
      </w:r>
    </w:p>
    <w:p>
      <w:pPr>
        <w:spacing w:line="240" w:lineRule="auto"/>
        <w:rPr>
          <w:color w:val="auto"/>
          <w:highlight w:val="none"/>
        </w:rPr>
      </w:pPr>
    </w:p>
    <w:sdt>
      <w:sdtPr>
        <w:rPr>
          <w:rFonts w:ascii="宋体" w:hAnsi="宋体" w:eastAsia="宋体"/>
          <w:color w:val="auto"/>
          <w:sz w:val="36"/>
          <w:szCs w:val="36"/>
          <w:highlight w:val="none"/>
        </w:rPr>
        <w:id w:val="147468591"/>
        <w15:color w:val="DBDBDB"/>
        <w:docPartObj>
          <w:docPartGallery w:val="Table of Contents"/>
          <w:docPartUnique/>
        </w:docPartObj>
      </w:sdtPr>
      <w:sdtEndPr>
        <w:rPr>
          <w:rFonts w:ascii="Arial" w:hAnsi="Arial" w:eastAsia="Arial"/>
          <w:color w:val="auto"/>
          <w:sz w:val="21"/>
          <w:szCs w:val="21"/>
          <w:highlight w:val="none"/>
        </w:rPr>
      </w:sdtEndPr>
      <w:sdtContent>
        <w:p>
          <w:pPr>
            <w:spacing w:line="240" w:lineRule="auto"/>
            <w:jc w:val="center"/>
            <w:rPr>
              <w:rFonts w:ascii="宋体" w:hAnsi="宋体" w:eastAsia="宋体"/>
              <w:color w:val="auto"/>
              <w:sz w:val="36"/>
              <w:szCs w:val="36"/>
              <w:highlight w:val="none"/>
            </w:rPr>
          </w:pPr>
        </w:p>
        <w:p>
          <w:pPr>
            <w:spacing w:line="240" w:lineRule="auto"/>
            <w:rPr>
              <w:rFonts w:ascii="宋体" w:hAnsi="宋体" w:eastAsia="宋体"/>
              <w:color w:val="auto"/>
              <w:sz w:val="36"/>
              <w:szCs w:val="36"/>
              <w:highlight w:val="none"/>
            </w:rPr>
          </w:pPr>
          <w:r>
            <w:rPr>
              <w:rFonts w:ascii="宋体" w:hAnsi="宋体" w:eastAsia="宋体"/>
              <w:color w:val="auto"/>
              <w:sz w:val="36"/>
              <w:szCs w:val="36"/>
              <w:highlight w:val="none"/>
            </w:rPr>
            <w:br w:type="page"/>
          </w:r>
        </w:p>
        <w:p>
          <w:pPr>
            <w:spacing w:line="240" w:lineRule="auto"/>
            <w:jc w:val="center"/>
            <w:rPr>
              <w:color w:val="auto"/>
              <w:sz w:val="36"/>
              <w:szCs w:val="36"/>
              <w:highlight w:val="none"/>
            </w:rPr>
          </w:pPr>
          <w:r>
            <w:rPr>
              <w:rFonts w:ascii="宋体" w:hAnsi="宋体" w:eastAsia="宋体"/>
              <w:color w:val="auto"/>
              <w:sz w:val="36"/>
              <w:szCs w:val="36"/>
              <w:highlight w:val="none"/>
            </w:rPr>
            <w:t>目</w:t>
          </w:r>
          <w:r>
            <w:rPr>
              <w:rFonts w:hint="eastAsia" w:ascii="宋体" w:hAnsi="宋体" w:eastAsia="宋体"/>
              <w:color w:val="auto"/>
              <w:sz w:val="36"/>
              <w:szCs w:val="36"/>
              <w:highlight w:val="none"/>
            </w:rPr>
            <w:t xml:space="preserve">  </w:t>
          </w:r>
          <w:r>
            <w:rPr>
              <w:rFonts w:ascii="宋体" w:hAnsi="宋体" w:eastAsia="宋体"/>
              <w:color w:val="auto"/>
              <w:sz w:val="36"/>
              <w:szCs w:val="36"/>
              <w:highlight w:val="none"/>
            </w:rPr>
            <w:t>录</w:t>
          </w:r>
        </w:p>
        <w:p>
          <w:pPr>
            <w:pStyle w:val="13"/>
            <w:tabs>
              <w:tab w:val="right" w:leader="dot" w:pos="9071"/>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_Toc3463 </w:instrText>
          </w:r>
          <w:r>
            <w:rPr>
              <w:highlight w:val="none"/>
            </w:rPr>
            <w:fldChar w:fldCharType="separate"/>
          </w:r>
          <w:r>
            <w:rPr>
              <w:rFonts w:hint="eastAsia" w:ascii="宋体" w:hAnsi="宋体" w:eastAsia="宋体" w:cs="宋体"/>
              <w:spacing w:val="11"/>
              <w:szCs w:val="36"/>
              <w:highlight w:val="none"/>
              <w14:textOutline w14:w="6540" w14:cap="sq" w14:cmpd="sng" w14:algn="ctr">
                <w14:solidFill>
                  <w14:srgbClr w14:val="000000"/>
                </w14:solidFill>
                <w14:prstDash w14:val="solid"/>
                <w14:bevel/>
              </w14:textOutline>
            </w:rPr>
            <w:t>第</w:t>
          </w:r>
          <w:r>
            <w:rPr>
              <w:rFonts w:hint="eastAsia" w:ascii="宋体" w:hAnsi="宋体" w:eastAsia="宋体" w:cs="宋体"/>
              <w:spacing w:val="8"/>
              <w:szCs w:val="36"/>
              <w:highlight w:val="none"/>
              <w14:textOutline w14:w="6540" w14:cap="sq" w14:cmpd="sng" w14:algn="ctr">
                <w14:solidFill>
                  <w14:srgbClr w14:val="000000"/>
                </w14:solidFill>
                <w14:prstDash w14:val="solid"/>
                <w14:bevel/>
              </w14:textOutline>
            </w:rPr>
            <w:t>一章</w:t>
          </w:r>
          <w:r>
            <w:rPr>
              <w:rFonts w:hint="eastAsia" w:ascii="宋体" w:hAnsi="宋体" w:eastAsia="宋体" w:cs="宋体"/>
              <w:spacing w:val="8"/>
              <w:szCs w:val="36"/>
              <w:highlight w:val="none"/>
            </w:rPr>
            <w:t xml:space="preserve">  </w:t>
          </w:r>
          <w:r>
            <w:rPr>
              <w:rFonts w:hint="eastAsia" w:ascii="宋体" w:hAnsi="宋体" w:eastAsia="宋体" w:cs="宋体"/>
              <w:spacing w:val="8"/>
              <w:szCs w:val="36"/>
              <w:highlight w:val="none"/>
              <w14:textOutline w14:w="6540" w14:cap="sq" w14:cmpd="sng" w14:algn="ctr">
                <w14:solidFill>
                  <w14:srgbClr w14:val="000000"/>
                </w14:solidFill>
                <w14:prstDash w14:val="solid"/>
                <w14:bevel/>
              </w14:textOutline>
            </w:rPr>
            <w:t>投标邀请</w:t>
          </w:r>
          <w:r>
            <w:tab/>
          </w:r>
          <w:r>
            <w:fldChar w:fldCharType="begin"/>
          </w:r>
          <w:r>
            <w:instrText xml:space="preserve"> PAGEREF _Toc3463 \h </w:instrText>
          </w:r>
          <w:r>
            <w:fldChar w:fldCharType="separate"/>
          </w:r>
          <w:r>
            <w:t>3</w:t>
          </w:r>
          <w:r>
            <w:fldChar w:fldCharType="end"/>
          </w:r>
          <w:r>
            <w:rPr>
              <w:color w:val="auto"/>
              <w:highlight w:val="none"/>
            </w:rPr>
            <w:fldChar w:fldCharType="end"/>
          </w:r>
        </w:p>
        <w:p>
          <w:pPr>
            <w:pStyle w:val="13"/>
            <w:tabs>
              <w:tab w:val="right" w:leader="dot" w:pos="9071"/>
            </w:tabs>
          </w:pPr>
          <w:r>
            <w:rPr>
              <w:color w:val="auto"/>
              <w:highlight w:val="none"/>
            </w:rPr>
            <w:fldChar w:fldCharType="begin"/>
          </w:r>
          <w:r>
            <w:rPr>
              <w:highlight w:val="none"/>
            </w:rPr>
            <w:instrText xml:space="preserve"> HYPERLINK \l _Toc2059 </w:instrText>
          </w:r>
          <w:r>
            <w:rPr>
              <w:highlight w:val="none"/>
            </w:rPr>
            <w:fldChar w:fldCharType="separate"/>
          </w:r>
          <w:r>
            <w:rPr>
              <w:rFonts w:hint="eastAsia" w:ascii="宋体" w:hAnsi="宋体" w:eastAsia="宋体" w:cs="宋体"/>
              <w:spacing w:val="11"/>
              <w:szCs w:val="36"/>
              <w:highlight w:val="none"/>
              <w14:textOutline w14:w="6540" w14:cap="sq" w14:cmpd="sng" w14:algn="ctr">
                <w14:solidFill>
                  <w14:srgbClr w14:val="000000"/>
                </w14:solidFill>
                <w14:prstDash w14:val="solid"/>
                <w14:bevel/>
              </w14:textOutline>
            </w:rPr>
            <w:t>第二章  投标人须知</w:t>
          </w:r>
          <w:r>
            <w:tab/>
          </w:r>
          <w:r>
            <w:fldChar w:fldCharType="begin"/>
          </w:r>
          <w:r>
            <w:instrText xml:space="preserve"> PAGEREF _Toc2059 \h </w:instrText>
          </w:r>
          <w:r>
            <w:fldChar w:fldCharType="separate"/>
          </w:r>
          <w:r>
            <w:t>5</w:t>
          </w:r>
          <w:r>
            <w:fldChar w:fldCharType="end"/>
          </w:r>
          <w:r>
            <w:rPr>
              <w:color w:val="auto"/>
              <w:highlight w:val="none"/>
            </w:rPr>
            <w:fldChar w:fldCharType="end"/>
          </w:r>
        </w:p>
        <w:p>
          <w:pPr>
            <w:pStyle w:val="14"/>
            <w:tabs>
              <w:tab w:val="right" w:leader="dot" w:pos="9071"/>
            </w:tabs>
          </w:pPr>
          <w:r>
            <w:rPr>
              <w:color w:val="auto"/>
              <w:highlight w:val="none"/>
            </w:rPr>
            <w:fldChar w:fldCharType="begin"/>
          </w:r>
          <w:r>
            <w:rPr>
              <w:highlight w:val="none"/>
            </w:rPr>
            <w:instrText xml:space="preserve"> HYPERLINK \l _Toc30521 </w:instrText>
          </w:r>
          <w:r>
            <w:rPr>
              <w:highlight w:val="none"/>
            </w:rPr>
            <w:fldChar w:fldCharType="separate"/>
          </w:r>
          <w:r>
            <w:rPr>
              <w:rFonts w:hint="eastAsia" w:ascii="宋体" w:hAnsi="宋体" w:eastAsia="宋体" w:cs="宋体"/>
              <w:bCs/>
              <w:szCs w:val="31"/>
              <w:highlight w:val="none"/>
            </w:rPr>
            <w:t>一、投标人须知附表</w:t>
          </w:r>
          <w:r>
            <w:tab/>
          </w:r>
          <w:r>
            <w:fldChar w:fldCharType="begin"/>
          </w:r>
          <w:r>
            <w:instrText xml:space="preserve"> PAGEREF _Toc30521 \h </w:instrText>
          </w:r>
          <w:r>
            <w:fldChar w:fldCharType="separate"/>
          </w:r>
          <w:r>
            <w:t>5</w:t>
          </w:r>
          <w:r>
            <w:fldChar w:fldCharType="end"/>
          </w:r>
          <w:r>
            <w:rPr>
              <w:color w:val="auto"/>
              <w:highlight w:val="none"/>
            </w:rPr>
            <w:fldChar w:fldCharType="end"/>
          </w:r>
        </w:p>
        <w:p>
          <w:pPr>
            <w:pStyle w:val="14"/>
            <w:tabs>
              <w:tab w:val="right" w:leader="dot" w:pos="9071"/>
            </w:tabs>
          </w:pPr>
          <w:r>
            <w:rPr>
              <w:color w:val="auto"/>
              <w:highlight w:val="none"/>
            </w:rPr>
            <w:fldChar w:fldCharType="begin"/>
          </w:r>
          <w:r>
            <w:rPr>
              <w:highlight w:val="none"/>
            </w:rPr>
            <w:instrText xml:space="preserve"> HYPERLINK \l _Toc12017 </w:instrText>
          </w:r>
          <w:r>
            <w:rPr>
              <w:highlight w:val="none"/>
            </w:rPr>
            <w:fldChar w:fldCharType="separate"/>
          </w:r>
          <w:r>
            <w:rPr>
              <w:rFonts w:hint="eastAsia" w:ascii="宋体" w:hAnsi="宋体" w:eastAsia="宋体" w:cs="宋体"/>
              <w:bCs/>
              <w:szCs w:val="31"/>
              <w:highlight w:val="none"/>
            </w:rPr>
            <w:t>二 、 总  则</w:t>
          </w:r>
          <w:r>
            <w:tab/>
          </w:r>
          <w:r>
            <w:fldChar w:fldCharType="begin"/>
          </w:r>
          <w:r>
            <w:instrText xml:space="preserve"> PAGEREF _Toc12017 \h </w:instrText>
          </w:r>
          <w:r>
            <w:fldChar w:fldCharType="separate"/>
          </w:r>
          <w:r>
            <w:t>8</w:t>
          </w:r>
          <w:r>
            <w:fldChar w:fldCharType="end"/>
          </w:r>
          <w:r>
            <w:rPr>
              <w:color w:val="auto"/>
              <w:highlight w:val="none"/>
            </w:rPr>
            <w:fldChar w:fldCharType="end"/>
          </w:r>
        </w:p>
        <w:p>
          <w:pPr>
            <w:pStyle w:val="14"/>
            <w:tabs>
              <w:tab w:val="right" w:leader="dot" w:pos="9071"/>
            </w:tabs>
          </w:pPr>
          <w:r>
            <w:rPr>
              <w:color w:val="auto"/>
              <w:highlight w:val="none"/>
            </w:rPr>
            <w:fldChar w:fldCharType="begin"/>
          </w:r>
          <w:r>
            <w:rPr>
              <w:highlight w:val="none"/>
            </w:rPr>
            <w:instrText xml:space="preserve"> HYPERLINK \l _Toc21423 </w:instrText>
          </w:r>
          <w:r>
            <w:rPr>
              <w:highlight w:val="none"/>
            </w:rPr>
            <w:fldChar w:fldCharType="separate"/>
          </w:r>
          <w:r>
            <w:rPr>
              <w:rFonts w:hint="eastAsia" w:ascii="宋体" w:hAnsi="宋体" w:eastAsia="宋体" w:cs="宋体"/>
              <w:bCs/>
              <w:szCs w:val="31"/>
              <w:highlight w:val="none"/>
            </w:rPr>
            <w:t>三、招标文件</w:t>
          </w:r>
          <w:r>
            <w:tab/>
          </w:r>
          <w:r>
            <w:fldChar w:fldCharType="begin"/>
          </w:r>
          <w:r>
            <w:instrText xml:space="preserve"> PAGEREF _Toc21423 \h </w:instrText>
          </w:r>
          <w:r>
            <w:fldChar w:fldCharType="separate"/>
          </w:r>
          <w:r>
            <w:t>9</w:t>
          </w:r>
          <w:r>
            <w:fldChar w:fldCharType="end"/>
          </w:r>
          <w:r>
            <w:rPr>
              <w:color w:val="auto"/>
              <w:highlight w:val="none"/>
            </w:rPr>
            <w:fldChar w:fldCharType="end"/>
          </w:r>
        </w:p>
        <w:p>
          <w:pPr>
            <w:pStyle w:val="14"/>
            <w:tabs>
              <w:tab w:val="right" w:leader="dot" w:pos="9071"/>
            </w:tabs>
          </w:pPr>
          <w:r>
            <w:rPr>
              <w:color w:val="auto"/>
              <w:highlight w:val="none"/>
            </w:rPr>
            <w:fldChar w:fldCharType="begin"/>
          </w:r>
          <w:r>
            <w:rPr>
              <w:highlight w:val="none"/>
            </w:rPr>
            <w:instrText xml:space="preserve"> HYPERLINK \l _Toc11956 </w:instrText>
          </w:r>
          <w:r>
            <w:rPr>
              <w:highlight w:val="none"/>
            </w:rPr>
            <w:fldChar w:fldCharType="separate"/>
          </w:r>
          <w:r>
            <w:rPr>
              <w:rFonts w:hint="eastAsia" w:ascii="宋体" w:hAnsi="宋体" w:eastAsia="宋体" w:cs="宋体"/>
              <w:bCs/>
              <w:szCs w:val="31"/>
              <w:highlight w:val="none"/>
            </w:rPr>
            <w:t>四、投标文件</w:t>
          </w:r>
          <w:r>
            <w:tab/>
          </w:r>
          <w:r>
            <w:fldChar w:fldCharType="begin"/>
          </w:r>
          <w:r>
            <w:instrText xml:space="preserve"> PAGEREF _Toc11956 \h </w:instrText>
          </w:r>
          <w:r>
            <w:fldChar w:fldCharType="separate"/>
          </w:r>
          <w:r>
            <w:t>10</w:t>
          </w:r>
          <w:r>
            <w:fldChar w:fldCharType="end"/>
          </w:r>
          <w:r>
            <w:rPr>
              <w:color w:val="auto"/>
              <w:highlight w:val="none"/>
            </w:rPr>
            <w:fldChar w:fldCharType="end"/>
          </w:r>
        </w:p>
        <w:p>
          <w:pPr>
            <w:pStyle w:val="14"/>
            <w:tabs>
              <w:tab w:val="right" w:leader="dot" w:pos="9071"/>
            </w:tabs>
          </w:pPr>
          <w:r>
            <w:rPr>
              <w:color w:val="auto"/>
              <w:highlight w:val="none"/>
            </w:rPr>
            <w:fldChar w:fldCharType="begin"/>
          </w:r>
          <w:r>
            <w:rPr>
              <w:highlight w:val="none"/>
            </w:rPr>
            <w:instrText xml:space="preserve"> HYPERLINK \l _Toc31519 </w:instrText>
          </w:r>
          <w:r>
            <w:rPr>
              <w:highlight w:val="none"/>
            </w:rPr>
            <w:fldChar w:fldCharType="separate"/>
          </w:r>
          <w:r>
            <w:rPr>
              <w:rFonts w:hint="eastAsia" w:ascii="宋体" w:hAnsi="宋体" w:eastAsia="宋体" w:cs="宋体"/>
              <w:bCs/>
              <w:szCs w:val="31"/>
              <w:highlight w:val="none"/>
            </w:rPr>
            <w:t>五、开标和中标</w:t>
          </w:r>
          <w:r>
            <w:tab/>
          </w:r>
          <w:r>
            <w:fldChar w:fldCharType="begin"/>
          </w:r>
          <w:r>
            <w:instrText xml:space="preserve"> PAGEREF _Toc31519 \h </w:instrText>
          </w:r>
          <w:r>
            <w:fldChar w:fldCharType="separate"/>
          </w:r>
          <w:r>
            <w:t>13</w:t>
          </w:r>
          <w:r>
            <w:fldChar w:fldCharType="end"/>
          </w:r>
          <w:r>
            <w:rPr>
              <w:color w:val="auto"/>
              <w:highlight w:val="none"/>
            </w:rPr>
            <w:fldChar w:fldCharType="end"/>
          </w:r>
        </w:p>
        <w:p>
          <w:pPr>
            <w:pStyle w:val="14"/>
            <w:tabs>
              <w:tab w:val="right" w:leader="dot" w:pos="9071"/>
            </w:tabs>
          </w:pPr>
          <w:r>
            <w:rPr>
              <w:color w:val="auto"/>
              <w:highlight w:val="none"/>
            </w:rPr>
            <w:fldChar w:fldCharType="begin"/>
          </w:r>
          <w:r>
            <w:rPr>
              <w:highlight w:val="none"/>
            </w:rPr>
            <w:instrText xml:space="preserve"> HYPERLINK \l _Toc4574 </w:instrText>
          </w:r>
          <w:r>
            <w:rPr>
              <w:highlight w:val="none"/>
            </w:rPr>
            <w:fldChar w:fldCharType="separate"/>
          </w:r>
          <w:r>
            <w:rPr>
              <w:rFonts w:hint="eastAsia" w:ascii="宋体" w:hAnsi="宋体" w:eastAsia="宋体" w:cs="宋体"/>
              <w:bCs/>
              <w:szCs w:val="31"/>
              <w:highlight w:val="none"/>
            </w:rPr>
            <w:t>六、签订及履行合同和验收</w:t>
          </w:r>
          <w:r>
            <w:tab/>
          </w:r>
          <w:r>
            <w:fldChar w:fldCharType="begin"/>
          </w:r>
          <w:r>
            <w:instrText xml:space="preserve"> PAGEREF _Toc4574 \h </w:instrText>
          </w:r>
          <w:r>
            <w:fldChar w:fldCharType="separate"/>
          </w:r>
          <w:r>
            <w:t>15</w:t>
          </w:r>
          <w:r>
            <w:fldChar w:fldCharType="end"/>
          </w:r>
          <w:r>
            <w:rPr>
              <w:color w:val="auto"/>
              <w:highlight w:val="none"/>
            </w:rPr>
            <w:fldChar w:fldCharType="end"/>
          </w:r>
        </w:p>
        <w:p>
          <w:pPr>
            <w:pStyle w:val="14"/>
            <w:tabs>
              <w:tab w:val="right" w:leader="dot" w:pos="9071"/>
            </w:tabs>
          </w:pPr>
          <w:r>
            <w:rPr>
              <w:color w:val="auto"/>
              <w:highlight w:val="none"/>
            </w:rPr>
            <w:fldChar w:fldCharType="begin"/>
          </w:r>
          <w:r>
            <w:rPr>
              <w:highlight w:val="none"/>
            </w:rPr>
            <w:instrText xml:space="preserve"> HYPERLINK \l _Toc23630 </w:instrText>
          </w:r>
          <w:r>
            <w:rPr>
              <w:highlight w:val="none"/>
            </w:rPr>
            <w:fldChar w:fldCharType="separate"/>
          </w:r>
          <w:r>
            <w:rPr>
              <w:rFonts w:hint="eastAsia" w:ascii="宋体" w:hAnsi="宋体" w:eastAsia="宋体" w:cs="宋体"/>
              <w:bCs/>
              <w:szCs w:val="31"/>
              <w:highlight w:val="none"/>
            </w:rPr>
            <w:t>七、投标纪律要求</w:t>
          </w:r>
          <w:r>
            <w:tab/>
          </w:r>
          <w:r>
            <w:fldChar w:fldCharType="begin"/>
          </w:r>
          <w:r>
            <w:instrText xml:space="preserve"> PAGEREF _Toc23630 \h </w:instrText>
          </w:r>
          <w:r>
            <w:fldChar w:fldCharType="separate"/>
          </w:r>
          <w:r>
            <w:t>16</w:t>
          </w:r>
          <w:r>
            <w:fldChar w:fldCharType="end"/>
          </w:r>
          <w:r>
            <w:rPr>
              <w:color w:val="auto"/>
              <w:highlight w:val="none"/>
            </w:rPr>
            <w:fldChar w:fldCharType="end"/>
          </w:r>
        </w:p>
        <w:p>
          <w:pPr>
            <w:pStyle w:val="14"/>
            <w:tabs>
              <w:tab w:val="right" w:leader="dot" w:pos="9071"/>
            </w:tabs>
          </w:pPr>
          <w:r>
            <w:rPr>
              <w:color w:val="auto"/>
              <w:highlight w:val="none"/>
            </w:rPr>
            <w:fldChar w:fldCharType="begin"/>
          </w:r>
          <w:r>
            <w:rPr>
              <w:highlight w:val="none"/>
            </w:rPr>
            <w:instrText xml:space="preserve"> HYPERLINK \l _Toc2277 </w:instrText>
          </w:r>
          <w:r>
            <w:rPr>
              <w:highlight w:val="none"/>
            </w:rPr>
            <w:fldChar w:fldCharType="separate"/>
          </w:r>
          <w:r>
            <w:rPr>
              <w:rFonts w:hint="eastAsia" w:ascii="宋体" w:hAnsi="宋体" w:eastAsia="宋体" w:cs="宋体"/>
              <w:bCs/>
              <w:szCs w:val="31"/>
              <w:highlight w:val="none"/>
            </w:rPr>
            <w:t>八、询问、质疑和投诉</w:t>
          </w:r>
          <w:r>
            <w:tab/>
          </w:r>
          <w:r>
            <w:fldChar w:fldCharType="begin"/>
          </w:r>
          <w:r>
            <w:instrText xml:space="preserve"> PAGEREF _Toc2277 \h </w:instrText>
          </w:r>
          <w:r>
            <w:fldChar w:fldCharType="separate"/>
          </w:r>
          <w:r>
            <w:t>16</w:t>
          </w:r>
          <w:r>
            <w:fldChar w:fldCharType="end"/>
          </w:r>
          <w:r>
            <w:rPr>
              <w:color w:val="auto"/>
              <w:highlight w:val="none"/>
            </w:rPr>
            <w:fldChar w:fldCharType="end"/>
          </w:r>
        </w:p>
        <w:p>
          <w:pPr>
            <w:pStyle w:val="14"/>
            <w:tabs>
              <w:tab w:val="right" w:leader="dot" w:pos="9071"/>
            </w:tabs>
          </w:pPr>
          <w:r>
            <w:rPr>
              <w:color w:val="auto"/>
              <w:highlight w:val="none"/>
            </w:rPr>
            <w:fldChar w:fldCharType="begin"/>
          </w:r>
          <w:r>
            <w:rPr>
              <w:highlight w:val="none"/>
            </w:rPr>
            <w:instrText xml:space="preserve"> HYPERLINK \l _Toc30615 </w:instrText>
          </w:r>
          <w:r>
            <w:rPr>
              <w:highlight w:val="none"/>
            </w:rPr>
            <w:fldChar w:fldCharType="separate"/>
          </w:r>
          <w:r>
            <w:rPr>
              <w:rFonts w:hint="eastAsia" w:ascii="宋体" w:hAnsi="宋体" w:eastAsia="宋体" w:cs="宋体"/>
              <w:bCs/>
              <w:szCs w:val="31"/>
              <w:highlight w:val="none"/>
            </w:rPr>
            <w:t>九、其他</w:t>
          </w:r>
          <w:r>
            <w:tab/>
          </w:r>
          <w:r>
            <w:fldChar w:fldCharType="begin"/>
          </w:r>
          <w:r>
            <w:instrText xml:space="preserve"> PAGEREF _Toc30615 \h </w:instrText>
          </w:r>
          <w:r>
            <w:fldChar w:fldCharType="separate"/>
          </w:r>
          <w:r>
            <w:t>16</w:t>
          </w:r>
          <w:r>
            <w:fldChar w:fldCharType="end"/>
          </w:r>
          <w:r>
            <w:rPr>
              <w:color w:val="auto"/>
              <w:highlight w:val="none"/>
            </w:rPr>
            <w:fldChar w:fldCharType="end"/>
          </w:r>
        </w:p>
        <w:p>
          <w:pPr>
            <w:pStyle w:val="13"/>
            <w:tabs>
              <w:tab w:val="right" w:leader="dot" w:pos="9071"/>
            </w:tabs>
          </w:pPr>
          <w:r>
            <w:rPr>
              <w:color w:val="auto"/>
              <w:highlight w:val="none"/>
            </w:rPr>
            <w:fldChar w:fldCharType="begin"/>
          </w:r>
          <w:r>
            <w:rPr>
              <w:highlight w:val="none"/>
            </w:rPr>
            <w:instrText xml:space="preserve"> HYPERLINK \l _Toc17804 </w:instrText>
          </w:r>
          <w:r>
            <w:rPr>
              <w:highlight w:val="none"/>
            </w:rPr>
            <w:fldChar w:fldCharType="separate"/>
          </w:r>
          <w:r>
            <w:rPr>
              <w:rFonts w:hint="eastAsia" w:ascii="宋体" w:hAnsi="宋体" w:eastAsia="宋体" w:cs="宋体"/>
              <w:szCs w:val="36"/>
              <w:highlight w:val="none"/>
              <w14:textOutline w14:w="6540" w14:cap="sq" w14:cmpd="sng" w14:algn="ctr">
                <w14:solidFill>
                  <w14:srgbClr w14:val="000000"/>
                </w14:solidFill>
                <w14:prstDash w14:val="solid"/>
                <w14:bevel/>
              </w14:textOutline>
            </w:rPr>
            <w:t>第三章 投标文件格式</w:t>
          </w:r>
          <w:r>
            <w:tab/>
          </w:r>
          <w:r>
            <w:fldChar w:fldCharType="begin"/>
          </w:r>
          <w:r>
            <w:instrText xml:space="preserve"> PAGEREF _Toc17804 \h </w:instrText>
          </w:r>
          <w:r>
            <w:fldChar w:fldCharType="separate"/>
          </w:r>
          <w:r>
            <w:t>17</w:t>
          </w:r>
          <w:r>
            <w:fldChar w:fldCharType="end"/>
          </w:r>
          <w:r>
            <w:rPr>
              <w:color w:val="auto"/>
              <w:highlight w:val="none"/>
            </w:rPr>
            <w:fldChar w:fldCharType="end"/>
          </w:r>
        </w:p>
        <w:p>
          <w:pPr>
            <w:pStyle w:val="14"/>
            <w:tabs>
              <w:tab w:val="right" w:leader="dot" w:pos="9071"/>
            </w:tabs>
          </w:pPr>
          <w:r>
            <w:rPr>
              <w:color w:val="auto"/>
              <w:highlight w:val="none"/>
            </w:rPr>
            <w:fldChar w:fldCharType="begin"/>
          </w:r>
          <w:r>
            <w:rPr>
              <w:highlight w:val="none"/>
            </w:rPr>
            <w:instrText xml:space="preserve"> HYPERLINK \l _Toc26429 </w:instrText>
          </w:r>
          <w:r>
            <w:rPr>
              <w:highlight w:val="none"/>
            </w:rPr>
            <w:fldChar w:fldCharType="separate"/>
          </w:r>
          <w:r>
            <w:rPr>
              <w:rFonts w:hint="eastAsia" w:ascii="宋体" w:hAnsi="宋体" w:eastAsia="宋体" w:cs="宋体"/>
              <w:bCs/>
              <w:szCs w:val="44"/>
              <w:highlight w:val="none"/>
            </w:rPr>
            <w:t>第一部分：资格性投标文件</w:t>
          </w:r>
          <w:r>
            <w:tab/>
          </w:r>
          <w:r>
            <w:fldChar w:fldCharType="begin"/>
          </w:r>
          <w:r>
            <w:instrText xml:space="preserve"> PAGEREF _Toc26429 \h </w:instrText>
          </w:r>
          <w:r>
            <w:fldChar w:fldCharType="separate"/>
          </w:r>
          <w:r>
            <w:t>18</w:t>
          </w:r>
          <w:r>
            <w:fldChar w:fldCharType="end"/>
          </w:r>
          <w:r>
            <w:rPr>
              <w:color w:val="auto"/>
              <w:highlight w:val="none"/>
            </w:rPr>
            <w:fldChar w:fldCharType="end"/>
          </w:r>
        </w:p>
        <w:p>
          <w:pPr>
            <w:pStyle w:val="14"/>
            <w:tabs>
              <w:tab w:val="right" w:leader="dot" w:pos="9071"/>
            </w:tabs>
          </w:pPr>
          <w:r>
            <w:rPr>
              <w:color w:val="auto"/>
              <w:highlight w:val="none"/>
            </w:rPr>
            <w:fldChar w:fldCharType="begin"/>
          </w:r>
          <w:r>
            <w:rPr>
              <w:highlight w:val="none"/>
            </w:rPr>
            <w:instrText xml:space="preserve"> HYPERLINK \l _Toc4716 </w:instrText>
          </w:r>
          <w:r>
            <w:rPr>
              <w:highlight w:val="none"/>
            </w:rPr>
            <w:fldChar w:fldCharType="separate"/>
          </w:r>
          <w:r>
            <w:rPr>
              <w:rFonts w:hint="eastAsia" w:ascii="宋体" w:hAnsi="宋体" w:eastAsia="宋体" w:cs="宋体"/>
              <w:bCs/>
              <w:szCs w:val="44"/>
              <w:highlight w:val="none"/>
            </w:rPr>
            <w:t>第二部分：其他响应性投标文件</w:t>
          </w:r>
          <w:r>
            <w:tab/>
          </w:r>
          <w:r>
            <w:fldChar w:fldCharType="begin"/>
          </w:r>
          <w:r>
            <w:instrText xml:space="preserve"> PAGEREF _Toc4716 \h </w:instrText>
          </w:r>
          <w:r>
            <w:fldChar w:fldCharType="separate"/>
          </w:r>
          <w:r>
            <w:t>23</w:t>
          </w:r>
          <w:r>
            <w:fldChar w:fldCharType="end"/>
          </w:r>
          <w:r>
            <w:rPr>
              <w:color w:val="auto"/>
              <w:highlight w:val="none"/>
            </w:rPr>
            <w:fldChar w:fldCharType="end"/>
          </w:r>
        </w:p>
        <w:p>
          <w:pPr>
            <w:pStyle w:val="13"/>
            <w:tabs>
              <w:tab w:val="right" w:leader="dot" w:pos="9071"/>
            </w:tabs>
          </w:pPr>
          <w:r>
            <w:rPr>
              <w:color w:val="auto"/>
              <w:highlight w:val="none"/>
            </w:rPr>
            <w:fldChar w:fldCharType="begin"/>
          </w:r>
          <w:r>
            <w:rPr>
              <w:highlight w:val="none"/>
            </w:rPr>
            <w:instrText xml:space="preserve"> HYPERLINK \l _Toc1869 </w:instrText>
          </w:r>
          <w:r>
            <w:rPr>
              <w:highlight w:val="none"/>
            </w:rPr>
            <w:fldChar w:fldCharType="separate"/>
          </w:r>
          <w:r>
            <w:rPr>
              <w:rFonts w:hint="eastAsia" w:ascii="宋体" w:hAnsi="宋体" w:eastAsia="宋体" w:cs="宋体"/>
              <w:spacing w:val="11"/>
              <w:szCs w:val="36"/>
              <w:highlight w:val="none"/>
              <w14:textOutline w14:w="6540" w14:cap="sq" w14:cmpd="sng" w14:algn="ctr">
                <w14:solidFill>
                  <w14:srgbClr w14:val="000000"/>
                </w14:solidFill>
                <w14:prstDash w14:val="solid"/>
                <w14:bevel/>
              </w14:textOutline>
            </w:rPr>
            <w:t>第四章 投标人和投标产品的资格、资质性及其他类似效力要求</w:t>
          </w:r>
          <w:r>
            <w:tab/>
          </w:r>
          <w:r>
            <w:fldChar w:fldCharType="begin"/>
          </w:r>
          <w:r>
            <w:instrText xml:space="preserve"> PAGEREF _Toc1869 \h </w:instrText>
          </w:r>
          <w:r>
            <w:fldChar w:fldCharType="separate"/>
          </w:r>
          <w:r>
            <w:t>35</w:t>
          </w:r>
          <w:r>
            <w:fldChar w:fldCharType="end"/>
          </w:r>
          <w:r>
            <w:rPr>
              <w:color w:val="auto"/>
              <w:highlight w:val="none"/>
            </w:rPr>
            <w:fldChar w:fldCharType="end"/>
          </w:r>
        </w:p>
        <w:p>
          <w:pPr>
            <w:pStyle w:val="13"/>
            <w:tabs>
              <w:tab w:val="right" w:leader="dot" w:pos="9071"/>
            </w:tabs>
          </w:pPr>
          <w:r>
            <w:rPr>
              <w:color w:val="auto"/>
              <w:highlight w:val="none"/>
            </w:rPr>
            <w:fldChar w:fldCharType="begin"/>
          </w:r>
          <w:r>
            <w:rPr>
              <w:highlight w:val="none"/>
            </w:rPr>
            <w:instrText xml:space="preserve"> HYPERLINK \l _Toc4044 </w:instrText>
          </w:r>
          <w:r>
            <w:rPr>
              <w:highlight w:val="none"/>
            </w:rPr>
            <w:fldChar w:fldCharType="separate"/>
          </w:r>
          <w:r>
            <w:rPr>
              <w:rFonts w:hint="eastAsia" w:ascii="宋体" w:hAnsi="宋体" w:eastAsia="宋体" w:cs="宋体"/>
              <w:spacing w:val="11"/>
              <w:szCs w:val="36"/>
              <w:highlight w:val="none"/>
              <w14:textOutline w14:w="6540" w14:cap="sq" w14:cmpd="sng" w14:algn="ctr">
                <w14:solidFill>
                  <w14:srgbClr w14:val="000000"/>
                </w14:solidFill>
                <w14:prstDash w14:val="solid"/>
                <w14:bevel/>
              </w14:textOutline>
            </w:rPr>
            <w:t>第五章  投标人应当提供的资格、资质性及其他类似效力要求的相关证明材料</w:t>
          </w:r>
          <w:r>
            <w:tab/>
          </w:r>
          <w:r>
            <w:fldChar w:fldCharType="begin"/>
          </w:r>
          <w:r>
            <w:instrText xml:space="preserve"> PAGEREF _Toc4044 \h </w:instrText>
          </w:r>
          <w:r>
            <w:fldChar w:fldCharType="separate"/>
          </w:r>
          <w:r>
            <w:t>36</w:t>
          </w:r>
          <w:r>
            <w:fldChar w:fldCharType="end"/>
          </w:r>
          <w:r>
            <w:rPr>
              <w:color w:val="auto"/>
              <w:highlight w:val="none"/>
            </w:rPr>
            <w:fldChar w:fldCharType="end"/>
          </w:r>
        </w:p>
        <w:p>
          <w:pPr>
            <w:pStyle w:val="13"/>
            <w:tabs>
              <w:tab w:val="right" w:leader="dot" w:pos="9071"/>
            </w:tabs>
          </w:pPr>
          <w:r>
            <w:rPr>
              <w:color w:val="auto"/>
              <w:highlight w:val="none"/>
            </w:rPr>
            <w:fldChar w:fldCharType="begin"/>
          </w:r>
          <w:r>
            <w:rPr>
              <w:highlight w:val="none"/>
            </w:rPr>
            <w:instrText xml:space="preserve"> HYPERLINK \l _Toc8606 </w:instrText>
          </w:r>
          <w:r>
            <w:rPr>
              <w:highlight w:val="none"/>
            </w:rPr>
            <w:fldChar w:fldCharType="separate"/>
          </w:r>
          <w:r>
            <w:rPr>
              <w:rFonts w:hint="eastAsia" w:ascii="宋体" w:hAnsi="宋体" w:eastAsia="宋体" w:cs="宋体"/>
              <w:spacing w:val="11"/>
              <w:szCs w:val="36"/>
              <w:highlight w:val="none"/>
              <w14:textOutline w14:w="6540" w14:cap="sq" w14:cmpd="sng" w14:algn="ctr">
                <w14:solidFill>
                  <w14:srgbClr w14:val="000000"/>
                </w14:solidFill>
                <w14:prstDash w14:val="solid"/>
                <w14:bevel/>
              </w14:textOutline>
            </w:rPr>
            <w:t>第六章 招标项目技术、服务及商务要求</w:t>
          </w:r>
          <w:r>
            <w:tab/>
          </w:r>
          <w:r>
            <w:fldChar w:fldCharType="begin"/>
          </w:r>
          <w:r>
            <w:instrText xml:space="preserve"> PAGEREF _Toc8606 \h </w:instrText>
          </w:r>
          <w:r>
            <w:fldChar w:fldCharType="separate"/>
          </w:r>
          <w:r>
            <w:t>37</w:t>
          </w:r>
          <w:r>
            <w:fldChar w:fldCharType="end"/>
          </w:r>
          <w:r>
            <w:rPr>
              <w:color w:val="auto"/>
              <w:highlight w:val="none"/>
            </w:rPr>
            <w:fldChar w:fldCharType="end"/>
          </w:r>
        </w:p>
        <w:p>
          <w:pPr>
            <w:pStyle w:val="14"/>
            <w:tabs>
              <w:tab w:val="right" w:leader="dot" w:pos="9071"/>
            </w:tabs>
          </w:pPr>
          <w:r>
            <w:rPr>
              <w:color w:val="auto"/>
              <w:highlight w:val="none"/>
            </w:rPr>
            <w:fldChar w:fldCharType="begin"/>
          </w:r>
          <w:r>
            <w:rPr>
              <w:highlight w:val="none"/>
            </w:rPr>
            <w:instrText xml:space="preserve"> HYPERLINK \l _Toc2090 </w:instrText>
          </w:r>
          <w:r>
            <w:rPr>
              <w:highlight w:val="none"/>
            </w:rPr>
            <w:fldChar w:fldCharType="separate"/>
          </w:r>
          <w:r>
            <w:rPr>
              <w:rFonts w:hint="eastAsia" w:ascii="宋体" w:hAnsi="宋体" w:eastAsia="宋体" w:cs="Times New Roman"/>
              <w:bCs/>
              <w:kern w:val="44"/>
              <w:szCs w:val="23"/>
            </w:rPr>
            <w:t xml:space="preserve">一、 </w:t>
          </w:r>
          <w:r>
            <w:rPr>
              <w:rFonts w:hint="eastAsia" w:ascii="宋体" w:hAnsi="宋体" w:eastAsia="宋体" w:cs="Times New Roman"/>
              <w:bCs/>
              <w:kern w:val="44"/>
              <w:szCs w:val="23"/>
              <w:highlight w:val="none"/>
            </w:rPr>
            <w:t>项目概况</w:t>
          </w:r>
          <w:r>
            <w:tab/>
          </w:r>
          <w:r>
            <w:fldChar w:fldCharType="begin"/>
          </w:r>
          <w:r>
            <w:instrText xml:space="preserve"> PAGEREF _Toc2090 \h </w:instrText>
          </w:r>
          <w:r>
            <w:fldChar w:fldCharType="separate"/>
          </w:r>
          <w:r>
            <w:t>37</w:t>
          </w:r>
          <w:r>
            <w:fldChar w:fldCharType="end"/>
          </w:r>
          <w:r>
            <w:rPr>
              <w:color w:val="auto"/>
              <w:highlight w:val="none"/>
            </w:rPr>
            <w:fldChar w:fldCharType="end"/>
          </w:r>
        </w:p>
        <w:p>
          <w:pPr>
            <w:pStyle w:val="14"/>
            <w:tabs>
              <w:tab w:val="right" w:leader="dot" w:pos="9071"/>
            </w:tabs>
          </w:pPr>
          <w:r>
            <w:rPr>
              <w:color w:val="auto"/>
              <w:highlight w:val="none"/>
            </w:rPr>
            <w:fldChar w:fldCharType="begin"/>
          </w:r>
          <w:r>
            <w:rPr>
              <w:highlight w:val="none"/>
            </w:rPr>
            <w:instrText xml:space="preserve"> HYPERLINK \l _Toc26284 </w:instrText>
          </w:r>
          <w:r>
            <w:rPr>
              <w:highlight w:val="none"/>
            </w:rPr>
            <w:fldChar w:fldCharType="separate"/>
          </w:r>
          <w:r>
            <w:rPr>
              <w:rFonts w:hint="eastAsia" w:ascii="宋体" w:hAnsi="宋体" w:eastAsia="宋体" w:cs="Times New Roman"/>
              <w:bCs/>
              <w:kern w:val="44"/>
              <w:szCs w:val="23"/>
            </w:rPr>
            <w:t xml:space="preserve">二、 </w:t>
          </w:r>
          <w:r>
            <w:rPr>
              <w:rFonts w:hint="eastAsia" w:ascii="宋体" w:hAnsi="宋体" w:eastAsia="宋体" w:cs="Times New Roman"/>
              <w:bCs/>
              <w:kern w:val="44"/>
              <w:szCs w:val="23"/>
              <w:highlight w:val="none"/>
            </w:rPr>
            <w:t>★</w:t>
          </w:r>
          <w:r>
            <w:rPr>
              <w:rFonts w:hint="eastAsia" w:ascii="宋体" w:hAnsi="宋体" w:eastAsia="宋体" w:cs="Times New Roman"/>
              <w:bCs/>
              <w:kern w:val="44"/>
              <w:szCs w:val="23"/>
              <w:highlight w:val="none"/>
              <w:lang w:val="en-US" w:eastAsia="zh-CN"/>
            </w:rPr>
            <w:t>采购范围及内容</w:t>
          </w:r>
          <w:r>
            <w:tab/>
          </w:r>
          <w:r>
            <w:fldChar w:fldCharType="begin"/>
          </w:r>
          <w:r>
            <w:instrText xml:space="preserve"> PAGEREF _Toc26284 \h </w:instrText>
          </w:r>
          <w:r>
            <w:fldChar w:fldCharType="separate"/>
          </w:r>
          <w:r>
            <w:t>37</w:t>
          </w:r>
          <w:r>
            <w:fldChar w:fldCharType="end"/>
          </w:r>
          <w:r>
            <w:rPr>
              <w:color w:val="auto"/>
              <w:highlight w:val="none"/>
            </w:rPr>
            <w:fldChar w:fldCharType="end"/>
          </w:r>
        </w:p>
        <w:p>
          <w:pPr>
            <w:pStyle w:val="14"/>
            <w:tabs>
              <w:tab w:val="right" w:leader="dot" w:pos="9071"/>
            </w:tabs>
          </w:pPr>
          <w:r>
            <w:rPr>
              <w:color w:val="auto"/>
              <w:highlight w:val="none"/>
            </w:rPr>
            <w:fldChar w:fldCharType="begin"/>
          </w:r>
          <w:r>
            <w:rPr>
              <w:highlight w:val="none"/>
            </w:rPr>
            <w:instrText xml:space="preserve"> HYPERLINK \l _Toc8745 </w:instrText>
          </w:r>
          <w:r>
            <w:rPr>
              <w:highlight w:val="none"/>
            </w:rPr>
            <w:fldChar w:fldCharType="separate"/>
          </w:r>
          <w:r>
            <w:rPr>
              <w:rFonts w:hint="eastAsia" w:ascii="宋体" w:hAnsi="宋体" w:eastAsia="宋体" w:cs="Times New Roman"/>
              <w:bCs/>
              <w:kern w:val="44"/>
              <w:szCs w:val="23"/>
              <w:lang w:val="en-US" w:eastAsia="zh-CN"/>
            </w:rPr>
            <w:t xml:space="preserve">三、 </w:t>
          </w:r>
          <w:r>
            <w:rPr>
              <w:rFonts w:hint="eastAsia" w:ascii="宋体" w:hAnsi="宋体" w:eastAsia="宋体" w:cs="Times New Roman"/>
              <w:bCs/>
              <w:kern w:val="44"/>
              <w:szCs w:val="23"/>
              <w:highlight w:val="none"/>
              <w:lang w:val="en-US" w:eastAsia="zh-CN"/>
            </w:rPr>
            <w:t>技术要求（功能和质量要求）</w:t>
          </w:r>
          <w:r>
            <w:tab/>
          </w:r>
          <w:r>
            <w:fldChar w:fldCharType="begin"/>
          </w:r>
          <w:r>
            <w:instrText xml:space="preserve"> PAGEREF _Toc8745 \h </w:instrText>
          </w:r>
          <w:r>
            <w:fldChar w:fldCharType="separate"/>
          </w:r>
          <w:r>
            <w:t>37</w:t>
          </w:r>
          <w:r>
            <w:fldChar w:fldCharType="end"/>
          </w:r>
          <w:r>
            <w:rPr>
              <w:color w:val="auto"/>
              <w:highlight w:val="none"/>
            </w:rPr>
            <w:fldChar w:fldCharType="end"/>
          </w:r>
        </w:p>
        <w:p>
          <w:pPr>
            <w:pStyle w:val="14"/>
            <w:tabs>
              <w:tab w:val="right" w:leader="dot" w:pos="9071"/>
            </w:tabs>
          </w:pPr>
          <w:r>
            <w:rPr>
              <w:color w:val="auto"/>
              <w:highlight w:val="none"/>
            </w:rPr>
            <w:fldChar w:fldCharType="begin"/>
          </w:r>
          <w:r>
            <w:rPr>
              <w:highlight w:val="none"/>
            </w:rPr>
            <w:instrText xml:space="preserve"> HYPERLINK \l _Toc602 </w:instrText>
          </w:r>
          <w:r>
            <w:rPr>
              <w:highlight w:val="none"/>
            </w:rPr>
            <w:fldChar w:fldCharType="separate"/>
          </w:r>
          <w:r>
            <w:rPr>
              <w:rFonts w:hint="eastAsia" w:ascii="宋体" w:hAnsi="宋体" w:eastAsia="宋体" w:cs="Times New Roman"/>
              <w:bCs/>
              <w:kern w:val="44"/>
              <w:szCs w:val="23"/>
            </w:rPr>
            <w:t xml:space="preserve">四、 </w:t>
          </w:r>
          <w:r>
            <w:rPr>
              <w:rFonts w:hint="eastAsia" w:ascii="宋体" w:hAnsi="宋体" w:eastAsia="宋体" w:cs="Times New Roman"/>
              <w:bCs/>
              <w:kern w:val="44"/>
              <w:szCs w:val="23"/>
              <w:highlight w:val="none"/>
            </w:rPr>
            <w:t>★商务要求</w:t>
          </w:r>
          <w:r>
            <w:tab/>
          </w:r>
          <w:r>
            <w:fldChar w:fldCharType="begin"/>
          </w:r>
          <w:r>
            <w:instrText xml:space="preserve"> PAGEREF _Toc602 \h </w:instrText>
          </w:r>
          <w:r>
            <w:fldChar w:fldCharType="separate"/>
          </w:r>
          <w:r>
            <w:t>38</w:t>
          </w:r>
          <w:r>
            <w:fldChar w:fldCharType="end"/>
          </w:r>
          <w:r>
            <w:rPr>
              <w:color w:val="auto"/>
              <w:highlight w:val="none"/>
            </w:rPr>
            <w:fldChar w:fldCharType="end"/>
          </w:r>
        </w:p>
        <w:p>
          <w:pPr>
            <w:pStyle w:val="14"/>
            <w:tabs>
              <w:tab w:val="right" w:leader="dot" w:pos="9071"/>
            </w:tabs>
          </w:pPr>
          <w:r>
            <w:rPr>
              <w:color w:val="auto"/>
              <w:highlight w:val="none"/>
            </w:rPr>
            <w:fldChar w:fldCharType="begin"/>
          </w:r>
          <w:r>
            <w:rPr>
              <w:highlight w:val="none"/>
            </w:rPr>
            <w:instrText xml:space="preserve"> HYPERLINK \l _Toc8889 </w:instrText>
          </w:r>
          <w:r>
            <w:rPr>
              <w:highlight w:val="none"/>
            </w:rPr>
            <w:fldChar w:fldCharType="separate"/>
          </w:r>
          <w:r>
            <w:rPr>
              <w:rFonts w:hint="eastAsia" w:ascii="宋体" w:hAnsi="宋体" w:eastAsia="宋体" w:cs="宋体"/>
              <w:bCs/>
              <w:szCs w:val="24"/>
              <w:lang w:val="en-US" w:eastAsia="zh-CN"/>
            </w:rPr>
            <w:t xml:space="preserve">五、 </w:t>
          </w:r>
          <w:r>
            <w:rPr>
              <w:rFonts w:hint="eastAsia" w:ascii="Times New Roman" w:hAnsi="Times New Roman" w:eastAsia="宋体" w:cs="Times New Roman"/>
              <w:bCs/>
              <w:szCs w:val="28"/>
              <w:highlight w:val="none"/>
            </w:rPr>
            <w:t>★</w:t>
          </w:r>
          <w:r>
            <w:rPr>
              <w:rFonts w:hint="eastAsia" w:ascii="宋体" w:hAnsi="宋体" w:eastAsia="宋体" w:cs="宋体"/>
              <w:bCs/>
              <w:szCs w:val="24"/>
              <w:highlight w:val="none"/>
              <w:lang w:eastAsia="zh-CN"/>
            </w:rPr>
            <w:t>履约保证金要求</w:t>
          </w:r>
          <w:r>
            <w:tab/>
          </w:r>
          <w:r>
            <w:fldChar w:fldCharType="begin"/>
          </w:r>
          <w:r>
            <w:instrText xml:space="preserve"> PAGEREF _Toc8889 \h </w:instrText>
          </w:r>
          <w:r>
            <w:fldChar w:fldCharType="separate"/>
          </w:r>
          <w:r>
            <w:t>39</w:t>
          </w:r>
          <w:r>
            <w:fldChar w:fldCharType="end"/>
          </w:r>
          <w:r>
            <w:rPr>
              <w:color w:val="auto"/>
              <w:highlight w:val="none"/>
            </w:rPr>
            <w:fldChar w:fldCharType="end"/>
          </w:r>
        </w:p>
        <w:p>
          <w:pPr>
            <w:pStyle w:val="14"/>
            <w:tabs>
              <w:tab w:val="right" w:leader="dot" w:pos="9071"/>
            </w:tabs>
          </w:pPr>
          <w:r>
            <w:rPr>
              <w:color w:val="auto"/>
              <w:highlight w:val="none"/>
            </w:rPr>
            <w:fldChar w:fldCharType="begin"/>
          </w:r>
          <w:r>
            <w:rPr>
              <w:highlight w:val="none"/>
            </w:rPr>
            <w:instrText xml:space="preserve"> HYPERLINK \l _Toc21491 </w:instrText>
          </w:r>
          <w:r>
            <w:rPr>
              <w:highlight w:val="none"/>
            </w:rPr>
            <w:fldChar w:fldCharType="separate"/>
          </w:r>
          <w:r>
            <w:rPr>
              <w:rFonts w:hint="eastAsia" w:ascii="宋体" w:hAnsi="宋体" w:eastAsia="宋体" w:cs="宋体"/>
              <w:bCs/>
              <w:kern w:val="44"/>
              <w:szCs w:val="24"/>
              <w:lang w:eastAsia="zh-CN"/>
            </w:rPr>
            <w:t xml:space="preserve">六、 </w:t>
          </w:r>
          <w:r>
            <w:rPr>
              <w:rFonts w:hint="eastAsia" w:ascii="宋体" w:hAnsi="宋体" w:eastAsia="宋体" w:cs="宋体"/>
              <w:bCs/>
              <w:kern w:val="44"/>
              <w:szCs w:val="24"/>
              <w:highlight w:val="none"/>
              <w:lang w:eastAsia="zh-CN"/>
            </w:rPr>
            <w:t>方案要求</w:t>
          </w:r>
          <w:r>
            <w:tab/>
          </w:r>
          <w:r>
            <w:fldChar w:fldCharType="begin"/>
          </w:r>
          <w:r>
            <w:instrText xml:space="preserve"> PAGEREF _Toc21491 \h </w:instrText>
          </w:r>
          <w:r>
            <w:fldChar w:fldCharType="separate"/>
          </w:r>
          <w:r>
            <w:t>40</w:t>
          </w:r>
          <w:r>
            <w:fldChar w:fldCharType="end"/>
          </w:r>
          <w:r>
            <w:rPr>
              <w:color w:val="auto"/>
              <w:highlight w:val="none"/>
            </w:rPr>
            <w:fldChar w:fldCharType="end"/>
          </w:r>
        </w:p>
        <w:p>
          <w:pPr>
            <w:pStyle w:val="14"/>
            <w:tabs>
              <w:tab w:val="right" w:leader="dot" w:pos="9071"/>
            </w:tabs>
          </w:pPr>
          <w:r>
            <w:rPr>
              <w:color w:val="auto"/>
              <w:highlight w:val="none"/>
            </w:rPr>
            <w:fldChar w:fldCharType="begin"/>
          </w:r>
          <w:r>
            <w:rPr>
              <w:highlight w:val="none"/>
            </w:rPr>
            <w:instrText xml:space="preserve"> HYPERLINK \l _Toc18869 </w:instrText>
          </w:r>
          <w:r>
            <w:rPr>
              <w:highlight w:val="none"/>
            </w:rPr>
            <w:fldChar w:fldCharType="separate"/>
          </w:r>
          <w:r>
            <w:rPr>
              <w:rFonts w:hint="eastAsia" w:ascii="宋体" w:hAnsi="宋体" w:eastAsia="宋体" w:cs="宋体"/>
              <w:bCs/>
              <w:kern w:val="44"/>
              <w:szCs w:val="24"/>
              <w:lang w:eastAsia="zh-CN"/>
            </w:rPr>
            <w:t xml:space="preserve">七、 </w:t>
          </w:r>
          <w:r>
            <w:rPr>
              <w:rFonts w:hint="eastAsia" w:ascii="宋体" w:hAnsi="宋体" w:eastAsia="宋体" w:cs="宋体"/>
              <w:bCs/>
              <w:kern w:val="44"/>
              <w:szCs w:val="24"/>
              <w:highlight w:val="none"/>
              <w:lang w:val="en-US" w:eastAsia="zh-CN"/>
            </w:rPr>
            <w:t>样品要求</w:t>
          </w:r>
          <w:r>
            <w:tab/>
          </w:r>
          <w:r>
            <w:fldChar w:fldCharType="begin"/>
          </w:r>
          <w:r>
            <w:instrText xml:space="preserve"> PAGEREF _Toc18869 \h </w:instrText>
          </w:r>
          <w:r>
            <w:fldChar w:fldCharType="separate"/>
          </w:r>
          <w:r>
            <w:t>40</w:t>
          </w:r>
          <w:r>
            <w:fldChar w:fldCharType="end"/>
          </w:r>
          <w:r>
            <w:rPr>
              <w:color w:val="auto"/>
              <w:highlight w:val="none"/>
            </w:rPr>
            <w:fldChar w:fldCharType="end"/>
          </w:r>
        </w:p>
        <w:p>
          <w:pPr>
            <w:pStyle w:val="13"/>
            <w:tabs>
              <w:tab w:val="right" w:leader="dot" w:pos="9071"/>
            </w:tabs>
          </w:pPr>
          <w:r>
            <w:rPr>
              <w:color w:val="auto"/>
              <w:highlight w:val="none"/>
            </w:rPr>
            <w:fldChar w:fldCharType="begin"/>
          </w:r>
          <w:r>
            <w:rPr>
              <w:highlight w:val="none"/>
            </w:rPr>
            <w:instrText xml:space="preserve"> HYPERLINK \l _Toc19151 </w:instrText>
          </w:r>
          <w:r>
            <w:rPr>
              <w:highlight w:val="none"/>
            </w:rPr>
            <w:fldChar w:fldCharType="separate"/>
          </w:r>
          <w:r>
            <w:rPr>
              <w:rFonts w:hint="eastAsia" w:ascii="宋体" w:hAnsi="宋体" w:eastAsia="宋体" w:cs="宋体"/>
              <w:spacing w:val="11"/>
              <w:szCs w:val="36"/>
              <w:highlight w:val="none"/>
              <w14:textOutline w14:w="6540" w14:cap="sq" w14:cmpd="sng" w14:algn="ctr">
                <w14:solidFill>
                  <w14:srgbClr w14:val="000000"/>
                </w14:solidFill>
                <w14:prstDash w14:val="solid"/>
                <w14:bevel/>
              </w14:textOutline>
            </w:rPr>
            <w:t>第七章  评标办法</w:t>
          </w:r>
          <w:r>
            <w:tab/>
          </w:r>
          <w:r>
            <w:fldChar w:fldCharType="begin"/>
          </w:r>
          <w:r>
            <w:instrText xml:space="preserve"> PAGEREF _Toc19151 \h </w:instrText>
          </w:r>
          <w:r>
            <w:fldChar w:fldCharType="separate"/>
          </w:r>
          <w:r>
            <w:t>41</w:t>
          </w:r>
          <w:r>
            <w:fldChar w:fldCharType="end"/>
          </w:r>
          <w:r>
            <w:rPr>
              <w:color w:val="auto"/>
              <w:highlight w:val="none"/>
            </w:rPr>
            <w:fldChar w:fldCharType="end"/>
          </w:r>
        </w:p>
        <w:p>
          <w:pPr>
            <w:pStyle w:val="14"/>
            <w:tabs>
              <w:tab w:val="right" w:leader="dot" w:pos="9071"/>
            </w:tabs>
          </w:pPr>
          <w:r>
            <w:rPr>
              <w:color w:val="auto"/>
              <w:highlight w:val="none"/>
            </w:rPr>
            <w:fldChar w:fldCharType="begin"/>
          </w:r>
          <w:r>
            <w:rPr>
              <w:highlight w:val="none"/>
            </w:rPr>
            <w:instrText xml:space="preserve"> HYPERLINK \l _Toc25682 </w:instrText>
          </w:r>
          <w:r>
            <w:rPr>
              <w:highlight w:val="none"/>
            </w:rPr>
            <w:fldChar w:fldCharType="separate"/>
          </w:r>
          <w:r>
            <w:rPr>
              <w:rFonts w:hint="eastAsia" w:ascii="宋体" w:hAnsi="宋体" w:eastAsia="宋体" w:cs="宋体"/>
              <w:bCs/>
              <w:szCs w:val="24"/>
              <w:highlight w:val="none"/>
              <w:lang w:eastAsia="zh-CN"/>
            </w:rPr>
            <w:t>一、</w:t>
          </w:r>
          <w:r>
            <w:rPr>
              <w:rFonts w:hint="eastAsia" w:ascii="宋体" w:hAnsi="宋体" w:eastAsia="宋体" w:cs="宋体"/>
              <w:bCs/>
              <w:szCs w:val="24"/>
              <w:highlight w:val="none"/>
            </w:rPr>
            <w:t>总则</w:t>
          </w:r>
          <w:r>
            <w:tab/>
          </w:r>
          <w:r>
            <w:fldChar w:fldCharType="begin"/>
          </w:r>
          <w:r>
            <w:instrText xml:space="preserve"> PAGEREF _Toc25682 \h </w:instrText>
          </w:r>
          <w:r>
            <w:fldChar w:fldCharType="separate"/>
          </w:r>
          <w:r>
            <w:t>41</w:t>
          </w:r>
          <w:r>
            <w:fldChar w:fldCharType="end"/>
          </w:r>
          <w:r>
            <w:rPr>
              <w:color w:val="auto"/>
              <w:highlight w:val="none"/>
            </w:rPr>
            <w:fldChar w:fldCharType="end"/>
          </w:r>
        </w:p>
        <w:p>
          <w:pPr>
            <w:pStyle w:val="14"/>
            <w:tabs>
              <w:tab w:val="right" w:leader="dot" w:pos="9071"/>
            </w:tabs>
          </w:pPr>
          <w:r>
            <w:rPr>
              <w:color w:val="auto"/>
              <w:highlight w:val="none"/>
            </w:rPr>
            <w:fldChar w:fldCharType="begin"/>
          </w:r>
          <w:r>
            <w:rPr>
              <w:highlight w:val="none"/>
            </w:rPr>
            <w:instrText xml:space="preserve"> HYPERLINK \l _Toc13707 </w:instrText>
          </w:r>
          <w:r>
            <w:rPr>
              <w:highlight w:val="none"/>
            </w:rPr>
            <w:fldChar w:fldCharType="separate"/>
          </w:r>
          <w:r>
            <w:rPr>
              <w:rFonts w:hint="eastAsia" w:ascii="宋体" w:hAnsi="宋体" w:eastAsia="宋体" w:cs="宋体"/>
              <w:bCs/>
              <w:szCs w:val="24"/>
              <w:highlight w:val="none"/>
              <w:lang w:eastAsia="zh-CN"/>
            </w:rPr>
            <w:t>二、</w:t>
          </w:r>
          <w:r>
            <w:rPr>
              <w:rFonts w:hint="eastAsia" w:ascii="宋体" w:hAnsi="宋体" w:eastAsia="宋体" w:cs="宋体"/>
              <w:bCs/>
              <w:szCs w:val="24"/>
              <w:highlight w:val="none"/>
            </w:rPr>
            <w:t>评标方法</w:t>
          </w:r>
          <w:r>
            <w:tab/>
          </w:r>
          <w:r>
            <w:fldChar w:fldCharType="begin"/>
          </w:r>
          <w:r>
            <w:instrText xml:space="preserve"> PAGEREF _Toc13707 \h </w:instrText>
          </w:r>
          <w:r>
            <w:fldChar w:fldCharType="separate"/>
          </w:r>
          <w:r>
            <w:t>41</w:t>
          </w:r>
          <w:r>
            <w:fldChar w:fldCharType="end"/>
          </w:r>
          <w:r>
            <w:rPr>
              <w:color w:val="auto"/>
              <w:highlight w:val="none"/>
            </w:rPr>
            <w:fldChar w:fldCharType="end"/>
          </w:r>
        </w:p>
        <w:p>
          <w:pPr>
            <w:pStyle w:val="14"/>
            <w:tabs>
              <w:tab w:val="right" w:leader="dot" w:pos="9071"/>
            </w:tabs>
          </w:pPr>
          <w:r>
            <w:rPr>
              <w:color w:val="auto"/>
              <w:highlight w:val="none"/>
            </w:rPr>
            <w:fldChar w:fldCharType="begin"/>
          </w:r>
          <w:r>
            <w:rPr>
              <w:highlight w:val="none"/>
            </w:rPr>
            <w:instrText xml:space="preserve"> HYPERLINK \l _Toc19465 </w:instrText>
          </w:r>
          <w:r>
            <w:rPr>
              <w:highlight w:val="none"/>
            </w:rPr>
            <w:fldChar w:fldCharType="separate"/>
          </w:r>
          <w:r>
            <w:rPr>
              <w:rFonts w:hint="eastAsia" w:ascii="宋体" w:hAnsi="宋体" w:eastAsia="宋体" w:cs="宋体"/>
              <w:bCs/>
              <w:szCs w:val="24"/>
              <w:highlight w:val="none"/>
              <w:lang w:eastAsia="zh-CN"/>
            </w:rPr>
            <w:t>三、</w:t>
          </w:r>
          <w:r>
            <w:rPr>
              <w:rFonts w:hint="eastAsia" w:ascii="宋体" w:hAnsi="宋体" w:eastAsia="宋体" w:cs="宋体"/>
              <w:bCs/>
              <w:szCs w:val="24"/>
              <w:highlight w:val="none"/>
            </w:rPr>
            <w:t>评标程序</w:t>
          </w:r>
          <w:r>
            <w:tab/>
          </w:r>
          <w:r>
            <w:fldChar w:fldCharType="begin"/>
          </w:r>
          <w:r>
            <w:instrText xml:space="preserve"> PAGEREF _Toc19465 \h </w:instrText>
          </w:r>
          <w:r>
            <w:fldChar w:fldCharType="separate"/>
          </w:r>
          <w:r>
            <w:t>41</w:t>
          </w:r>
          <w:r>
            <w:fldChar w:fldCharType="end"/>
          </w:r>
          <w:r>
            <w:rPr>
              <w:color w:val="auto"/>
              <w:highlight w:val="none"/>
            </w:rPr>
            <w:fldChar w:fldCharType="end"/>
          </w:r>
        </w:p>
        <w:p>
          <w:pPr>
            <w:pStyle w:val="14"/>
            <w:tabs>
              <w:tab w:val="right" w:leader="dot" w:pos="9071"/>
            </w:tabs>
          </w:pPr>
          <w:r>
            <w:rPr>
              <w:color w:val="auto"/>
              <w:highlight w:val="none"/>
            </w:rPr>
            <w:fldChar w:fldCharType="begin"/>
          </w:r>
          <w:r>
            <w:rPr>
              <w:highlight w:val="none"/>
            </w:rPr>
            <w:instrText xml:space="preserve"> HYPERLINK \l _Toc32706 </w:instrText>
          </w:r>
          <w:r>
            <w:rPr>
              <w:highlight w:val="none"/>
            </w:rPr>
            <w:fldChar w:fldCharType="separate"/>
          </w:r>
          <w:r>
            <w:rPr>
              <w:rFonts w:hint="eastAsia" w:ascii="宋体" w:hAnsi="宋体" w:eastAsia="宋体" w:cs="宋体"/>
              <w:bCs/>
              <w:szCs w:val="24"/>
              <w:highlight w:val="none"/>
              <w:lang w:eastAsia="zh-CN"/>
            </w:rPr>
            <w:t>四、</w:t>
          </w:r>
          <w:r>
            <w:rPr>
              <w:rFonts w:hint="eastAsia" w:ascii="宋体" w:hAnsi="宋体" w:eastAsia="宋体" w:cs="宋体"/>
              <w:bCs/>
              <w:szCs w:val="24"/>
              <w:highlight w:val="none"/>
            </w:rPr>
            <w:t>废 标</w:t>
          </w:r>
          <w:r>
            <w:tab/>
          </w:r>
          <w:r>
            <w:fldChar w:fldCharType="begin"/>
          </w:r>
          <w:r>
            <w:instrText xml:space="preserve"> PAGEREF _Toc32706 \h </w:instrText>
          </w:r>
          <w:r>
            <w:fldChar w:fldCharType="separate"/>
          </w:r>
          <w:r>
            <w:t>47</w:t>
          </w:r>
          <w:r>
            <w:fldChar w:fldCharType="end"/>
          </w:r>
          <w:r>
            <w:rPr>
              <w:color w:val="auto"/>
              <w:highlight w:val="none"/>
            </w:rPr>
            <w:fldChar w:fldCharType="end"/>
          </w:r>
        </w:p>
        <w:p>
          <w:pPr>
            <w:pStyle w:val="14"/>
            <w:tabs>
              <w:tab w:val="right" w:leader="dot" w:pos="9071"/>
            </w:tabs>
          </w:pPr>
          <w:r>
            <w:rPr>
              <w:color w:val="auto"/>
              <w:highlight w:val="none"/>
            </w:rPr>
            <w:fldChar w:fldCharType="begin"/>
          </w:r>
          <w:r>
            <w:rPr>
              <w:highlight w:val="none"/>
            </w:rPr>
            <w:instrText xml:space="preserve"> HYPERLINK \l _Toc32237 </w:instrText>
          </w:r>
          <w:r>
            <w:rPr>
              <w:highlight w:val="none"/>
            </w:rPr>
            <w:fldChar w:fldCharType="separate"/>
          </w:r>
          <w:r>
            <w:rPr>
              <w:rFonts w:hint="eastAsia" w:ascii="宋体" w:hAnsi="宋体" w:eastAsia="宋体" w:cs="宋体"/>
              <w:bCs/>
              <w:szCs w:val="24"/>
              <w:highlight w:val="none"/>
              <w:lang w:eastAsia="zh-CN"/>
            </w:rPr>
            <w:t>五、</w:t>
          </w:r>
          <w:r>
            <w:rPr>
              <w:rFonts w:hint="eastAsia" w:ascii="宋体" w:hAnsi="宋体" w:eastAsia="宋体" w:cs="宋体"/>
              <w:bCs/>
              <w:szCs w:val="24"/>
              <w:highlight w:val="none"/>
            </w:rPr>
            <w:t>定标</w:t>
          </w:r>
          <w:r>
            <w:tab/>
          </w:r>
          <w:r>
            <w:fldChar w:fldCharType="begin"/>
          </w:r>
          <w:r>
            <w:instrText xml:space="preserve"> PAGEREF _Toc32237 \h </w:instrText>
          </w:r>
          <w:r>
            <w:fldChar w:fldCharType="separate"/>
          </w:r>
          <w:r>
            <w:t>48</w:t>
          </w:r>
          <w:r>
            <w:fldChar w:fldCharType="end"/>
          </w:r>
          <w:r>
            <w:rPr>
              <w:color w:val="auto"/>
              <w:highlight w:val="none"/>
            </w:rPr>
            <w:fldChar w:fldCharType="end"/>
          </w:r>
        </w:p>
        <w:p>
          <w:pPr>
            <w:pStyle w:val="14"/>
            <w:tabs>
              <w:tab w:val="right" w:leader="dot" w:pos="9071"/>
            </w:tabs>
          </w:pPr>
          <w:r>
            <w:rPr>
              <w:color w:val="auto"/>
              <w:highlight w:val="none"/>
            </w:rPr>
            <w:fldChar w:fldCharType="begin"/>
          </w:r>
          <w:r>
            <w:rPr>
              <w:highlight w:val="none"/>
            </w:rPr>
            <w:instrText xml:space="preserve"> HYPERLINK \l _Toc31384 </w:instrText>
          </w:r>
          <w:r>
            <w:rPr>
              <w:highlight w:val="none"/>
            </w:rPr>
            <w:fldChar w:fldCharType="separate"/>
          </w:r>
          <w:r>
            <w:rPr>
              <w:rFonts w:hint="eastAsia" w:ascii="宋体" w:hAnsi="宋体" w:eastAsia="宋体" w:cs="宋体"/>
              <w:bCs/>
              <w:szCs w:val="24"/>
              <w:highlight w:val="none"/>
              <w:lang w:eastAsia="zh-CN"/>
            </w:rPr>
            <w:t>六、</w:t>
          </w:r>
          <w:r>
            <w:rPr>
              <w:rFonts w:hint="eastAsia" w:ascii="宋体" w:hAnsi="宋体" w:eastAsia="宋体" w:cs="宋体"/>
              <w:bCs/>
              <w:szCs w:val="24"/>
              <w:highlight w:val="none"/>
            </w:rPr>
            <w:t>评标专家在采购活动中承担以下义务：</w:t>
          </w:r>
          <w:r>
            <w:tab/>
          </w:r>
          <w:r>
            <w:fldChar w:fldCharType="begin"/>
          </w:r>
          <w:r>
            <w:instrText xml:space="preserve"> PAGEREF _Toc31384 \h </w:instrText>
          </w:r>
          <w:r>
            <w:fldChar w:fldCharType="separate"/>
          </w:r>
          <w:r>
            <w:t>48</w:t>
          </w:r>
          <w:r>
            <w:fldChar w:fldCharType="end"/>
          </w:r>
          <w:r>
            <w:rPr>
              <w:color w:val="auto"/>
              <w:highlight w:val="none"/>
            </w:rPr>
            <w:fldChar w:fldCharType="end"/>
          </w:r>
        </w:p>
        <w:p>
          <w:pPr>
            <w:pStyle w:val="14"/>
            <w:tabs>
              <w:tab w:val="right" w:leader="dot" w:pos="9071"/>
            </w:tabs>
          </w:pPr>
          <w:r>
            <w:rPr>
              <w:color w:val="auto"/>
              <w:highlight w:val="none"/>
            </w:rPr>
            <w:fldChar w:fldCharType="begin"/>
          </w:r>
          <w:r>
            <w:rPr>
              <w:highlight w:val="none"/>
            </w:rPr>
            <w:instrText xml:space="preserve"> HYPERLINK \l _Toc5511 </w:instrText>
          </w:r>
          <w:r>
            <w:rPr>
              <w:highlight w:val="none"/>
            </w:rPr>
            <w:fldChar w:fldCharType="separate"/>
          </w:r>
          <w:r>
            <w:rPr>
              <w:rFonts w:hint="eastAsia" w:ascii="宋体" w:hAnsi="宋体" w:eastAsia="宋体" w:cs="宋体"/>
              <w:bCs/>
              <w:szCs w:val="24"/>
              <w:highlight w:val="none"/>
              <w:lang w:eastAsia="zh-CN"/>
            </w:rPr>
            <w:t>七、</w:t>
          </w:r>
          <w:r>
            <w:rPr>
              <w:rFonts w:hint="eastAsia" w:ascii="宋体" w:hAnsi="宋体" w:eastAsia="宋体" w:cs="宋体"/>
              <w:bCs/>
              <w:szCs w:val="24"/>
              <w:highlight w:val="none"/>
            </w:rPr>
            <w:t>评标专家在采购活动中应当遵守以下工作纪律：</w:t>
          </w:r>
          <w:r>
            <w:tab/>
          </w:r>
          <w:r>
            <w:fldChar w:fldCharType="begin"/>
          </w:r>
          <w:r>
            <w:instrText xml:space="preserve"> PAGEREF _Toc5511 \h </w:instrText>
          </w:r>
          <w:r>
            <w:fldChar w:fldCharType="separate"/>
          </w:r>
          <w:r>
            <w:t>49</w:t>
          </w:r>
          <w:r>
            <w:fldChar w:fldCharType="end"/>
          </w:r>
          <w:r>
            <w:rPr>
              <w:color w:val="auto"/>
              <w:highlight w:val="none"/>
            </w:rPr>
            <w:fldChar w:fldCharType="end"/>
          </w:r>
        </w:p>
        <w:p>
          <w:pPr>
            <w:pStyle w:val="13"/>
            <w:tabs>
              <w:tab w:val="right" w:leader="dot" w:pos="9071"/>
            </w:tabs>
          </w:pPr>
          <w:r>
            <w:rPr>
              <w:color w:val="auto"/>
              <w:highlight w:val="none"/>
            </w:rPr>
            <w:fldChar w:fldCharType="begin"/>
          </w:r>
          <w:r>
            <w:rPr>
              <w:highlight w:val="none"/>
            </w:rPr>
            <w:instrText xml:space="preserve"> HYPERLINK \l _Toc28315 </w:instrText>
          </w:r>
          <w:r>
            <w:rPr>
              <w:highlight w:val="none"/>
            </w:rPr>
            <w:fldChar w:fldCharType="separate"/>
          </w:r>
          <w:r>
            <w:rPr>
              <w:rFonts w:hint="eastAsia" w:ascii="宋体" w:hAnsi="宋体" w:eastAsia="宋体" w:cs="宋体"/>
              <w:spacing w:val="11"/>
              <w:szCs w:val="36"/>
              <w:highlight w:val="none"/>
              <w14:textOutline w14:w="6540" w14:cap="sq" w14:cmpd="sng" w14:algn="ctr">
                <w14:solidFill>
                  <w14:srgbClr w14:val="000000"/>
                </w14:solidFill>
                <w14:prstDash w14:val="solid"/>
                <w14:bevel/>
              </w14:textOutline>
            </w:rPr>
            <w:t>第八章  合同主要条款</w:t>
          </w:r>
          <w:r>
            <w:tab/>
          </w:r>
          <w:r>
            <w:fldChar w:fldCharType="begin"/>
          </w:r>
          <w:r>
            <w:instrText xml:space="preserve"> PAGEREF _Toc28315 \h </w:instrText>
          </w:r>
          <w:r>
            <w:fldChar w:fldCharType="separate"/>
          </w:r>
          <w:r>
            <w:t>50</w:t>
          </w:r>
          <w:r>
            <w:fldChar w:fldCharType="end"/>
          </w:r>
          <w:r>
            <w:rPr>
              <w:color w:val="auto"/>
              <w:highlight w:val="none"/>
            </w:rPr>
            <w:fldChar w:fldCharType="end"/>
          </w:r>
        </w:p>
        <w:p>
          <w:pPr>
            <w:spacing w:line="240" w:lineRule="auto"/>
            <w:rPr>
              <w:color w:val="auto"/>
              <w:highlight w:val="none"/>
            </w:rPr>
          </w:pPr>
          <w:r>
            <w:rPr>
              <w:color w:val="auto"/>
              <w:highlight w:val="none"/>
            </w:rPr>
            <w:fldChar w:fldCharType="end"/>
          </w:r>
        </w:p>
      </w:sdtContent>
    </w:sdt>
    <w:p>
      <w:pPr>
        <w:spacing w:line="240" w:lineRule="auto"/>
        <w:rPr>
          <w:color w:val="auto"/>
          <w:highlight w:val="none"/>
        </w:rPr>
      </w:pPr>
    </w:p>
    <w:p>
      <w:pPr>
        <w:spacing w:line="240" w:lineRule="auto"/>
        <w:rPr>
          <w:rFonts w:hint="eastAsia"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pPr>
      <w:r>
        <w:rPr>
          <w:rFonts w:hint="eastAsia"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br w:type="page"/>
      </w:r>
    </w:p>
    <w:p>
      <w:pPr>
        <w:spacing w:before="114" w:line="240" w:lineRule="auto"/>
        <w:jc w:val="center"/>
        <w:outlineLvl w:val="0"/>
        <w:rPr>
          <w:rFonts w:ascii="宋体" w:hAnsi="宋体" w:eastAsia="宋体" w:cs="宋体"/>
          <w:color w:val="auto"/>
          <w:sz w:val="36"/>
          <w:szCs w:val="36"/>
          <w:highlight w:val="none"/>
        </w:rPr>
      </w:pPr>
      <w:bookmarkStart w:id="2" w:name="_Toc3463"/>
      <w:r>
        <w:rPr>
          <w:rFonts w:hint="eastAsia"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t>第</w:t>
      </w:r>
      <w:r>
        <w:rPr>
          <w:rFonts w:hint="eastAsia" w:ascii="宋体" w:hAnsi="宋体" w:eastAsia="宋体" w:cs="宋体"/>
          <w:color w:val="auto"/>
          <w:spacing w:val="8"/>
          <w:sz w:val="36"/>
          <w:szCs w:val="36"/>
          <w:highlight w:val="none"/>
          <w14:textOutline w14:w="6540" w14:cap="sq" w14:cmpd="sng" w14:algn="ctr">
            <w14:solidFill>
              <w14:srgbClr w14:val="000000"/>
            </w14:solidFill>
            <w14:prstDash w14:val="solid"/>
            <w14:bevel/>
          </w14:textOutline>
        </w:rPr>
        <w:t>一章</w:t>
      </w:r>
      <w:r>
        <w:rPr>
          <w:rFonts w:hint="eastAsia" w:ascii="宋体" w:hAnsi="宋体" w:eastAsia="宋体" w:cs="宋体"/>
          <w:color w:val="auto"/>
          <w:spacing w:val="8"/>
          <w:sz w:val="36"/>
          <w:szCs w:val="36"/>
          <w:highlight w:val="none"/>
        </w:rPr>
        <w:t xml:space="preserve">  </w:t>
      </w:r>
      <w:r>
        <w:rPr>
          <w:rFonts w:hint="eastAsia" w:ascii="宋体" w:hAnsi="宋体" w:eastAsia="宋体" w:cs="宋体"/>
          <w:color w:val="auto"/>
          <w:spacing w:val="8"/>
          <w:sz w:val="36"/>
          <w:szCs w:val="36"/>
          <w:highlight w:val="none"/>
          <w14:textOutline w14:w="6540" w14:cap="sq" w14:cmpd="sng" w14:algn="ctr">
            <w14:solidFill>
              <w14:srgbClr w14:val="000000"/>
            </w14:solidFill>
            <w14:prstDash w14:val="solid"/>
            <w14:bevel/>
          </w14:textOutline>
        </w:rPr>
        <w:t>投标邀请</w:t>
      </w:r>
      <w:bookmarkEnd w:id="2"/>
    </w:p>
    <w:p>
      <w:pPr>
        <w:spacing w:line="240" w:lineRule="auto"/>
        <w:rPr>
          <w:color w:val="auto"/>
          <w:highlight w:val="none"/>
        </w:rPr>
      </w:pPr>
    </w:p>
    <w:p>
      <w:pPr>
        <w:spacing w:line="240" w:lineRule="auto"/>
        <w:rPr>
          <w:color w:val="auto"/>
          <w:highlight w:val="none"/>
        </w:rPr>
      </w:pPr>
    </w:p>
    <w:p>
      <w:pPr>
        <w:spacing w:line="24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u w:val="single"/>
          <w:lang w:eastAsia="zh-CN"/>
        </w:rPr>
        <w:t>四川铭信工程招标咨询有限公司</w:t>
      </w:r>
      <w:r>
        <w:rPr>
          <w:rFonts w:ascii="宋体" w:hAnsi="宋体" w:eastAsia="宋体" w:cs="宋体"/>
          <w:color w:val="auto"/>
          <w:sz w:val="24"/>
          <w:szCs w:val="24"/>
          <w:highlight w:val="none"/>
        </w:rPr>
        <w:t>受</w:t>
      </w:r>
      <w:r>
        <w:rPr>
          <w:rFonts w:hint="eastAsia" w:ascii="宋体" w:hAnsi="宋体" w:eastAsia="宋体" w:cs="宋体"/>
          <w:b/>
          <w:bCs/>
          <w:color w:val="auto"/>
          <w:sz w:val="24"/>
          <w:szCs w:val="24"/>
          <w:highlight w:val="none"/>
          <w:u w:val="single"/>
          <w:lang w:eastAsia="zh-CN"/>
        </w:rPr>
        <w:t>成都市技师学院</w:t>
      </w:r>
      <w:r>
        <w:rPr>
          <w:rFonts w:ascii="宋体" w:hAnsi="宋体" w:eastAsia="宋体" w:cs="宋体"/>
          <w:color w:val="auto"/>
          <w:sz w:val="24"/>
          <w:szCs w:val="24"/>
          <w:highlight w:val="none"/>
        </w:rPr>
        <w:t>委托，拟对</w:t>
      </w:r>
      <w:r>
        <w:rPr>
          <w:rFonts w:hint="eastAsia" w:ascii="宋体" w:hAnsi="宋体" w:eastAsia="宋体" w:cs="宋体"/>
          <w:b/>
          <w:bCs/>
          <w:color w:val="auto"/>
          <w:sz w:val="24"/>
          <w:szCs w:val="24"/>
          <w:highlight w:val="none"/>
          <w:u w:val="single"/>
          <w:lang w:eastAsia="zh-CN"/>
        </w:rPr>
        <w:t>成都市技师学院（成都工贸职业技术学院）2024级学生军训服采购项目</w:t>
      </w:r>
      <w:r>
        <w:rPr>
          <w:rFonts w:ascii="宋体" w:hAnsi="宋体" w:eastAsia="宋体" w:cs="宋体"/>
          <w:color w:val="auto"/>
          <w:sz w:val="24"/>
          <w:szCs w:val="24"/>
          <w:highlight w:val="none"/>
        </w:rPr>
        <w:t>进行国内公开招标，兹邀请符合本次招标要求的</w:t>
      </w:r>
      <w:r>
        <w:rPr>
          <w:rFonts w:hint="eastAsia" w:ascii="宋体" w:hAnsi="宋体" w:eastAsia="宋体" w:cs="宋体"/>
          <w:color w:val="auto"/>
          <w:sz w:val="24"/>
          <w:szCs w:val="24"/>
          <w:highlight w:val="none"/>
          <w:lang w:eastAsia="zh-CN"/>
        </w:rPr>
        <w:t>招标人</w:t>
      </w:r>
      <w:r>
        <w:rPr>
          <w:rFonts w:ascii="宋体" w:hAnsi="宋体" w:eastAsia="宋体" w:cs="宋体"/>
          <w:color w:val="auto"/>
          <w:sz w:val="24"/>
          <w:szCs w:val="24"/>
          <w:highlight w:val="none"/>
        </w:rPr>
        <w:t>参加投标。</w:t>
      </w:r>
    </w:p>
    <w:p>
      <w:pPr>
        <w:spacing w:line="24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一、招标编号：SCMX-SC-2024-1071 </w:t>
      </w:r>
    </w:p>
    <w:p>
      <w:pPr>
        <w:spacing w:line="24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二、招标项目：</w:t>
      </w:r>
      <w:r>
        <w:rPr>
          <w:rFonts w:hint="eastAsia" w:ascii="宋体" w:hAnsi="宋体" w:eastAsia="宋体" w:cs="宋体"/>
          <w:b/>
          <w:bCs/>
          <w:color w:val="auto"/>
          <w:sz w:val="24"/>
          <w:szCs w:val="24"/>
          <w:highlight w:val="none"/>
          <w:lang w:eastAsia="zh-CN"/>
        </w:rPr>
        <w:t>成都市技师学院（成都工贸职业技术学院）2024级学生军训服采购项目。</w:t>
      </w:r>
    </w:p>
    <w:p>
      <w:pPr>
        <w:spacing w:line="24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w:t>
      </w:r>
      <w:r>
        <w:rPr>
          <w:rFonts w:hint="eastAsia" w:ascii="宋体" w:hAnsi="宋体" w:eastAsia="宋体" w:cs="宋体"/>
          <w:b/>
          <w:bCs/>
          <w:color w:val="auto"/>
          <w:sz w:val="24"/>
          <w:szCs w:val="24"/>
          <w:highlight w:val="none"/>
          <w:lang w:val="en-US" w:eastAsia="zh-CN"/>
        </w:rPr>
        <w:t>最高限价</w:t>
      </w:r>
      <w:r>
        <w:rPr>
          <w:rFonts w:hint="eastAsia" w:ascii="宋体" w:hAnsi="宋体" w:eastAsia="宋体" w:cs="宋体"/>
          <w:b/>
          <w:bCs/>
          <w:color w:val="auto"/>
          <w:sz w:val="24"/>
          <w:szCs w:val="24"/>
          <w:highlight w:val="none"/>
        </w:rPr>
        <w:t>：学生自费，单价最高限价为</w:t>
      </w:r>
      <w:r>
        <w:rPr>
          <w:rFonts w:hint="eastAsia" w:ascii="宋体" w:hAnsi="宋体" w:eastAsia="宋体" w:cs="宋体"/>
          <w:b/>
          <w:bCs/>
          <w:color w:val="auto"/>
          <w:sz w:val="24"/>
          <w:szCs w:val="24"/>
          <w:highlight w:val="none"/>
          <w:lang w:val="en-US" w:eastAsia="zh-CN"/>
        </w:rPr>
        <w:t>120元/套</w:t>
      </w:r>
      <w:r>
        <w:rPr>
          <w:rFonts w:hint="eastAsia" w:ascii="宋体" w:hAnsi="宋体" w:eastAsia="宋体" w:cs="宋体"/>
          <w:b/>
          <w:bCs/>
          <w:color w:val="auto"/>
          <w:sz w:val="24"/>
          <w:szCs w:val="24"/>
          <w:highlight w:val="none"/>
        </w:rPr>
        <w:t>。投标人在单价最高限价的基础上进行整体下浮报价，报价不得为负数，否则将被作无效</w:t>
      </w:r>
      <w:r>
        <w:rPr>
          <w:rFonts w:hint="eastAsia" w:ascii="宋体" w:hAnsi="宋体" w:eastAsia="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rPr>
        <w:t>处理。</w:t>
      </w:r>
    </w:p>
    <w:p>
      <w:pPr>
        <w:spacing w:line="240" w:lineRule="auto"/>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四、招标项目简介：</w:t>
      </w:r>
      <w:r>
        <w:rPr>
          <w:rFonts w:hint="eastAsia" w:ascii="宋体" w:hAnsi="宋体" w:eastAsia="宋体" w:cs="宋体"/>
          <w:b/>
          <w:bCs/>
          <w:color w:val="auto"/>
          <w:sz w:val="24"/>
          <w:szCs w:val="24"/>
          <w:highlight w:val="none"/>
          <w:lang w:val="en-US" w:eastAsia="zh-CN"/>
        </w:rPr>
        <w:t>本项目拟采购一名供应商为成都市技师学院（成都工贸职业技术学院）2024级新生提供军训服。涉及军训的有四个校区（郫都校区、郫都西校区、新都校区、成华校区）。招标人计划招生约为：5000人，其中中职1200人，高职:3800人（最终以实际招生为准）。</w:t>
      </w:r>
    </w:p>
    <w:p>
      <w:pPr>
        <w:spacing w:line="24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w:t>
      </w:r>
      <w:r>
        <w:rPr>
          <w:rFonts w:hint="eastAsia" w:ascii="宋体" w:hAnsi="宋体" w:eastAsia="宋体" w:cs="宋体"/>
          <w:b/>
          <w:bCs/>
          <w:color w:val="auto"/>
          <w:sz w:val="24"/>
          <w:szCs w:val="24"/>
          <w:highlight w:val="none"/>
          <w:lang w:eastAsia="zh-CN"/>
        </w:rPr>
        <w:t>招标人</w:t>
      </w:r>
      <w:r>
        <w:rPr>
          <w:rFonts w:hint="eastAsia" w:ascii="宋体" w:hAnsi="宋体" w:eastAsia="宋体" w:cs="宋体"/>
          <w:b/>
          <w:bCs/>
          <w:color w:val="auto"/>
          <w:sz w:val="24"/>
          <w:szCs w:val="24"/>
          <w:highlight w:val="none"/>
        </w:rPr>
        <w:t>参加本次采购活动，应当在提交投标文件前具备下列条件：</w:t>
      </w:r>
    </w:p>
    <w:p>
      <w:pPr>
        <w:spacing w:line="240" w:lineRule="auto"/>
        <w:ind w:firstLine="480" w:firstLineChars="200"/>
        <w:rPr>
          <w:rFonts w:ascii="宋体" w:hAnsi="宋体" w:eastAsia="宋体" w:cs="宋体"/>
          <w:color w:val="auto"/>
          <w:sz w:val="24"/>
          <w:szCs w:val="24"/>
          <w:highlight w:val="none"/>
        </w:rPr>
      </w:pPr>
      <w:bookmarkStart w:id="3" w:name="_Toc823"/>
      <w:r>
        <w:rPr>
          <w:rFonts w:ascii="宋体" w:hAnsi="宋体" w:eastAsia="宋体" w:cs="宋体"/>
          <w:color w:val="auto"/>
          <w:position w:val="1"/>
          <w:sz w:val="24"/>
          <w:szCs w:val="24"/>
          <w:highlight w:val="none"/>
        </w:rPr>
        <w:t>1、满足《中华人民共和国政府采购法》第二十二条规定；</w:t>
      </w:r>
      <w:bookmarkEnd w:id="3"/>
    </w:p>
    <w:p>
      <w:pPr>
        <w:spacing w:line="240" w:lineRule="auto"/>
        <w:ind w:firstLine="480" w:firstLineChars="200"/>
        <w:rPr>
          <w:rFonts w:hint="default"/>
          <w:color w:val="auto"/>
          <w:highlight w:val="none"/>
          <w:lang w:val="en-US" w:eastAsia="zh-CN"/>
        </w:rPr>
      </w:pP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w:t>
      </w:r>
      <w:bookmarkStart w:id="4" w:name="_Toc17420"/>
      <w:r>
        <w:rPr>
          <w:rFonts w:hint="eastAsia" w:ascii="宋体" w:hAnsi="宋体" w:eastAsia="宋体" w:cs="宋体"/>
          <w:color w:val="auto"/>
          <w:sz w:val="24"/>
          <w:szCs w:val="24"/>
          <w:highlight w:val="none"/>
        </w:rPr>
        <w:t>本项目不接受联合体投标</w:t>
      </w:r>
      <w:bookmarkEnd w:id="4"/>
      <w:r>
        <w:rPr>
          <w:rFonts w:hint="eastAsia" w:ascii="宋体" w:hAnsi="宋体" w:eastAsia="宋体" w:cs="宋体"/>
          <w:color w:val="auto"/>
          <w:sz w:val="24"/>
          <w:szCs w:val="24"/>
          <w:highlight w:val="none"/>
          <w:lang w:eastAsia="zh-CN"/>
        </w:rPr>
        <w:t>；</w:t>
      </w:r>
    </w:p>
    <w:p>
      <w:pPr>
        <w:spacing w:line="240" w:lineRule="auto"/>
        <w:ind w:firstLine="482" w:firstLineChars="200"/>
        <w:rPr>
          <w:rFonts w:hint="eastAsia" w:ascii="宋体" w:hAnsi="宋体" w:eastAsia="宋体" w:cs="宋体"/>
          <w:b/>
          <w:bCs/>
          <w:color w:val="auto"/>
          <w:sz w:val="24"/>
          <w:szCs w:val="24"/>
          <w:highlight w:val="none"/>
          <w:lang w:eastAsia="zh-CN"/>
        </w:rPr>
      </w:pPr>
      <w:bookmarkStart w:id="5" w:name="_Toc13310"/>
      <w:r>
        <w:rPr>
          <w:rFonts w:hint="eastAsia" w:ascii="宋体" w:hAnsi="宋体" w:eastAsia="宋体" w:cs="宋体"/>
          <w:b/>
          <w:bCs/>
          <w:color w:val="auto"/>
          <w:sz w:val="24"/>
          <w:szCs w:val="24"/>
          <w:highlight w:val="none"/>
        </w:rPr>
        <w:t>六、严禁参加本次</w:t>
      </w:r>
      <w:r>
        <w:rPr>
          <w:rFonts w:hint="eastAsia" w:ascii="宋体" w:hAnsi="宋体" w:eastAsia="宋体" w:cs="宋体"/>
          <w:b/>
          <w:bCs/>
          <w:color w:val="auto"/>
          <w:sz w:val="24"/>
          <w:szCs w:val="24"/>
          <w:highlight w:val="none"/>
          <w:lang w:eastAsia="zh-CN"/>
        </w:rPr>
        <w:t>招标</w:t>
      </w:r>
      <w:r>
        <w:rPr>
          <w:rFonts w:hint="eastAsia" w:ascii="宋体" w:hAnsi="宋体" w:eastAsia="宋体" w:cs="宋体"/>
          <w:b/>
          <w:bCs/>
          <w:color w:val="auto"/>
          <w:sz w:val="24"/>
          <w:szCs w:val="24"/>
          <w:highlight w:val="none"/>
        </w:rPr>
        <w:t>活动的</w:t>
      </w:r>
      <w:bookmarkEnd w:id="5"/>
      <w:r>
        <w:rPr>
          <w:rFonts w:hint="eastAsia" w:ascii="宋体" w:hAnsi="宋体" w:eastAsia="宋体" w:cs="宋体"/>
          <w:b/>
          <w:bCs/>
          <w:color w:val="auto"/>
          <w:sz w:val="24"/>
          <w:szCs w:val="24"/>
          <w:highlight w:val="none"/>
          <w:lang w:eastAsia="zh-CN"/>
        </w:rPr>
        <w:t>投标人</w:t>
      </w:r>
    </w:p>
    <w:p>
      <w:pPr>
        <w:tabs>
          <w:tab w:val="left" w:pos="148"/>
        </w:tabs>
        <w:spacing w:line="240" w:lineRule="auto"/>
        <w:ind w:firstLine="480" w:firstLineChars="20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1.根据《关于在政府采购活动中查询及使用信用记录有关问题的通知》</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财库〔2016〕125号</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的要求，</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 xml:space="preserve">将通过“信用中国”网站 </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t>(www.creditchina.gov.cn) 、“中国政府采购网”网站 (www.ccgp.gov.cn</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等渠道查询</w:t>
      </w:r>
      <w:r>
        <w:rPr>
          <w:rFonts w:hint="eastAsia" w:ascii="宋体" w:hAnsi="宋体" w:eastAsia="宋体" w:cs="宋体"/>
          <w:color w:val="auto"/>
          <w:sz w:val="24"/>
          <w:szCs w:val="24"/>
          <w:highlight w:val="none"/>
          <w:lang w:eastAsia="zh-CN"/>
        </w:rPr>
        <w:t>投标人</w:t>
      </w:r>
      <w:r>
        <w:rPr>
          <w:rFonts w:ascii="宋体" w:hAnsi="宋体" w:eastAsia="宋体" w:cs="宋体"/>
          <w:color w:val="auto"/>
          <w:sz w:val="24"/>
          <w:szCs w:val="24"/>
          <w:highlight w:val="none"/>
        </w:rPr>
        <w:t>在递交投标文件截止之日的信用记录并保存信用记录结果网页截图，拒绝列入失信被执行人名单、重大税收违法案件当事人名单、政府采购严重违法失信行为记录名单中的</w:t>
      </w:r>
      <w:r>
        <w:rPr>
          <w:rFonts w:hint="eastAsia" w:ascii="宋体" w:hAnsi="宋体" w:eastAsia="宋体" w:cs="宋体"/>
          <w:color w:val="auto"/>
          <w:sz w:val="24"/>
          <w:szCs w:val="24"/>
          <w:highlight w:val="none"/>
          <w:lang w:eastAsia="zh-CN"/>
        </w:rPr>
        <w:t>投标人</w:t>
      </w:r>
      <w:r>
        <w:rPr>
          <w:rFonts w:ascii="宋体" w:hAnsi="宋体" w:eastAsia="宋体" w:cs="宋体"/>
          <w:color w:val="auto"/>
          <w:sz w:val="24"/>
          <w:szCs w:val="24"/>
          <w:highlight w:val="none"/>
        </w:rPr>
        <w:t>参加本项目的采购活动。</w:t>
      </w:r>
    </w:p>
    <w:p>
      <w:pPr>
        <w:tabs>
          <w:tab w:val="left" w:pos="148"/>
        </w:tabs>
        <w:spacing w:line="240" w:lineRule="auto"/>
        <w:ind w:firstLine="480" w:firstLineChars="20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2.为</w:t>
      </w:r>
      <w:r>
        <w:rPr>
          <w:rFonts w:hint="eastAsia" w:ascii="宋体" w:hAnsi="宋体" w:eastAsia="宋体" w:cs="宋体"/>
          <w:color w:val="auto"/>
          <w:sz w:val="24"/>
          <w:szCs w:val="24"/>
          <w:highlight w:val="none"/>
          <w:lang w:eastAsia="zh-CN"/>
        </w:rPr>
        <w:t>招标</w:t>
      </w:r>
      <w:r>
        <w:rPr>
          <w:rFonts w:ascii="宋体" w:hAnsi="宋体" w:eastAsia="宋体" w:cs="宋体"/>
          <w:color w:val="auto"/>
          <w:sz w:val="24"/>
          <w:szCs w:val="24"/>
          <w:highlight w:val="none"/>
        </w:rPr>
        <w:t>项目提供整体设计、规范编制或者项目管理、监理、检测等服务的</w:t>
      </w:r>
      <w:r>
        <w:rPr>
          <w:rFonts w:hint="eastAsia" w:ascii="宋体" w:hAnsi="宋体" w:eastAsia="宋体" w:cs="宋体"/>
          <w:color w:val="auto"/>
          <w:sz w:val="24"/>
          <w:szCs w:val="24"/>
          <w:highlight w:val="none"/>
          <w:lang w:eastAsia="zh-CN"/>
        </w:rPr>
        <w:t>投标人</w:t>
      </w:r>
      <w:r>
        <w:rPr>
          <w:rFonts w:ascii="宋体" w:hAnsi="宋体" w:eastAsia="宋体" w:cs="宋体"/>
          <w:color w:val="auto"/>
          <w:sz w:val="24"/>
          <w:szCs w:val="24"/>
          <w:highlight w:val="none"/>
        </w:rPr>
        <w:t>，不得参加本采购项目。</w:t>
      </w:r>
      <w:r>
        <w:rPr>
          <w:rFonts w:hint="eastAsia" w:ascii="宋体" w:hAnsi="宋体" w:eastAsia="宋体" w:cs="宋体"/>
          <w:color w:val="auto"/>
          <w:sz w:val="24"/>
          <w:szCs w:val="24"/>
          <w:highlight w:val="none"/>
          <w:lang w:eastAsia="zh-CN"/>
        </w:rPr>
        <w:t>投标人</w:t>
      </w:r>
      <w:r>
        <w:rPr>
          <w:rFonts w:ascii="宋体" w:hAnsi="宋体" w:eastAsia="宋体" w:cs="宋体"/>
          <w:color w:val="auto"/>
          <w:sz w:val="24"/>
          <w:szCs w:val="24"/>
          <w:highlight w:val="none"/>
        </w:rPr>
        <w:t>为</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在确定采购需求、编制招标文件过程中提供咨询论证，其提供的咨询论证意见成为招标文件中规定的</w:t>
      </w:r>
      <w:r>
        <w:rPr>
          <w:rFonts w:hint="eastAsia" w:ascii="宋体" w:hAnsi="宋体" w:eastAsia="宋体" w:cs="宋体"/>
          <w:color w:val="auto"/>
          <w:sz w:val="24"/>
          <w:szCs w:val="24"/>
          <w:highlight w:val="none"/>
          <w:lang w:eastAsia="zh-CN"/>
        </w:rPr>
        <w:t>投标人</w:t>
      </w:r>
      <w:r>
        <w:rPr>
          <w:rFonts w:ascii="宋体" w:hAnsi="宋体" w:eastAsia="宋体" w:cs="宋体"/>
          <w:color w:val="auto"/>
          <w:sz w:val="24"/>
          <w:szCs w:val="24"/>
          <w:highlight w:val="none"/>
        </w:rPr>
        <w:t>资格条件、技术服务商务要求、评审因素和标准、采购合同等实质性内容条款的，视同为</w:t>
      </w:r>
      <w:r>
        <w:rPr>
          <w:rFonts w:hint="eastAsia" w:ascii="宋体" w:hAnsi="宋体" w:eastAsia="宋体" w:cs="宋体"/>
          <w:color w:val="auto"/>
          <w:sz w:val="24"/>
          <w:szCs w:val="24"/>
          <w:highlight w:val="none"/>
          <w:lang w:eastAsia="zh-CN"/>
        </w:rPr>
        <w:t>招标</w:t>
      </w:r>
      <w:r>
        <w:rPr>
          <w:rFonts w:ascii="宋体" w:hAnsi="宋体" w:eastAsia="宋体" w:cs="宋体"/>
          <w:color w:val="auto"/>
          <w:sz w:val="24"/>
          <w:szCs w:val="24"/>
          <w:highlight w:val="none"/>
        </w:rPr>
        <w:t>项目提供规范编制。</w:t>
      </w:r>
    </w:p>
    <w:p>
      <w:pPr>
        <w:spacing w:line="240" w:lineRule="auto"/>
        <w:ind w:firstLine="482" w:firstLineChars="200"/>
        <w:rPr>
          <w:rFonts w:ascii="宋体" w:hAnsi="宋体" w:eastAsia="宋体" w:cs="宋体"/>
          <w:b/>
          <w:bCs/>
          <w:color w:val="auto"/>
          <w:sz w:val="24"/>
          <w:szCs w:val="24"/>
          <w:highlight w:val="none"/>
        </w:rPr>
      </w:pPr>
      <w:bookmarkStart w:id="6" w:name="_Toc20036"/>
      <w:r>
        <w:rPr>
          <w:rFonts w:hint="eastAsia" w:ascii="宋体" w:hAnsi="宋体" w:eastAsia="宋体" w:cs="宋体"/>
          <w:b/>
          <w:bCs/>
          <w:color w:val="auto"/>
          <w:sz w:val="24"/>
          <w:szCs w:val="24"/>
          <w:highlight w:val="none"/>
        </w:rPr>
        <w:t>七、招标文件获取</w:t>
      </w:r>
      <w:bookmarkEnd w:id="6"/>
    </w:p>
    <w:p>
      <w:pPr>
        <w:tabs>
          <w:tab w:val="left" w:pos="148"/>
        </w:tabs>
        <w:spacing w:line="24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eastAsia="zh-CN"/>
        </w:rPr>
        <w:t>招标</w:t>
      </w:r>
      <w:r>
        <w:rPr>
          <w:rFonts w:hint="eastAsia" w:ascii="宋体" w:hAnsi="宋体" w:eastAsia="宋体" w:cs="宋体"/>
          <w:b w:val="0"/>
          <w:bCs w:val="0"/>
          <w:color w:val="auto"/>
          <w:sz w:val="24"/>
          <w:szCs w:val="24"/>
          <w:highlight w:val="none"/>
        </w:rPr>
        <w:t>文件自2024年</w:t>
      </w: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日至2024年</w:t>
      </w: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lang w:val="en-US" w:eastAsia="zh-CN"/>
        </w:rPr>
        <w:t>16</w:t>
      </w:r>
      <w:r>
        <w:rPr>
          <w:rFonts w:hint="eastAsia" w:ascii="宋体" w:hAnsi="宋体" w:eastAsia="宋体" w:cs="宋体"/>
          <w:b w:val="0"/>
          <w:bCs w:val="0"/>
          <w:color w:val="auto"/>
          <w:sz w:val="24"/>
          <w:szCs w:val="24"/>
          <w:highlight w:val="none"/>
        </w:rPr>
        <w:t>日9：00-12：00，14：00-17：00可通过邮件获取，</w:t>
      </w:r>
      <w:r>
        <w:rPr>
          <w:rFonts w:hint="eastAsia" w:ascii="宋体" w:hAnsi="宋体" w:eastAsia="宋体" w:cs="宋体"/>
          <w:b w:val="0"/>
          <w:bCs w:val="0"/>
          <w:color w:val="auto"/>
          <w:sz w:val="24"/>
          <w:szCs w:val="24"/>
          <w:highlight w:val="none"/>
          <w:lang w:eastAsia="zh-CN"/>
        </w:rPr>
        <w:t>招标</w:t>
      </w:r>
      <w:r>
        <w:rPr>
          <w:rFonts w:hint="eastAsia" w:ascii="宋体" w:hAnsi="宋体" w:eastAsia="宋体" w:cs="宋体"/>
          <w:b w:val="0"/>
          <w:bCs w:val="0"/>
          <w:color w:val="auto"/>
          <w:sz w:val="24"/>
          <w:szCs w:val="24"/>
          <w:highlight w:val="none"/>
        </w:rPr>
        <w:t>文件售价300元/份（</w:t>
      </w:r>
      <w:r>
        <w:rPr>
          <w:rFonts w:hint="eastAsia" w:ascii="宋体" w:hAnsi="宋体" w:eastAsia="宋体" w:cs="宋体"/>
          <w:b w:val="0"/>
          <w:bCs w:val="0"/>
          <w:color w:val="auto"/>
          <w:sz w:val="24"/>
          <w:szCs w:val="24"/>
          <w:highlight w:val="none"/>
          <w:lang w:eastAsia="zh-CN"/>
        </w:rPr>
        <w:t>招标</w:t>
      </w:r>
      <w:r>
        <w:rPr>
          <w:rFonts w:hint="eastAsia" w:ascii="宋体" w:hAnsi="宋体" w:eastAsia="宋体" w:cs="宋体"/>
          <w:b w:val="0"/>
          <w:bCs w:val="0"/>
          <w:color w:val="auto"/>
          <w:sz w:val="24"/>
          <w:szCs w:val="24"/>
          <w:highlight w:val="none"/>
        </w:rPr>
        <w:t>文件售后不退，</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资格不能转让）。</w:t>
      </w:r>
    </w:p>
    <w:p>
      <w:pPr>
        <w:tabs>
          <w:tab w:val="left" w:pos="148"/>
        </w:tabs>
        <w:spacing w:line="240" w:lineRule="auto"/>
        <w:ind w:firstLine="480" w:firstLineChars="200"/>
        <w:rPr>
          <w:rFonts w:hint="eastAsia" w:ascii="宋体" w:hAnsi="宋体" w:eastAsia="宋体" w:cs="宋体"/>
          <w:b w:val="0"/>
          <w:bCs w:val="0"/>
          <w:color w:val="auto"/>
          <w:sz w:val="24"/>
          <w:szCs w:val="24"/>
          <w:highlight w:val="none"/>
        </w:rPr>
      </w:pPr>
      <w:bookmarkStart w:id="199" w:name="_GoBack"/>
      <w:bookmarkEnd w:id="199"/>
      <w:r>
        <w:rPr>
          <w:rFonts w:hint="eastAsia" w:ascii="宋体" w:hAnsi="宋体" w:eastAsia="宋体" w:cs="宋体"/>
          <w:b w:val="0"/>
          <w:bCs w:val="0"/>
          <w:color w:val="auto"/>
          <w:sz w:val="24"/>
          <w:szCs w:val="24"/>
          <w:highlight w:val="none"/>
        </w:rPr>
        <w:t>收款账号名称：四川铭信工程招标咨询有限公司</w:t>
      </w:r>
    </w:p>
    <w:p>
      <w:pPr>
        <w:tabs>
          <w:tab w:val="left" w:pos="148"/>
        </w:tabs>
        <w:spacing w:line="24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开户行：四川银行股份有限公司成都天府广场支行</w:t>
      </w:r>
    </w:p>
    <w:p>
      <w:pPr>
        <w:tabs>
          <w:tab w:val="left" w:pos="148"/>
        </w:tabs>
        <w:spacing w:line="24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银行账号：78220100072502592。</w:t>
      </w:r>
    </w:p>
    <w:p>
      <w:pPr>
        <w:tabs>
          <w:tab w:val="left" w:pos="148"/>
        </w:tabs>
        <w:spacing w:line="24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2、获取</w:t>
      </w:r>
      <w:r>
        <w:rPr>
          <w:rFonts w:hint="eastAsia" w:ascii="宋体" w:hAnsi="宋体" w:eastAsia="宋体" w:cs="宋体"/>
          <w:b w:val="0"/>
          <w:bCs w:val="0"/>
          <w:color w:val="auto"/>
          <w:sz w:val="24"/>
          <w:szCs w:val="24"/>
          <w:highlight w:val="none"/>
          <w:lang w:eastAsia="zh-CN"/>
        </w:rPr>
        <w:t>招标</w:t>
      </w:r>
      <w:r>
        <w:rPr>
          <w:rFonts w:hint="eastAsia" w:ascii="宋体" w:hAnsi="宋体" w:eastAsia="宋体" w:cs="宋体"/>
          <w:b w:val="0"/>
          <w:bCs w:val="0"/>
          <w:color w:val="auto"/>
          <w:sz w:val="24"/>
          <w:szCs w:val="24"/>
          <w:highlight w:val="none"/>
        </w:rPr>
        <w:t>文件时将下列有效证明文件资料扫描发送至scmxgczx@163.com（邮箱名称）（邮件名称为XXXX公司XXX项目获取</w:t>
      </w:r>
      <w:r>
        <w:rPr>
          <w:rFonts w:hint="eastAsia" w:ascii="宋体" w:hAnsi="宋体" w:eastAsia="宋体" w:cs="宋体"/>
          <w:b w:val="0"/>
          <w:bCs w:val="0"/>
          <w:color w:val="auto"/>
          <w:sz w:val="24"/>
          <w:szCs w:val="24"/>
          <w:highlight w:val="none"/>
          <w:lang w:eastAsia="zh-CN"/>
        </w:rPr>
        <w:t>招标</w:t>
      </w:r>
      <w:r>
        <w:rPr>
          <w:rFonts w:hint="eastAsia" w:ascii="宋体" w:hAnsi="宋体" w:eastAsia="宋体" w:cs="宋体"/>
          <w:b w:val="0"/>
          <w:bCs w:val="0"/>
          <w:color w:val="auto"/>
          <w:sz w:val="24"/>
          <w:szCs w:val="24"/>
          <w:highlight w:val="none"/>
        </w:rPr>
        <w:t>文件资料）进行邮件获取，审核通过后获取</w:t>
      </w:r>
      <w:r>
        <w:rPr>
          <w:rFonts w:hint="eastAsia" w:ascii="宋体" w:hAnsi="宋体" w:eastAsia="宋体" w:cs="宋体"/>
          <w:b w:val="0"/>
          <w:bCs w:val="0"/>
          <w:color w:val="auto"/>
          <w:sz w:val="24"/>
          <w:szCs w:val="24"/>
          <w:highlight w:val="none"/>
          <w:lang w:eastAsia="zh-CN"/>
        </w:rPr>
        <w:t>招标</w:t>
      </w:r>
      <w:r>
        <w:rPr>
          <w:rFonts w:hint="eastAsia" w:ascii="宋体" w:hAnsi="宋体" w:eastAsia="宋体" w:cs="宋体"/>
          <w:b w:val="0"/>
          <w:bCs w:val="0"/>
          <w:color w:val="auto"/>
          <w:sz w:val="24"/>
          <w:szCs w:val="24"/>
          <w:highlight w:val="none"/>
        </w:rPr>
        <w:t>文件：</w:t>
      </w:r>
    </w:p>
    <w:p>
      <w:pPr>
        <w:tabs>
          <w:tab w:val="left" w:pos="148"/>
        </w:tabs>
        <w:spacing w:line="24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授权代表负责报名的应提供单位介绍信原件或授权委托书原件以及授权代表身份证复印件；法定代表人或单位负责人负责报名的应提供法人身份证明书以及法人身份证复印件。以上材料均须加盖</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公章。</w:t>
      </w:r>
    </w:p>
    <w:p>
      <w:pPr>
        <w:tabs>
          <w:tab w:val="left" w:pos="148"/>
        </w:tabs>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注：开具单位介绍信或授权委托书时需写明项目名称、项目编号、授权代表姓名、手机号码、邮箱、及办理具体事宜等内容。</w:t>
      </w:r>
    </w:p>
    <w:p>
      <w:pPr>
        <w:spacing w:line="24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八、投标截止时间和开标时间：</w:t>
      </w:r>
      <w:r>
        <w:rPr>
          <w:rFonts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4</w:t>
      </w:r>
      <w:r>
        <w:rPr>
          <w:rFonts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7</w:t>
      </w:r>
      <w:r>
        <w:rPr>
          <w:rFonts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31</w:t>
      </w:r>
      <w:r>
        <w:rPr>
          <w:rFonts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10:30</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北京时间</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w:t>
      </w:r>
    </w:p>
    <w:p>
      <w:pPr>
        <w:spacing w:line="240" w:lineRule="auto"/>
        <w:ind w:firstLine="474"/>
        <w:rPr>
          <w:rFonts w:ascii="宋体" w:hAnsi="宋体" w:eastAsia="宋体" w:cs="宋体"/>
          <w:color w:val="auto"/>
          <w:sz w:val="24"/>
          <w:szCs w:val="24"/>
          <w:highlight w:val="none"/>
        </w:rPr>
      </w:pPr>
      <w:r>
        <w:rPr>
          <w:rFonts w:ascii="宋体" w:hAnsi="宋体" w:eastAsia="宋体" w:cs="宋体"/>
          <w:color w:val="auto"/>
          <w:sz w:val="24"/>
          <w:szCs w:val="24"/>
          <w:highlight w:val="none"/>
        </w:rPr>
        <w:t>投标文件必须在投标截止时间前送达开标地点。逾期送达的投标文件不予接收。本次招标不接受邮寄的投标文件。</w:t>
      </w:r>
    </w:p>
    <w:p>
      <w:pPr>
        <w:spacing w:line="24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九、开标地点：</w:t>
      </w:r>
      <w:r>
        <w:rPr>
          <w:rFonts w:hint="eastAsia" w:ascii="宋体" w:hAnsi="宋体" w:eastAsia="宋体" w:cs="宋体"/>
          <w:b/>
          <w:bCs/>
          <w:color w:val="auto"/>
          <w:sz w:val="24"/>
          <w:szCs w:val="24"/>
          <w:highlight w:val="none"/>
          <w:lang w:val="en-US" w:eastAsia="zh-CN"/>
        </w:rPr>
        <w:t>成都市高新区环球中心N3区19楼18号四川铭信工程招标咨询有限公司</w:t>
      </w:r>
      <w:r>
        <w:rPr>
          <w:rFonts w:hint="eastAsia" w:ascii="宋体" w:hAnsi="宋体" w:eastAsia="宋体" w:cs="宋体"/>
          <w:b/>
          <w:bCs/>
          <w:color w:val="auto"/>
          <w:sz w:val="24"/>
          <w:szCs w:val="24"/>
          <w:highlight w:val="none"/>
        </w:rPr>
        <w:t>。</w:t>
      </w:r>
    </w:p>
    <w:p>
      <w:pPr>
        <w:spacing w:line="24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十、本投标邀请在中国招标投标公共服务平台（http://www.cebpubservice.com/）上以公告形式发布。 </w:t>
      </w:r>
    </w:p>
    <w:p>
      <w:pPr>
        <w:spacing w:line="240" w:lineRule="auto"/>
        <w:ind w:firstLine="482" w:firstLineChars="200"/>
        <w:rPr>
          <w:rFonts w:ascii="宋体" w:hAnsi="宋体" w:eastAsia="宋体" w:cs="宋体"/>
          <w:b/>
          <w:bCs/>
          <w:color w:val="auto"/>
          <w:sz w:val="24"/>
          <w:szCs w:val="24"/>
          <w:highlight w:val="none"/>
        </w:rPr>
      </w:pPr>
      <w:bookmarkStart w:id="7" w:name="_Toc31952"/>
      <w:r>
        <w:rPr>
          <w:rFonts w:hint="eastAsia" w:ascii="宋体" w:hAnsi="宋体" w:eastAsia="宋体" w:cs="宋体"/>
          <w:b/>
          <w:bCs/>
          <w:color w:val="auto"/>
          <w:sz w:val="24"/>
          <w:szCs w:val="24"/>
          <w:highlight w:val="none"/>
        </w:rPr>
        <w:t>十一、联系方式</w:t>
      </w:r>
      <w:bookmarkEnd w:id="7"/>
    </w:p>
    <w:p>
      <w:pPr>
        <w:spacing w:line="240" w:lineRule="auto"/>
        <w:ind w:firstLine="482" w:firstLineChars="200"/>
        <w:rPr>
          <w:rFonts w:hint="eastAsia" w:ascii="宋体" w:hAnsi="宋体" w:eastAsia="宋体" w:cs="宋体"/>
          <w:b/>
          <w:bCs/>
          <w:color w:val="auto"/>
          <w:sz w:val="24"/>
          <w:szCs w:val="24"/>
          <w:highlight w:val="none"/>
          <w:lang w:eastAsia="zh-CN"/>
        </w:rPr>
      </w:pPr>
      <w:bookmarkStart w:id="8" w:name="_Toc1539"/>
      <w:r>
        <w:rPr>
          <w:rFonts w:hint="eastAsia" w:ascii="宋体" w:hAnsi="宋体" w:eastAsia="宋体" w:cs="宋体"/>
          <w:b/>
          <w:bCs/>
          <w:color w:val="auto"/>
          <w:sz w:val="24"/>
          <w:szCs w:val="24"/>
          <w:highlight w:val="none"/>
        </w:rPr>
        <w:t>招标人：</w:t>
      </w:r>
      <w:bookmarkEnd w:id="8"/>
      <w:r>
        <w:rPr>
          <w:rFonts w:hint="eastAsia"/>
          <w:b/>
          <w:color w:val="auto"/>
          <w:sz w:val="24"/>
          <w:highlight w:val="none"/>
          <w:lang w:eastAsia="zh-CN"/>
        </w:rPr>
        <w:t>成都市技师学院</w:t>
      </w:r>
    </w:p>
    <w:p>
      <w:pPr>
        <w:spacing w:line="24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地    址：</w:t>
      </w:r>
      <w:r>
        <w:rPr>
          <w:rFonts w:hint="eastAsia" w:ascii="宋体" w:hAnsi="宋体"/>
          <w:color w:val="auto"/>
          <w:sz w:val="24"/>
          <w:highlight w:val="none"/>
          <w:lang w:eastAsia="zh-CN"/>
        </w:rPr>
        <w:t>成都市郫都区红光街道港通北三路1899号</w:t>
      </w:r>
    </w:p>
    <w:p>
      <w:pPr>
        <w:spacing w:line="240" w:lineRule="auto"/>
        <w:ind w:firstLine="480" w:firstLineChars="200"/>
        <w:rPr>
          <w:rFonts w:hint="eastAsia"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rPr>
        <w:t>联 系 人：</w:t>
      </w:r>
      <w:r>
        <w:rPr>
          <w:rFonts w:hint="eastAsia" w:ascii="宋体" w:hAnsi="宋体" w:cs="微软雅黑"/>
          <w:color w:val="auto"/>
          <w:sz w:val="24"/>
          <w:highlight w:val="none"/>
          <w:lang w:eastAsia="zh-CN"/>
        </w:rPr>
        <w:t>王老师</w:t>
      </w:r>
    </w:p>
    <w:p>
      <w:pPr>
        <w:spacing w:line="24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联系电话：</w:t>
      </w:r>
      <w:r>
        <w:rPr>
          <w:rFonts w:hint="eastAsia" w:ascii="宋体" w:hAnsi="宋体" w:cs="微软雅黑"/>
          <w:color w:val="auto"/>
          <w:sz w:val="24"/>
          <w:highlight w:val="none"/>
          <w:lang w:eastAsia="zh-CN"/>
        </w:rPr>
        <w:t>028-64907283</w:t>
      </w:r>
    </w:p>
    <w:p>
      <w:pPr>
        <w:spacing w:line="24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采购代理机构：四川铭信工程招标咨询有限公司 </w:t>
      </w:r>
    </w:p>
    <w:p>
      <w:pPr>
        <w:spacing w:line="24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地    址：成都市高新区高朋大道21号。</w:t>
      </w:r>
    </w:p>
    <w:p>
      <w:pPr>
        <w:spacing w:line="24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邮    编：610000</w:t>
      </w:r>
    </w:p>
    <w:p>
      <w:pPr>
        <w:spacing w:line="240" w:lineRule="auto"/>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联 系 人：</w:t>
      </w:r>
      <w:r>
        <w:rPr>
          <w:rFonts w:hint="eastAsia" w:ascii="宋体" w:hAnsi="宋体" w:eastAsia="宋体" w:cs="宋体"/>
          <w:b w:val="0"/>
          <w:bCs w:val="0"/>
          <w:color w:val="auto"/>
          <w:sz w:val="24"/>
          <w:szCs w:val="24"/>
          <w:highlight w:val="none"/>
          <w:lang w:val="en-US" w:eastAsia="zh-CN"/>
        </w:rPr>
        <w:t>陈女士</w:t>
      </w:r>
    </w:p>
    <w:p>
      <w:pPr>
        <w:spacing w:line="240" w:lineRule="auto"/>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联系电话：</w:t>
      </w:r>
      <w:r>
        <w:rPr>
          <w:rFonts w:hint="eastAsia" w:ascii="宋体" w:hAnsi="宋体" w:cs="微软雅黑"/>
          <w:color w:val="auto"/>
          <w:sz w:val="24"/>
          <w:highlight w:val="none"/>
          <w:lang w:eastAsia="zh-CN"/>
        </w:rPr>
        <w:t>13558776674</w:t>
      </w:r>
    </w:p>
    <w:p>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电子邮件：scmxgczx@163.com</w:t>
      </w:r>
    </w:p>
    <w:p>
      <w:pPr>
        <w:spacing w:line="240" w:lineRule="auto"/>
        <w:rPr>
          <w:color w:val="auto"/>
          <w:highlight w:val="none"/>
        </w:rPr>
      </w:pPr>
    </w:p>
    <w:p>
      <w:pPr>
        <w:pStyle w:val="2"/>
        <w:spacing w:line="240" w:lineRule="auto"/>
        <w:rPr>
          <w:color w:val="auto"/>
          <w:highlight w:val="none"/>
        </w:rPr>
        <w:sectPr>
          <w:footerReference r:id="rId3" w:type="default"/>
          <w:pgSz w:w="11905" w:h="16838"/>
          <w:pgMar w:top="1417" w:right="1417" w:bottom="1417" w:left="1417" w:header="0" w:footer="1134" w:gutter="0"/>
          <w:cols w:space="425" w:num="1"/>
        </w:sectPr>
      </w:pPr>
    </w:p>
    <w:p>
      <w:pPr>
        <w:spacing w:before="114" w:line="240" w:lineRule="auto"/>
        <w:jc w:val="center"/>
        <w:outlineLvl w:val="0"/>
        <w:rPr>
          <w:rFonts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pPr>
      <w:bookmarkStart w:id="9" w:name="_Toc2059"/>
      <w:r>
        <w:rPr>
          <w:rFonts w:hint="eastAsia"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t>第二章  投标人须知</w:t>
      </w:r>
      <w:bookmarkEnd w:id="9"/>
    </w:p>
    <w:p>
      <w:pPr>
        <w:spacing w:line="240" w:lineRule="auto"/>
        <w:rPr>
          <w:color w:val="auto"/>
          <w:highlight w:val="none"/>
        </w:rPr>
      </w:pPr>
    </w:p>
    <w:p>
      <w:pPr>
        <w:spacing w:line="240" w:lineRule="auto"/>
        <w:ind w:firstLine="622" w:firstLineChars="200"/>
        <w:jc w:val="center"/>
        <w:outlineLvl w:val="1"/>
        <w:rPr>
          <w:rFonts w:ascii="宋体" w:hAnsi="宋体" w:eastAsia="宋体" w:cs="宋体"/>
          <w:b/>
          <w:bCs/>
          <w:color w:val="auto"/>
          <w:sz w:val="31"/>
          <w:szCs w:val="31"/>
          <w:highlight w:val="none"/>
        </w:rPr>
      </w:pPr>
      <w:bookmarkStart w:id="10" w:name="_Toc8096"/>
      <w:bookmarkStart w:id="11" w:name="_Toc30521"/>
      <w:r>
        <w:rPr>
          <w:rFonts w:hint="eastAsia" w:ascii="宋体" w:hAnsi="宋体" w:eastAsia="宋体" w:cs="宋体"/>
          <w:b/>
          <w:bCs/>
          <w:color w:val="auto"/>
          <w:sz w:val="31"/>
          <w:szCs w:val="31"/>
          <w:highlight w:val="none"/>
        </w:rPr>
        <w:t>一、投标人须知附表</w:t>
      </w:r>
      <w:bookmarkEnd w:id="10"/>
      <w:bookmarkEnd w:id="11"/>
    </w:p>
    <w:tbl>
      <w:tblPr>
        <w:tblStyle w:val="23"/>
        <w:tblW w:w="950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56"/>
        <w:gridCol w:w="1750"/>
        <w:gridCol w:w="689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856" w:type="dxa"/>
            <w:tcBorders>
              <w:tl2br w:val="nil"/>
              <w:tr2bl w:val="nil"/>
            </w:tcBorders>
            <w:vAlign w:val="center"/>
          </w:tcPr>
          <w:p>
            <w:pPr>
              <w:spacing w:line="24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序号</w:t>
            </w:r>
          </w:p>
        </w:tc>
        <w:tc>
          <w:tcPr>
            <w:tcW w:w="1750" w:type="dxa"/>
            <w:tcBorders>
              <w:tl2br w:val="nil"/>
              <w:tr2bl w:val="nil"/>
            </w:tcBorders>
            <w:vAlign w:val="center"/>
          </w:tcPr>
          <w:p>
            <w:pPr>
              <w:spacing w:line="24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条款名称</w:t>
            </w:r>
          </w:p>
        </w:tc>
        <w:tc>
          <w:tcPr>
            <w:tcW w:w="6898" w:type="dxa"/>
            <w:tcBorders>
              <w:tl2br w:val="nil"/>
              <w:tr2bl w:val="nil"/>
            </w:tcBorders>
            <w:vAlign w:val="center"/>
          </w:tcPr>
          <w:p>
            <w:pPr>
              <w:spacing w:line="24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说明和要求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298" w:hRule="atLeast"/>
          <w:jc w:val="center"/>
        </w:trPr>
        <w:tc>
          <w:tcPr>
            <w:tcW w:w="856" w:type="dxa"/>
            <w:tcBorders>
              <w:tl2br w:val="nil"/>
              <w:tr2bl w:val="nil"/>
            </w:tcBorders>
            <w:vAlign w:val="center"/>
          </w:tcPr>
          <w:p>
            <w:pPr>
              <w:spacing w:line="240" w:lineRule="auto"/>
              <w:jc w:val="center"/>
              <w:rPr>
                <w:color w:val="auto"/>
                <w:sz w:val="24"/>
                <w:szCs w:val="24"/>
                <w:highlight w:val="none"/>
              </w:rPr>
            </w:pPr>
          </w:p>
          <w:p>
            <w:pPr>
              <w:spacing w:line="24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1750" w:type="dxa"/>
            <w:tcBorders>
              <w:tl2br w:val="nil"/>
              <w:tr2bl w:val="nil"/>
            </w:tcBorders>
            <w:vAlign w:val="center"/>
          </w:tcPr>
          <w:p>
            <w:pPr>
              <w:spacing w:line="24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最高限价</w:t>
            </w:r>
          </w:p>
          <w:p>
            <w:pPr>
              <w:spacing w:line="24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(实质性要求)</w:t>
            </w:r>
          </w:p>
        </w:tc>
        <w:tc>
          <w:tcPr>
            <w:tcW w:w="6898" w:type="dxa"/>
            <w:tcBorders>
              <w:tl2br w:val="nil"/>
              <w:tr2bl w:val="nil"/>
            </w:tcBorders>
            <w:vAlign w:val="center"/>
          </w:tcPr>
          <w:p>
            <w:pPr>
              <w:spacing w:line="240" w:lineRule="auto"/>
              <w:jc w:val="both"/>
              <w:rPr>
                <w:rFonts w:hint="eastAsia" w:ascii="宋体" w:hAnsi="宋体" w:eastAsia="宋体" w:cs="宋体"/>
                <w:color w:val="auto"/>
                <w:sz w:val="24"/>
                <w:szCs w:val="24"/>
                <w:highlight w:val="none"/>
                <w:lang w:val="en-US" w:eastAsia="zh-CN"/>
              </w:rPr>
            </w:pPr>
            <w:r>
              <w:rPr>
                <w:rFonts w:ascii="宋体" w:hAnsi="宋体" w:eastAsia="宋体" w:cs="宋体"/>
                <w:b/>
                <w:bCs/>
                <w:color w:val="auto"/>
                <w:sz w:val="24"/>
                <w:szCs w:val="24"/>
                <w:highlight w:val="none"/>
              </w:rPr>
              <w:t>最高限价：</w:t>
            </w:r>
            <w:r>
              <w:rPr>
                <w:rFonts w:hint="default" w:ascii="宋体" w:hAnsi="宋体" w:eastAsia="宋体" w:cs="宋体"/>
                <w:color w:val="auto"/>
                <w:sz w:val="24"/>
                <w:szCs w:val="24"/>
                <w:highlight w:val="none"/>
              </w:rPr>
              <w:t>120元/套</w:t>
            </w:r>
            <w:r>
              <w:rPr>
                <w:rFonts w:hint="eastAsia" w:ascii="宋体" w:hAnsi="宋体" w:eastAsia="宋体" w:cs="宋体"/>
                <w:b/>
                <w:bCs/>
                <w:color w:val="auto"/>
                <w:sz w:val="24"/>
                <w:szCs w:val="24"/>
                <w:highlight w:val="none"/>
              </w:rPr>
              <w:t>。</w:t>
            </w:r>
          </w:p>
          <w:p>
            <w:pPr>
              <w:spacing w:line="240" w:lineRule="auto"/>
              <w:jc w:val="both"/>
              <w:rPr>
                <w:rFonts w:ascii="宋体" w:hAnsi="宋体" w:eastAsia="宋体" w:cs="宋体"/>
                <w:color w:val="auto"/>
                <w:sz w:val="24"/>
                <w:szCs w:val="24"/>
                <w:highlight w:val="none"/>
              </w:rPr>
            </w:pPr>
            <w:r>
              <w:rPr>
                <w:rFonts w:hint="default" w:ascii="宋体" w:hAnsi="宋体" w:eastAsia="宋体" w:cs="宋体"/>
                <w:color w:val="auto"/>
                <w:sz w:val="24"/>
                <w:szCs w:val="24"/>
                <w:highlight w:val="none"/>
              </w:rPr>
              <w:t>投标人在单价最高限价的基础上进行整体下浮报价，报价不得为负数</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超过最高限价的报价为无效投标。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98" w:hRule="atLeast"/>
          <w:jc w:val="center"/>
        </w:trPr>
        <w:tc>
          <w:tcPr>
            <w:tcW w:w="856" w:type="dxa"/>
            <w:tcBorders>
              <w:tl2br w:val="nil"/>
              <w:tr2bl w:val="nil"/>
            </w:tcBorders>
            <w:vAlign w:val="center"/>
          </w:tcPr>
          <w:p>
            <w:pPr>
              <w:spacing w:line="24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2</w:t>
            </w:r>
          </w:p>
        </w:tc>
        <w:tc>
          <w:tcPr>
            <w:tcW w:w="1750" w:type="dxa"/>
            <w:tcBorders>
              <w:tl2br w:val="nil"/>
              <w:tr2bl w:val="nil"/>
            </w:tcBorders>
            <w:vAlign w:val="center"/>
          </w:tcPr>
          <w:p>
            <w:pPr>
              <w:spacing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w:t>
            </w:r>
          </w:p>
        </w:tc>
        <w:tc>
          <w:tcPr>
            <w:tcW w:w="6898" w:type="dxa"/>
            <w:tcBorders>
              <w:tl2br w:val="nil"/>
              <w:tr2bl w:val="nil"/>
            </w:tcBorders>
            <w:vAlign w:val="center"/>
          </w:tcPr>
          <w:p>
            <w:pPr>
              <w:spacing w:line="240" w:lineRule="auto"/>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公开招标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56" w:type="dxa"/>
            <w:tcBorders>
              <w:tl2br w:val="nil"/>
              <w:tr2bl w:val="nil"/>
            </w:tcBorders>
            <w:vAlign w:val="center"/>
          </w:tcPr>
          <w:p>
            <w:pPr>
              <w:spacing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750" w:type="dxa"/>
            <w:tcBorders>
              <w:tl2br w:val="nil"/>
              <w:tr2bl w:val="nil"/>
            </w:tcBorders>
            <w:vAlign w:val="center"/>
          </w:tcPr>
          <w:p>
            <w:pPr>
              <w:pStyle w:val="24"/>
              <w:spacing w:line="240" w:lineRule="auto"/>
              <w:ind w:left="96"/>
              <w:jc w:val="center"/>
              <w:rPr>
                <w:rFonts w:ascii="宋体" w:hAnsi="宋体" w:eastAsia="宋体" w:cs="宋体"/>
                <w:b/>
                <w:bCs/>
                <w:color w:val="auto"/>
                <w:sz w:val="24"/>
                <w:szCs w:val="24"/>
                <w:highlight w:val="none"/>
              </w:rPr>
            </w:pPr>
            <w:r>
              <w:rPr>
                <w:rFonts w:hint="eastAsia"/>
                <w:snapToGrid w:val="0"/>
                <w:color w:val="auto"/>
                <w:sz w:val="24"/>
                <w:szCs w:val="24"/>
                <w:highlight w:val="none"/>
                <w:lang w:val="zh-CN"/>
              </w:rPr>
              <w:t>评标方法</w:t>
            </w:r>
          </w:p>
        </w:tc>
        <w:tc>
          <w:tcPr>
            <w:tcW w:w="6898" w:type="dxa"/>
            <w:tcBorders>
              <w:tl2br w:val="nil"/>
              <w:tr2bl w:val="nil"/>
            </w:tcBorders>
            <w:vAlign w:val="center"/>
          </w:tcPr>
          <w:p>
            <w:pPr>
              <w:pStyle w:val="24"/>
              <w:spacing w:line="240" w:lineRule="auto"/>
              <w:rPr>
                <w:rFonts w:ascii="宋体" w:hAnsi="宋体" w:eastAsia="宋体" w:cs="宋体"/>
                <w:color w:val="auto"/>
                <w:sz w:val="24"/>
                <w:szCs w:val="24"/>
                <w:highlight w:val="none"/>
              </w:rPr>
            </w:pPr>
            <w:r>
              <w:rPr>
                <w:rFonts w:hint="eastAsia"/>
                <w:snapToGrid w:val="0"/>
                <w:color w:val="auto"/>
                <w:sz w:val="24"/>
                <w:szCs w:val="24"/>
                <w:highlight w:val="none"/>
                <w:lang w:val="zh-CN"/>
              </w:rPr>
              <w:t>综合评分法(详见第</w:t>
            </w:r>
            <w:r>
              <w:rPr>
                <w:rFonts w:hint="eastAsia"/>
                <w:snapToGrid w:val="0"/>
                <w:color w:val="auto"/>
                <w:sz w:val="24"/>
                <w:szCs w:val="24"/>
                <w:highlight w:val="none"/>
              </w:rPr>
              <w:t>七</w:t>
            </w:r>
            <w:r>
              <w:rPr>
                <w:rFonts w:hint="eastAsia"/>
                <w:snapToGrid w:val="0"/>
                <w:color w:val="auto"/>
                <w:sz w:val="24"/>
                <w:szCs w:val="24"/>
                <w:highlight w:val="none"/>
                <w:lang w:val="zh-CN"/>
              </w:rPr>
              <w:t>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56" w:type="dxa"/>
            <w:tcBorders>
              <w:tl2br w:val="nil"/>
              <w:tr2bl w:val="nil"/>
            </w:tcBorders>
            <w:vAlign w:val="center"/>
          </w:tcPr>
          <w:p>
            <w:pPr>
              <w:spacing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750" w:type="dxa"/>
            <w:tcBorders>
              <w:tl2br w:val="nil"/>
              <w:tr2bl w:val="nil"/>
            </w:tcBorders>
            <w:vAlign w:val="center"/>
          </w:tcPr>
          <w:p>
            <w:pPr>
              <w:spacing w:line="240" w:lineRule="auto"/>
              <w:jc w:val="center"/>
              <w:rPr>
                <w:snapToGrid w:val="0"/>
                <w:color w:val="auto"/>
                <w:sz w:val="24"/>
                <w:szCs w:val="24"/>
                <w:highlight w:val="none"/>
              </w:rPr>
            </w:pPr>
            <w:r>
              <w:rPr>
                <w:rFonts w:hint="eastAsia" w:ascii="宋体" w:hAnsi="宋体" w:eastAsia="宋体" w:cs="宋体"/>
                <w:b/>
                <w:bCs/>
                <w:color w:val="auto"/>
                <w:sz w:val="24"/>
                <w:szCs w:val="24"/>
                <w:highlight w:val="none"/>
              </w:rPr>
              <w:t>是否专门面向中小企业</w:t>
            </w:r>
          </w:p>
        </w:tc>
        <w:tc>
          <w:tcPr>
            <w:tcW w:w="6898" w:type="dxa"/>
            <w:tcBorders>
              <w:tl2br w:val="nil"/>
              <w:tr2bl w:val="nil"/>
            </w:tcBorders>
            <w:vAlign w:val="center"/>
          </w:tcPr>
          <w:p>
            <w:pPr>
              <w:spacing w:line="240" w:lineRule="auto"/>
              <w:jc w:val="both"/>
              <w:rPr>
                <w:snapToGrid w:val="0"/>
                <w:color w:val="auto"/>
                <w:sz w:val="24"/>
                <w:szCs w:val="24"/>
                <w:highlight w:val="none"/>
              </w:rPr>
            </w:pPr>
            <w:r>
              <w:rPr>
                <w:rFonts w:hint="eastAsia" w:ascii="宋体" w:hAnsi="宋体" w:eastAsia="宋体" w:cs="宋体"/>
                <w:b/>
                <w:bCs/>
                <w:color w:val="auto"/>
                <w:sz w:val="24"/>
                <w:szCs w:val="24"/>
                <w:highlight w:val="none"/>
              </w:rPr>
              <w:t>本项目专门面向中小企业：是□；否</w:t>
            </w:r>
            <w:r>
              <w:rPr>
                <w:rFonts w:hint="eastAsia" w:ascii="宋体" w:hAnsi="宋体" w:eastAsia="宋体" w:cs="宋体"/>
                <w:b/>
                <w:bCs/>
                <w:color w:val="auto"/>
                <w:sz w:val="24"/>
                <w:szCs w:val="24"/>
                <w:highlight w:val="none"/>
                <w:lang w:eastAsia="zh-CN"/>
              </w:rPr>
              <w:sym w:font="Wingdings" w:char="00FE"/>
            </w:r>
            <w:r>
              <w:rPr>
                <w:rFonts w:hint="eastAsia" w:ascii="宋体" w:hAnsi="宋体" w:eastAsia="宋体" w:cs="宋体"/>
                <w:b/>
                <w:bCs/>
                <w:color w:val="auto"/>
                <w:sz w:val="24"/>
                <w:szCs w:val="24"/>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18" w:hRule="atLeast"/>
          <w:jc w:val="center"/>
        </w:trPr>
        <w:tc>
          <w:tcPr>
            <w:tcW w:w="856" w:type="dxa"/>
            <w:tcBorders>
              <w:tl2br w:val="nil"/>
              <w:tr2bl w:val="nil"/>
            </w:tcBorders>
            <w:vAlign w:val="center"/>
          </w:tcPr>
          <w:p>
            <w:pPr>
              <w:spacing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750" w:type="dxa"/>
            <w:tcBorders>
              <w:tl2br w:val="nil"/>
              <w:tr2bl w:val="nil"/>
            </w:tcBorders>
          </w:tcPr>
          <w:p>
            <w:pPr>
              <w:spacing w:line="24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联合体投标</w:t>
            </w:r>
          </w:p>
          <w:p>
            <w:pPr>
              <w:spacing w:line="24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(实质性要求)</w:t>
            </w:r>
          </w:p>
        </w:tc>
        <w:tc>
          <w:tcPr>
            <w:tcW w:w="6898" w:type="dxa"/>
            <w:tcBorders>
              <w:tl2br w:val="nil"/>
              <w:tr2bl w:val="nil"/>
            </w:tcBorders>
            <w:vAlign w:val="center"/>
          </w:tcPr>
          <w:p>
            <w:pPr>
              <w:spacing w:line="240" w:lineRule="auto"/>
              <w:jc w:val="both"/>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本项目不允许联合体投标。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856" w:type="dxa"/>
            <w:tcBorders>
              <w:tl2br w:val="nil"/>
              <w:tr2bl w:val="nil"/>
            </w:tcBorders>
            <w:vAlign w:val="center"/>
          </w:tcPr>
          <w:p>
            <w:pPr>
              <w:spacing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750" w:type="dxa"/>
            <w:tcBorders>
              <w:tl2br w:val="nil"/>
              <w:tr2bl w:val="nil"/>
            </w:tcBorders>
            <w:vAlign w:val="center"/>
          </w:tcPr>
          <w:p>
            <w:pPr>
              <w:spacing w:line="24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进口产品</w:t>
            </w:r>
          </w:p>
        </w:tc>
        <w:tc>
          <w:tcPr>
            <w:tcW w:w="6898" w:type="dxa"/>
            <w:tcBorders>
              <w:tl2br w:val="nil"/>
              <w:tr2bl w:val="nil"/>
            </w:tcBorders>
            <w:vAlign w:val="center"/>
          </w:tcPr>
          <w:p>
            <w:pPr>
              <w:spacing w:line="240" w:lineRule="auto"/>
              <w:jc w:val="both"/>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本项目不涉及进口产品。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856" w:type="dxa"/>
            <w:tcBorders>
              <w:tl2br w:val="nil"/>
              <w:tr2bl w:val="nil"/>
            </w:tcBorders>
            <w:vAlign w:val="center"/>
          </w:tcPr>
          <w:p>
            <w:pPr>
              <w:spacing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750" w:type="dxa"/>
            <w:tcBorders>
              <w:tl2br w:val="nil"/>
              <w:tr2bl w:val="nil"/>
            </w:tcBorders>
            <w:vAlign w:val="center"/>
          </w:tcPr>
          <w:p>
            <w:pPr>
              <w:spacing w:line="240" w:lineRule="auto"/>
              <w:jc w:val="center"/>
              <w:rPr>
                <w:color w:val="auto"/>
                <w:sz w:val="24"/>
                <w:szCs w:val="24"/>
                <w:highlight w:val="none"/>
              </w:rPr>
            </w:pPr>
          </w:p>
          <w:p>
            <w:pPr>
              <w:spacing w:line="24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低于成本价不正当竞争预防措施</w:t>
            </w:r>
          </w:p>
          <w:p>
            <w:pPr>
              <w:spacing w:line="24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(实质性要求)</w:t>
            </w:r>
          </w:p>
        </w:tc>
        <w:tc>
          <w:tcPr>
            <w:tcW w:w="6898" w:type="dxa"/>
            <w:tcBorders>
              <w:tl2br w:val="nil"/>
              <w:tr2bl w:val="nil"/>
            </w:tcBorders>
          </w:tcPr>
          <w:p>
            <w:pPr>
              <w:spacing w:line="240" w:lineRule="auto"/>
              <w:ind w:firstLine="48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供应商书面说明应当按照国家财务会计制度的规定要求，逐项就供应商提供的货物、工程和服务的主营业务成本 (应根据供应商企业类型予以区别) 、税金及附加、销售费用、管理费用、财务费用等成本构成事项详细陈述。</w:t>
            </w:r>
          </w:p>
          <w:p>
            <w:pPr>
              <w:spacing w:line="240" w:lineRule="auto"/>
              <w:ind w:firstLine="48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供应商书面说明应当签字确认或者加盖公章，否则无效。书面说明的签字确认，供应商为法人的，由其法定代表人或</w:t>
            </w:r>
            <w:r>
              <w:rPr>
                <w:rFonts w:hint="eastAsia" w:ascii="宋体" w:hAnsi="宋体" w:eastAsia="宋体" w:cs="宋体"/>
                <w:color w:val="auto"/>
                <w:sz w:val="24"/>
                <w:szCs w:val="24"/>
                <w:highlight w:val="none"/>
              </w:rPr>
              <w:t>其授权代表</w:t>
            </w:r>
            <w:r>
              <w:rPr>
                <w:rFonts w:ascii="宋体" w:hAnsi="宋体" w:eastAsia="宋体" w:cs="宋体"/>
                <w:color w:val="auto"/>
                <w:sz w:val="24"/>
                <w:szCs w:val="24"/>
                <w:highlight w:val="none"/>
              </w:rPr>
              <w:t>签字确认；供应商为其他组织的，由其主要负责人或</w:t>
            </w:r>
            <w:r>
              <w:rPr>
                <w:rFonts w:hint="eastAsia" w:ascii="宋体" w:hAnsi="宋体" w:eastAsia="宋体" w:cs="宋体"/>
                <w:color w:val="auto"/>
                <w:sz w:val="24"/>
                <w:szCs w:val="24"/>
                <w:highlight w:val="none"/>
              </w:rPr>
              <w:t>其授权代表</w:t>
            </w:r>
            <w:r>
              <w:rPr>
                <w:rFonts w:ascii="宋体" w:hAnsi="宋体" w:eastAsia="宋体" w:cs="宋体"/>
                <w:color w:val="auto"/>
                <w:sz w:val="24"/>
                <w:szCs w:val="24"/>
                <w:highlight w:val="none"/>
              </w:rPr>
              <w:t>签字确认；供应商为自然人的，由其本人或</w:t>
            </w:r>
            <w:r>
              <w:rPr>
                <w:rFonts w:hint="eastAsia" w:ascii="宋体" w:hAnsi="宋体" w:eastAsia="宋体" w:cs="宋体"/>
                <w:color w:val="auto"/>
                <w:sz w:val="24"/>
                <w:szCs w:val="24"/>
                <w:highlight w:val="none"/>
              </w:rPr>
              <w:t>其授权代表</w:t>
            </w:r>
            <w:r>
              <w:rPr>
                <w:rFonts w:ascii="宋体" w:hAnsi="宋体" w:eastAsia="宋体" w:cs="宋体"/>
                <w:color w:val="auto"/>
                <w:sz w:val="24"/>
                <w:szCs w:val="24"/>
                <w:highlight w:val="none"/>
              </w:rPr>
              <w:t>签字确认。</w:t>
            </w:r>
          </w:p>
          <w:p>
            <w:pPr>
              <w:spacing w:line="240" w:lineRule="auto"/>
              <w:ind w:firstLine="481"/>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124" w:hRule="atLeast"/>
          <w:jc w:val="center"/>
        </w:trPr>
        <w:tc>
          <w:tcPr>
            <w:tcW w:w="856" w:type="dxa"/>
            <w:tcBorders>
              <w:tl2br w:val="nil"/>
              <w:tr2bl w:val="nil"/>
            </w:tcBorders>
            <w:vAlign w:val="center"/>
          </w:tcPr>
          <w:p>
            <w:pPr>
              <w:spacing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750" w:type="dxa"/>
            <w:tcBorders>
              <w:tl2br w:val="nil"/>
              <w:tr2bl w:val="nil"/>
            </w:tcBorders>
            <w:vAlign w:val="center"/>
          </w:tcPr>
          <w:p>
            <w:pPr>
              <w:spacing w:before="75" w:line="24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促进中小企业发展</w:t>
            </w:r>
          </w:p>
        </w:tc>
        <w:tc>
          <w:tcPr>
            <w:tcW w:w="6898" w:type="dxa"/>
            <w:tcBorders>
              <w:tl2br w:val="nil"/>
              <w:tr2bl w:val="nil"/>
            </w:tcBorders>
          </w:tcPr>
          <w:p>
            <w:pPr>
              <w:spacing w:line="24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促进中小企业发展 (监狱企业、残疾人福利性单位视同小微企业)。</w:t>
            </w:r>
          </w:p>
          <w:p>
            <w:pPr>
              <w:spacing w:before="4" w:line="240" w:lineRule="auto"/>
              <w:ind w:right="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1.根据《政府采购促进中小企业发展管理办法》（财库[2020]46号）和《关于进一步加大政府采购支持中小企业力度的通知》（财库〔2022〕19 号）的规定，对小型和微型企业产品的价格给予10%的价格扣除，用扣除后的价格参与评审。</w:t>
            </w:r>
          </w:p>
          <w:p>
            <w:pPr>
              <w:spacing w:before="4" w:line="240" w:lineRule="auto"/>
              <w:ind w:right="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参加采购活动的中小企业应当提供《中小企业声明函》原件。监狱企业应当提供《监狱企业证明》原件。残疾人福利性单位应当提供《残疾人福利性单位声明函》原件。未提供的，视为放弃享受小微企业价格扣除优惠政策。</w:t>
            </w:r>
          </w:p>
          <w:p>
            <w:pPr>
              <w:spacing w:before="4" w:line="240" w:lineRule="auto"/>
              <w:ind w:right="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3．根据《三部门联合发布关于促进残疾人就业政府采购政策的通知》（财库 〔2017〕141 号）的规定，残疾人福利性单位属于小型、微型企业的，不重复享受政策。参加采购活动的残疾人福利性单位应当提供《残疾人福利性单位声明函》原件（本项目成交供应商属于残疾人福利性单位的，在结果公告中将同时公示其声明函）。 </w:t>
            </w:r>
          </w:p>
          <w:p>
            <w:pPr>
              <w:spacing w:before="4" w:line="240" w:lineRule="auto"/>
              <w:ind w:right="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4.供应商在参加采购活动时，提供以上虚假声明或证明材料的，按《中华人民共和国政府采购法》第七十七条规定处理。 </w:t>
            </w:r>
          </w:p>
          <w:p>
            <w:pPr>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符合中小企业划型标准的个体工商户，在采购活动中视同中小企业。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124" w:hRule="atLeast"/>
          <w:jc w:val="center"/>
        </w:trPr>
        <w:tc>
          <w:tcPr>
            <w:tcW w:w="856" w:type="dxa"/>
            <w:tcBorders>
              <w:tl2br w:val="nil"/>
              <w:tr2bl w:val="nil"/>
            </w:tcBorders>
            <w:vAlign w:val="center"/>
          </w:tcPr>
          <w:p>
            <w:pPr>
              <w:spacing w:before="75"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750" w:type="dxa"/>
            <w:tcBorders>
              <w:tl2br w:val="nil"/>
              <w:tr2bl w:val="nil"/>
            </w:tcBorders>
            <w:vAlign w:val="center"/>
          </w:tcPr>
          <w:p>
            <w:pPr>
              <w:spacing w:line="24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本项目标的名称及所属行业</w:t>
            </w:r>
          </w:p>
        </w:tc>
        <w:tc>
          <w:tcPr>
            <w:tcW w:w="6898" w:type="dxa"/>
            <w:tcBorders>
              <w:tl2br w:val="nil"/>
              <w:tr2bl w:val="nil"/>
            </w:tcBorders>
            <w:vAlign w:val="center"/>
          </w:tcPr>
          <w:p>
            <w:pPr>
              <w:spacing w:line="240" w:lineRule="auto"/>
              <w:rPr>
                <w:rFonts w:hint="eastAsia" w:ascii="宋体" w:hAnsi="宋体" w:eastAsia="宋体" w:cs="宋体"/>
                <w:b/>
                <w:bCs/>
                <w:color w:val="auto"/>
                <w:sz w:val="24"/>
                <w:szCs w:val="24"/>
                <w:highlight w:val="none"/>
                <w:vertAlign w:val="baseline"/>
              </w:rPr>
            </w:pPr>
            <w:r>
              <w:rPr>
                <w:rFonts w:hint="eastAsia" w:ascii="宋体" w:hAnsi="宋体" w:eastAsia="宋体" w:cs="宋体"/>
                <w:b/>
                <w:bCs/>
                <w:color w:val="auto"/>
                <w:sz w:val="24"/>
                <w:szCs w:val="24"/>
                <w:highlight w:val="none"/>
              </w:rPr>
              <w:t>1.标的名称：</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3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921" w:type="dxa"/>
                  <w:vMerge w:val="restart"/>
                  <w:vAlign w:val="center"/>
                </w:tcPr>
                <w:p>
                  <w:pPr>
                    <w:spacing w:line="360" w:lineRule="exact"/>
                    <w:jc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color w:val="auto"/>
                      <w:sz w:val="24"/>
                      <w:szCs w:val="24"/>
                      <w:highlight w:val="none"/>
                    </w:rPr>
                    <w:t>军训服套装</w:t>
                  </w:r>
                </w:p>
              </w:tc>
              <w:tc>
                <w:tcPr>
                  <w:tcW w:w="3998" w:type="dxa"/>
                  <w:vAlign w:val="center"/>
                </w:tcPr>
                <w:p>
                  <w:pPr>
                    <w:spacing w:line="360" w:lineRule="exact"/>
                    <w:jc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color w:val="auto"/>
                      <w:sz w:val="24"/>
                      <w:szCs w:val="24"/>
                      <w:highlight w:val="none"/>
                    </w:rPr>
                    <w:t>迷彩帽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921" w:type="dxa"/>
                  <w:vMerge w:val="continue"/>
                  <w:vAlign w:val="center"/>
                </w:tcPr>
                <w:p>
                  <w:pPr>
                    <w:spacing w:line="360" w:lineRule="exact"/>
                    <w:jc w:val="center"/>
                    <w:rPr>
                      <w:rFonts w:hint="eastAsia" w:ascii="宋体" w:hAnsi="宋体" w:eastAsia="宋体" w:cs="宋体"/>
                      <w:b w:val="0"/>
                      <w:bCs w:val="0"/>
                      <w:color w:val="auto"/>
                      <w:sz w:val="24"/>
                      <w:szCs w:val="24"/>
                      <w:highlight w:val="none"/>
                      <w:vertAlign w:val="baseline"/>
                    </w:rPr>
                  </w:pPr>
                </w:p>
              </w:tc>
              <w:tc>
                <w:tcPr>
                  <w:tcW w:w="3998" w:type="dxa"/>
                  <w:vAlign w:val="center"/>
                </w:tcPr>
                <w:p>
                  <w:pPr>
                    <w:spacing w:line="360" w:lineRule="exact"/>
                    <w:jc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color w:val="auto"/>
                      <w:sz w:val="24"/>
                      <w:szCs w:val="24"/>
                      <w:highlight w:val="none"/>
                    </w:rPr>
                    <w:t>长袖迷彩军训服（含上衣、下装）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921" w:type="dxa"/>
                  <w:vMerge w:val="continue"/>
                  <w:vAlign w:val="center"/>
                </w:tcPr>
                <w:p>
                  <w:pPr>
                    <w:spacing w:line="360" w:lineRule="exact"/>
                    <w:jc w:val="center"/>
                    <w:rPr>
                      <w:rFonts w:hint="eastAsia" w:ascii="宋体" w:hAnsi="宋体" w:eastAsia="宋体" w:cs="宋体"/>
                      <w:b w:val="0"/>
                      <w:bCs w:val="0"/>
                      <w:color w:val="auto"/>
                      <w:sz w:val="24"/>
                      <w:szCs w:val="24"/>
                      <w:highlight w:val="none"/>
                      <w:vertAlign w:val="baseline"/>
                    </w:rPr>
                  </w:pPr>
                </w:p>
              </w:tc>
              <w:tc>
                <w:tcPr>
                  <w:tcW w:w="3998" w:type="dxa"/>
                  <w:vAlign w:val="center"/>
                </w:tcPr>
                <w:p>
                  <w:pPr>
                    <w:spacing w:line="360" w:lineRule="exact"/>
                    <w:jc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color w:val="auto"/>
                      <w:sz w:val="24"/>
                      <w:szCs w:val="24"/>
                      <w:highlight w:val="none"/>
                    </w:rPr>
                    <w:t>迷彩T恤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921" w:type="dxa"/>
                  <w:vMerge w:val="continue"/>
                  <w:vAlign w:val="center"/>
                </w:tcPr>
                <w:p>
                  <w:pPr>
                    <w:spacing w:line="360" w:lineRule="exact"/>
                    <w:jc w:val="center"/>
                    <w:rPr>
                      <w:rFonts w:hint="eastAsia" w:ascii="宋体" w:hAnsi="宋体" w:eastAsia="宋体" w:cs="宋体"/>
                      <w:b w:val="0"/>
                      <w:bCs w:val="0"/>
                      <w:color w:val="auto"/>
                      <w:sz w:val="24"/>
                      <w:szCs w:val="24"/>
                      <w:highlight w:val="none"/>
                      <w:vertAlign w:val="baseline"/>
                    </w:rPr>
                  </w:pPr>
                </w:p>
              </w:tc>
              <w:tc>
                <w:tcPr>
                  <w:tcW w:w="3998" w:type="dxa"/>
                  <w:vAlign w:val="center"/>
                </w:tcPr>
                <w:p>
                  <w:pPr>
                    <w:spacing w:line="360" w:lineRule="exact"/>
                    <w:jc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color w:val="auto"/>
                      <w:sz w:val="24"/>
                      <w:szCs w:val="24"/>
                      <w:highlight w:val="none"/>
                    </w:rPr>
                    <w:t>编织外腰带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921" w:type="dxa"/>
                  <w:vMerge w:val="continue"/>
                  <w:vAlign w:val="center"/>
                </w:tcPr>
                <w:p>
                  <w:pPr>
                    <w:spacing w:line="360" w:lineRule="exact"/>
                    <w:jc w:val="center"/>
                    <w:rPr>
                      <w:rFonts w:hint="eastAsia" w:ascii="宋体" w:hAnsi="宋体" w:eastAsia="宋体" w:cs="宋体"/>
                      <w:b w:val="0"/>
                      <w:bCs w:val="0"/>
                      <w:color w:val="auto"/>
                      <w:sz w:val="24"/>
                      <w:szCs w:val="24"/>
                      <w:highlight w:val="none"/>
                      <w:vertAlign w:val="baseline"/>
                    </w:rPr>
                  </w:pPr>
                </w:p>
              </w:tc>
              <w:tc>
                <w:tcPr>
                  <w:tcW w:w="3998" w:type="dxa"/>
                  <w:vAlign w:val="center"/>
                </w:tcPr>
                <w:p>
                  <w:pPr>
                    <w:spacing w:line="360" w:lineRule="exact"/>
                    <w:jc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color w:val="auto"/>
                      <w:sz w:val="24"/>
                      <w:szCs w:val="24"/>
                      <w:highlight w:val="none"/>
                    </w:rPr>
                    <w:t>迷彩胶鞋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921" w:type="dxa"/>
                  <w:vMerge w:val="continue"/>
                  <w:vAlign w:val="center"/>
                </w:tcPr>
                <w:p>
                  <w:pPr>
                    <w:spacing w:line="360" w:lineRule="exact"/>
                    <w:jc w:val="center"/>
                    <w:rPr>
                      <w:rFonts w:hint="eastAsia" w:ascii="宋体" w:hAnsi="宋体" w:eastAsia="宋体" w:cs="宋体"/>
                      <w:b w:val="0"/>
                      <w:bCs w:val="0"/>
                      <w:color w:val="auto"/>
                      <w:sz w:val="24"/>
                      <w:szCs w:val="24"/>
                      <w:highlight w:val="none"/>
                      <w:vertAlign w:val="baseline"/>
                    </w:rPr>
                  </w:pPr>
                </w:p>
              </w:tc>
              <w:tc>
                <w:tcPr>
                  <w:tcW w:w="3998" w:type="dxa"/>
                  <w:vAlign w:val="center"/>
                </w:tcPr>
                <w:p>
                  <w:pPr>
                    <w:spacing w:line="360" w:lineRule="exact"/>
                    <w:jc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color w:val="auto"/>
                      <w:sz w:val="24"/>
                      <w:szCs w:val="24"/>
                      <w:highlight w:val="none"/>
                    </w:rPr>
                    <w:t>皮内腰带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921" w:type="dxa"/>
                  <w:vMerge w:val="continue"/>
                  <w:vAlign w:val="center"/>
                </w:tcPr>
                <w:p>
                  <w:pPr>
                    <w:spacing w:line="360" w:lineRule="exact"/>
                    <w:jc w:val="center"/>
                    <w:rPr>
                      <w:rFonts w:hint="eastAsia" w:ascii="宋体" w:hAnsi="宋体" w:eastAsia="宋体" w:cs="宋体"/>
                      <w:b w:val="0"/>
                      <w:bCs w:val="0"/>
                      <w:color w:val="auto"/>
                      <w:sz w:val="24"/>
                      <w:szCs w:val="24"/>
                      <w:highlight w:val="none"/>
                      <w:vertAlign w:val="baseline"/>
                    </w:rPr>
                  </w:pPr>
                </w:p>
              </w:tc>
              <w:tc>
                <w:tcPr>
                  <w:tcW w:w="3998" w:type="dxa"/>
                  <w:vAlign w:val="center"/>
                </w:tcPr>
                <w:p>
                  <w:pPr>
                    <w:spacing w:line="360" w:lineRule="exact"/>
                    <w:jc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color w:val="auto"/>
                      <w:sz w:val="24"/>
                      <w:szCs w:val="24"/>
                      <w:highlight w:val="none"/>
                    </w:rPr>
                    <w:t>肩章</w:t>
                  </w:r>
                </w:p>
              </w:tc>
            </w:tr>
          </w:tbl>
          <w:p>
            <w:pPr>
              <w:spacing w:line="240" w:lineRule="auto"/>
              <w:rPr>
                <w:rFonts w:hint="eastAsia" w:ascii="宋体" w:hAnsi="宋体" w:eastAsia="宋体" w:cs="宋体"/>
                <w:b/>
                <w:bCs/>
                <w:color w:val="auto"/>
                <w:sz w:val="24"/>
                <w:szCs w:val="24"/>
                <w:highlight w:val="none"/>
              </w:rPr>
            </w:pPr>
          </w:p>
          <w:p>
            <w:pPr>
              <w:spacing w:line="24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2.所属行业：</w:t>
            </w:r>
            <w:r>
              <w:rPr>
                <w:rFonts w:hint="eastAsia" w:ascii="宋体" w:hAnsi="宋体" w:eastAsia="宋体" w:cs="宋体"/>
                <w:b/>
                <w:bCs/>
                <w:color w:val="auto"/>
                <w:sz w:val="24"/>
                <w:szCs w:val="24"/>
                <w:highlight w:val="none"/>
                <w:lang w:eastAsia="zh-CN"/>
              </w:rPr>
              <w:t>工业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15" w:hRule="atLeast"/>
          <w:jc w:val="center"/>
        </w:trPr>
        <w:tc>
          <w:tcPr>
            <w:tcW w:w="856" w:type="dxa"/>
            <w:tcBorders>
              <w:tl2br w:val="nil"/>
              <w:tr2bl w:val="nil"/>
            </w:tcBorders>
            <w:vAlign w:val="center"/>
          </w:tcPr>
          <w:p>
            <w:pPr>
              <w:spacing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750" w:type="dxa"/>
            <w:tcBorders>
              <w:tl2br w:val="nil"/>
              <w:tr2bl w:val="nil"/>
            </w:tcBorders>
            <w:vAlign w:val="center"/>
          </w:tcPr>
          <w:p>
            <w:pPr>
              <w:spacing w:line="24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投标保证金</w:t>
            </w:r>
          </w:p>
        </w:tc>
        <w:tc>
          <w:tcPr>
            <w:tcW w:w="6898" w:type="dxa"/>
            <w:tcBorders>
              <w:tl2br w:val="nil"/>
              <w:tr2bl w:val="nil"/>
            </w:tcBorders>
            <w:vAlign w:val="center"/>
          </w:tcPr>
          <w:p>
            <w:pPr>
              <w:spacing w:line="24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zh-CN"/>
              </w:rPr>
              <w:t>本项目不收取投标保证金。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37" w:hRule="atLeast"/>
          <w:jc w:val="center"/>
        </w:trPr>
        <w:tc>
          <w:tcPr>
            <w:tcW w:w="856" w:type="dxa"/>
            <w:tcBorders>
              <w:tl2br w:val="nil"/>
              <w:tr2bl w:val="nil"/>
            </w:tcBorders>
            <w:vAlign w:val="center"/>
          </w:tcPr>
          <w:p>
            <w:pPr>
              <w:spacing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750" w:type="dxa"/>
            <w:tcBorders>
              <w:tl2br w:val="nil"/>
              <w:tr2bl w:val="nil"/>
            </w:tcBorders>
            <w:vAlign w:val="center"/>
          </w:tcPr>
          <w:p>
            <w:pPr>
              <w:spacing w:line="24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履约保证金</w:t>
            </w:r>
          </w:p>
        </w:tc>
        <w:tc>
          <w:tcPr>
            <w:tcW w:w="6898" w:type="dxa"/>
            <w:tcBorders>
              <w:tl2br w:val="nil"/>
              <w:tr2bl w:val="nil"/>
            </w:tcBorders>
            <w:vAlign w:val="center"/>
          </w:tcPr>
          <w:p>
            <w:pPr>
              <w:spacing w:line="24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（1）履约保证金为</w:t>
            </w:r>
            <w:r>
              <w:rPr>
                <w:rFonts w:hint="eastAsia" w:ascii="宋体" w:hAnsi="宋体" w:eastAsia="宋体" w:cs="宋体"/>
                <w:b/>
                <w:bCs/>
                <w:color w:val="auto"/>
                <w:sz w:val="24"/>
                <w:szCs w:val="24"/>
                <w:highlight w:val="none"/>
                <w:lang w:val="en-US" w:eastAsia="zh-CN"/>
              </w:rPr>
              <w:t>30000元</w:t>
            </w:r>
            <w:r>
              <w:rPr>
                <w:rFonts w:hint="eastAsia" w:ascii="宋体" w:hAnsi="宋体" w:eastAsia="宋体" w:cs="宋体"/>
                <w:b/>
                <w:bCs/>
                <w:color w:val="auto"/>
                <w:sz w:val="24"/>
                <w:szCs w:val="24"/>
                <w:highlight w:val="none"/>
              </w:rPr>
              <w:t>，投标人应在中标通知书发出之日起至合同签订前以银行转账</w:t>
            </w:r>
            <w:r>
              <w:rPr>
                <w:rFonts w:hint="eastAsia" w:ascii="宋体" w:hAnsi="宋体" w:eastAsia="宋体" w:cs="宋体"/>
                <w:b/>
                <w:bCs/>
                <w:color w:val="auto"/>
                <w:sz w:val="24"/>
                <w:szCs w:val="24"/>
                <w:highlight w:val="none"/>
                <w:lang w:val="en-US" w:eastAsia="zh-CN"/>
              </w:rPr>
              <w:t>的</w:t>
            </w:r>
            <w:r>
              <w:rPr>
                <w:rFonts w:hint="eastAsia" w:ascii="宋体" w:hAnsi="宋体" w:eastAsia="宋体" w:cs="宋体"/>
                <w:b/>
                <w:bCs/>
                <w:color w:val="auto"/>
                <w:sz w:val="24"/>
                <w:szCs w:val="24"/>
                <w:highlight w:val="none"/>
              </w:rPr>
              <w:t>形式向</w:t>
            </w:r>
            <w:r>
              <w:rPr>
                <w:rFonts w:hint="eastAsia" w:ascii="宋体" w:hAnsi="宋体" w:eastAsia="宋体" w:cs="宋体"/>
                <w:b/>
                <w:bCs/>
                <w:color w:val="auto"/>
                <w:sz w:val="24"/>
                <w:szCs w:val="24"/>
                <w:highlight w:val="none"/>
                <w:lang w:eastAsia="zh-CN"/>
              </w:rPr>
              <w:t>招标人</w:t>
            </w:r>
            <w:r>
              <w:rPr>
                <w:rFonts w:hint="eastAsia" w:ascii="宋体" w:hAnsi="宋体" w:eastAsia="宋体" w:cs="宋体"/>
                <w:b/>
                <w:bCs/>
                <w:color w:val="auto"/>
                <w:sz w:val="24"/>
                <w:szCs w:val="24"/>
                <w:highlight w:val="none"/>
              </w:rPr>
              <w:t>提交履约保证金。</w:t>
            </w:r>
          </w:p>
          <w:p>
            <w:pPr>
              <w:spacing w:line="24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（2）履行合同约定(含售后服务)完毕且</w:t>
            </w:r>
            <w:r>
              <w:rPr>
                <w:rFonts w:hint="eastAsia" w:ascii="宋体" w:hAnsi="宋体" w:eastAsia="宋体" w:cs="宋体"/>
                <w:b/>
                <w:bCs/>
                <w:color w:val="auto"/>
                <w:sz w:val="24"/>
                <w:szCs w:val="24"/>
                <w:highlight w:val="none"/>
                <w:lang w:val="en-US" w:eastAsia="zh-CN"/>
              </w:rPr>
              <w:t>货物和售后服务全部</w:t>
            </w:r>
            <w:r>
              <w:rPr>
                <w:rFonts w:hint="eastAsia" w:ascii="宋体" w:hAnsi="宋体" w:eastAsia="宋体" w:cs="宋体"/>
                <w:b/>
                <w:bCs/>
                <w:color w:val="auto"/>
                <w:sz w:val="24"/>
                <w:szCs w:val="24"/>
                <w:highlight w:val="none"/>
              </w:rPr>
              <w:t>验收合格后，无质量问题和违约责任情况。10个日历天内无息退还投标人应退部分履约保证金。因</w:t>
            </w:r>
            <w:r>
              <w:rPr>
                <w:rFonts w:hint="eastAsia" w:ascii="宋体" w:hAnsi="宋体" w:eastAsia="宋体" w:cs="宋体"/>
                <w:b/>
                <w:bCs/>
                <w:color w:val="auto"/>
                <w:sz w:val="24"/>
                <w:szCs w:val="24"/>
                <w:highlight w:val="none"/>
                <w:lang w:eastAsia="zh-CN"/>
              </w:rPr>
              <w:t>招标人</w:t>
            </w:r>
            <w:r>
              <w:rPr>
                <w:rFonts w:hint="eastAsia" w:ascii="宋体" w:hAnsi="宋体" w:eastAsia="宋体" w:cs="宋体"/>
                <w:b/>
                <w:bCs/>
                <w:color w:val="auto"/>
                <w:sz w:val="24"/>
                <w:szCs w:val="24"/>
                <w:highlight w:val="none"/>
              </w:rPr>
              <w:t>原因逾期退还的，应当以未退还金额为基数，按合同订立时1年期贷款市场报价利率标准向投标人支付相应违约金，但违约金最高不得超过未退还金额的百分之二十。若因投标人不及时或未提供“收到退还履约保证金的收据”、“履约保证金退还申请”的，则</w:t>
            </w:r>
            <w:r>
              <w:rPr>
                <w:rFonts w:hint="eastAsia" w:ascii="宋体" w:hAnsi="宋体" w:eastAsia="宋体" w:cs="宋体"/>
                <w:b/>
                <w:bCs/>
                <w:color w:val="auto"/>
                <w:sz w:val="24"/>
                <w:szCs w:val="24"/>
                <w:highlight w:val="none"/>
                <w:lang w:eastAsia="zh-CN"/>
              </w:rPr>
              <w:t>招标人</w:t>
            </w:r>
            <w:r>
              <w:rPr>
                <w:rFonts w:hint="eastAsia" w:ascii="宋体" w:hAnsi="宋体" w:eastAsia="宋体" w:cs="宋体"/>
                <w:b/>
                <w:bCs/>
                <w:color w:val="auto"/>
                <w:sz w:val="24"/>
                <w:szCs w:val="24"/>
                <w:highlight w:val="none"/>
              </w:rPr>
              <w:t>不承担逾期退还违约责任。</w:t>
            </w:r>
          </w:p>
          <w:p>
            <w:pPr>
              <w:spacing w:line="24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（3）履约保证金汇入的银行及账号：</w:t>
            </w:r>
          </w:p>
          <w:p>
            <w:pPr>
              <w:spacing w:line="24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收款账号：成都市技师学院</w:t>
            </w:r>
          </w:p>
          <w:p>
            <w:pPr>
              <w:spacing w:line="24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开户行：工行四川成都分行郫都红光支行</w:t>
            </w:r>
          </w:p>
          <w:p>
            <w:pPr>
              <w:spacing w:line="24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银行账号：4402054609100031151</w:t>
            </w:r>
          </w:p>
          <w:p>
            <w:pPr>
              <w:spacing w:line="240" w:lineRule="auto"/>
              <w:jc w:val="both"/>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履约保证金不予退还情形:一是投标人未按合同要求履行的，其履约保证金全部扣除。二是投标人缴纳了履约保证金，但因自身原因被取消成交资格或在成交公示期满之日起30个日历天(含法定节假日)内投标人不按招标文件确定的事项与</w:t>
            </w:r>
            <w:r>
              <w:rPr>
                <w:rFonts w:hint="eastAsia" w:ascii="宋体" w:hAnsi="宋体" w:eastAsia="宋体" w:cs="宋体"/>
                <w:b/>
                <w:bCs/>
                <w:color w:val="auto"/>
                <w:sz w:val="24"/>
                <w:szCs w:val="24"/>
                <w:highlight w:val="none"/>
                <w:lang w:eastAsia="zh-CN"/>
              </w:rPr>
              <w:t>招标人</w:t>
            </w:r>
            <w:r>
              <w:rPr>
                <w:rFonts w:hint="eastAsia" w:ascii="宋体" w:hAnsi="宋体" w:eastAsia="宋体" w:cs="宋体"/>
                <w:b/>
                <w:bCs/>
                <w:color w:val="auto"/>
                <w:sz w:val="24"/>
                <w:szCs w:val="24"/>
                <w:highlight w:val="none"/>
              </w:rPr>
              <w:t>签订合同的，其履约保证金不予退还。三是法律法规或合同约定的其他情形。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6" w:hRule="atLeast"/>
          <w:jc w:val="center"/>
        </w:trPr>
        <w:tc>
          <w:tcPr>
            <w:tcW w:w="856" w:type="dxa"/>
            <w:tcBorders>
              <w:tl2br w:val="nil"/>
              <w:tr2bl w:val="nil"/>
            </w:tcBorders>
            <w:vAlign w:val="center"/>
          </w:tcPr>
          <w:p>
            <w:pPr>
              <w:spacing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750" w:type="dxa"/>
            <w:tcBorders>
              <w:tl2br w:val="nil"/>
              <w:tr2bl w:val="nil"/>
            </w:tcBorders>
          </w:tcPr>
          <w:p>
            <w:pPr>
              <w:spacing w:line="24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合同分包</w:t>
            </w:r>
          </w:p>
          <w:p>
            <w:pPr>
              <w:spacing w:line="24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(实质性要求)</w:t>
            </w:r>
          </w:p>
        </w:tc>
        <w:tc>
          <w:tcPr>
            <w:tcW w:w="6898" w:type="dxa"/>
            <w:tcBorders>
              <w:tl2br w:val="nil"/>
              <w:tr2bl w:val="nil"/>
            </w:tcBorders>
            <w:vAlign w:val="center"/>
          </w:tcPr>
          <w:p>
            <w:pPr>
              <w:spacing w:line="240" w:lineRule="auto"/>
              <w:jc w:val="both"/>
              <w:rPr>
                <w:rFonts w:ascii="宋体" w:hAnsi="宋体" w:eastAsia="宋体" w:cs="宋体"/>
                <w:b/>
                <w:bCs/>
                <w:color w:val="auto"/>
                <w:sz w:val="24"/>
                <w:szCs w:val="24"/>
                <w:highlight w:val="none"/>
              </w:rPr>
            </w:pPr>
            <w:r>
              <w:rPr>
                <w:rFonts w:hint="eastAsia"/>
                <w:color w:val="auto"/>
                <w:sz w:val="24"/>
                <w:szCs w:val="24"/>
                <w:highlight w:val="none"/>
              </w:rPr>
              <w:t>本项目</w:t>
            </w:r>
            <w:r>
              <w:rPr>
                <w:rFonts w:hint="eastAsia" w:eastAsia="宋体"/>
                <w:color w:val="auto"/>
                <w:sz w:val="24"/>
                <w:szCs w:val="24"/>
                <w:highlight w:val="none"/>
                <w:lang w:val="en-US" w:eastAsia="zh-CN"/>
              </w:rPr>
              <w:t>不接受</w:t>
            </w:r>
            <w:r>
              <w:rPr>
                <w:rFonts w:hint="eastAsia"/>
                <w:color w:val="auto"/>
                <w:sz w:val="24"/>
                <w:szCs w:val="24"/>
                <w:highlight w:val="none"/>
              </w:rPr>
              <w:t>合同分包。</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856" w:type="dxa"/>
            <w:tcBorders>
              <w:tl2br w:val="nil"/>
              <w:tr2bl w:val="nil"/>
            </w:tcBorders>
            <w:vAlign w:val="center"/>
          </w:tcPr>
          <w:p>
            <w:pPr>
              <w:spacing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750" w:type="dxa"/>
            <w:tcBorders>
              <w:tl2br w:val="nil"/>
              <w:tr2bl w:val="nil"/>
            </w:tcBorders>
            <w:vAlign w:val="center"/>
          </w:tcPr>
          <w:p>
            <w:pPr>
              <w:spacing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询问</w:t>
            </w:r>
          </w:p>
        </w:tc>
        <w:tc>
          <w:tcPr>
            <w:tcW w:w="6898" w:type="dxa"/>
            <w:tcBorders>
              <w:tl2br w:val="nil"/>
              <w:tr2bl w:val="nil"/>
            </w:tcBorders>
            <w:vAlign w:val="center"/>
          </w:tcPr>
          <w:p>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eastAsia="zh-CN"/>
              </w:rPr>
              <w:t>根据委托代理协议约定，投标人询问由四川铭信工程招标咨询有限公司负责答复</w:t>
            </w:r>
            <w:r>
              <w:rPr>
                <w:rFonts w:hint="eastAsia" w:ascii="宋体" w:hAnsi="宋体" w:eastAsia="宋体" w:cs="宋体"/>
                <w:color w:val="auto"/>
                <w:sz w:val="24"/>
                <w:szCs w:val="24"/>
                <w:highlight w:val="none"/>
                <w:lang w:val="zh-CN"/>
              </w:rPr>
              <w:t>。</w:t>
            </w:r>
          </w:p>
          <w:p>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联系人：</w:t>
            </w:r>
            <w:r>
              <w:rPr>
                <w:rFonts w:hint="eastAsia" w:ascii="宋体" w:hAnsi="宋体" w:eastAsia="宋体" w:cs="宋体"/>
                <w:color w:val="auto"/>
                <w:sz w:val="24"/>
                <w:szCs w:val="24"/>
                <w:highlight w:val="none"/>
                <w:lang w:val="en-US" w:eastAsia="zh-CN"/>
              </w:rPr>
              <w:t>陈女士</w:t>
            </w:r>
            <w:r>
              <w:rPr>
                <w:rFonts w:hint="eastAsia" w:ascii="宋体" w:hAnsi="宋体" w:eastAsia="宋体" w:cs="宋体"/>
                <w:color w:val="auto"/>
                <w:sz w:val="24"/>
                <w:szCs w:val="24"/>
                <w:highlight w:val="none"/>
                <w:lang w:val="zh-CN"/>
              </w:rPr>
              <w:t xml:space="preserve"> </w:t>
            </w:r>
          </w:p>
          <w:p>
            <w:pPr>
              <w:spacing w:line="240" w:lineRule="auto"/>
              <w:rPr>
                <w:rFonts w:hint="eastAsia" w:eastAsia="宋体"/>
                <w:color w:val="auto"/>
                <w:sz w:val="24"/>
                <w:szCs w:val="24"/>
                <w:highlight w:val="none"/>
                <w:lang w:val="en-US" w:eastAsia="zh-CN"/>
              </w:rPr>
            </w:pPr>
            <w:r>
              <w:rPr>
                <w:rFonts w:hint="eastAsia" w:ascii="宋体" w:hAnsi="宋体" w:eastAsia="宋体" w:cs="宋体"/>
                <w:color w:val="auto"/>
                <w:sz w:val="24"/>
                <w:szCs w:val="24"/>
                <w:highlight w:val="none"/>
                <w:lang w:val="zh-CN"/>
              </w:rPr>
              <w:t>联系电话：</w:t>
            </w:r>
            <w:r>
              <w:rPr>
                <w:rFonts w:hint="eastAsia" w:ascii="宋体" w:hAnsi="宋体" w:cs="微软雅黑"/>
                <w:color w:val="auto"/>
                <w:sz w:val="24"/>
                <w:highlight w:val="none"/>
                <w:lang w:eastAsia="zh-CN"/>
              </w:rPr>
              <w:t>13558776674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856" w:type="dxa"/>
            <w:tcBorders>
              <w:tl2br w:val="nil"/>
              <w:tr2bl w:val="nil"/>
            </w:tcBorders>
            <w:vAlign w:val="center"/>
          </w:tcPr>
          <w:p>
            <w:pPr>
              <w:spacing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750" w:type="dxa"/>
            <w:tcBorders>
              <w:tl2br w:val="nil"/>
              <w:tr2bl w:val="nil"/>
            </w:tcBorders>
            <w:vAlign w:val="center"/>
          </w:tcPr>
          <w:p>
            <w:pPr>
              <w:spacing w:line="240" w:lineRule="auto"/>
              <w:jc w:val="center"/>
              <w:rPr>
                <w:rFonts w:ascii="宋体" w:hAnsi="宋体" w:eastAsia="宋体" w:cs="宋体"/>
                <w:b/>
                <w:bCs/>
                <w:color w:val="auto"/>
                <w:sz w:val="24"/>
                <w:szCs w:val="24"/>
                <w:highlight w:val="none"/>
              </w:rPr>
            </w:pPr>
            <w:r>
              <w:rPr>
                <w:rFonts w:hint="eastAsia" w:ascii="宋体" w:hAnsi="宋体" w:eastAsia="宋体" w:cs="宋体"/>
                <w:color w:val="auto"/>
                <w:kern w:val="2"/>
                <w:sz w:val="24"/>
                <w:szCs w:val="24"/>
                <w:highlight w:val="none"/>
                <w:lang w:eastAsia="zh-CN"/>
              </w:rPr>
              <w:t>投标人</w:t>
            </w:r>
            <w:r>
              <w:rPr>
                <w:rFonts w:hint="eastAsia" w:ascii="宋体" w:hAnsi="宋体" w:eastAsia="宋体" w:cs="宋体"/>
                <w:color w:val="auto"/>
                <w:kern w:val="2"/>
                <w:sz w:val="24"/>
                <w:szCs w:val="24"/>
                <w:highlight w:val="none"/>
              </w:rPr>
              <w:t>质疑</w:t>
            </w:r>
          </w:p>
        </w:tc>
        <w:tc>
          <w:tcPr>
            <w:tcW w:w="6898" w:type="dxa"/>
            <w:tcBorders>
              <w:tl2br w:val="nil"/>
              <w:tr2bl w:val="nil"/>
            </w:tcBorders>
            <w:vAlign w:val="center"/>
          </w:tcPr>
          <w:p>
            <w:pPr>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根据委托代理协议约定，对于招标文件的技术、商务部分的质疑由成都市技师学院负责解释，四川铭信工程招标咨询有限公司负责答复；对于文件其他部分及流程、招标结果由四川铭信工程招标咨询有限公司负责答复。投标人在法定质疑期内应一次性提出针对同一招标程序环节的质疑（针对同一招标程序环节一次以上的质疑不予受理）。</w:t>
            </w:r>
          </w:p>
          <w:p>
            <w:pPr>
              <w:spacing w:line="240" w:lineRule="auto"/>
              <w:rPr>
                <w:rFonts w:ascii="宋体" w:hAnsi="宋体" w:eastAsia="宋体" w:cs="宋体"/>
                <w:color w:val="auto"/>
                <w:sz w:val="24"/>
                <w:szCs w:val="24"/>
                <w:highlight w:val="none"/>
                <w:lang w:val="zh-CN"/>
              </w:rPr>
            </w:pPr>
            <w:r>
              <w:rPr>
                <w:rFonts w:hint="eastAsia" w:ascii="宋体"/>
                <w:color w:val="auto"/>
                <w:sz w:val="24"/>
                <w:szCs w:val="24"/>
                <w:highlight w:val="none"/>
                <w:lang w:val="zh-CN"/>
              </w:rPr>
              <w:t>接收方式：邮寄或现场递交，质疑函必须为书面形式并符合相关法律法规的要求。</w:t>
            </w:r>
          </w:p>
          <w:p>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联系人：</w:t>
            </w:r>
            <w:r>
              <w:rPr>
                <w:rFonts w:hint="eastAsia" w:ascii="宋体" w:hAnsi="宋体" w:eastAsia="宋体" w:cs="宋体"/>
                <w:color w:val="auto"/>
                <w:sz w:val="24"/>
                <w:szCs w:val="24"/>
                <w:highlight w:val="none"/>
                <w:lang w:val="en-US" w:eastAsia="zh-CN"/>
              </w:rPr>
              <w:t>陈女士</w:t>
            </w:r>
            <w:r>
              <w:rPr>
                <w:rFonts w:hint="eastAsia" w:ascii="宋体" w:hAnsi="宋体" w:eastAsia="宋体" w:cs="宋体"/>
                <w:color w:val="auto"/>
                <w:sz w:val="24"/>
                <w:szCs w:val="24"/>
                <w:highlight w:val="none"/>
                <w:lang w:val="zh-CN"/>
              </w:rPr>
              <w:t xml:space="preserve"> </w:t>
            </w:r>
          </w:p>
          <w:p>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联系电话：</w:t>
            </w:r>
            <w:r>
              <w:rPr>
                <w:rFonts w:hint="eastAsia" w:ascii="宋体" w:hAnsi="宋体" w:cs="微软雅黑"/>
                <w:color w:val="auto"/>
                <w:sz w:val="24"/>
                <w:highlight w:val="none"/>
                <w:lang w:eastAsia="zh-CN"/>
              </w:rPr>
              <w:t>13558776674</w:t>
            </w:r>
          </w:p>
          <w:p>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w:t>
            </w:r>
          </w:p>
          <w:p>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1、对招标文件提出质疑时间：为购买招标文件之日起七个工作日内；</w:t>
            </w:r>
          </w:p>
          <w:p>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2、对招标过程提出质疑时间：为各招标程序环节结束之日起七个工作日内；</w:t>
            </w:r>
          </w:p>
          <w:p>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3、对招标结果提出质疑时间：为招标结果公告发布次日后七个工作日内；</w:t>
            </w:r>
          </w:p>
          <w:p>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w:t>
            </w:r>
            <w:r>
              <w:rPr>
                <w:rFonts w:hint="eastAsia" w:ascii="宋体" w:hAnsi="宋体" w:eastAsia="宋体" w:cs="宋体"/>
                <w:color w:val="auto"/>
                <w:sz w:val="24"/>
                <w:szCs w:val="24"/>
                <w:highlight w:val="none"/>
                <w:lang w:val="en-US" w:eastAsia="zh-CN"/>
              </w:rPr>
              <w:t>参照</w:t>
            </w:r>
            <w:r>
              <w:rPr>
                <w:rFonts w:hint="eastAsia" w:ascii="宋体" w:hAnsi="宋体" w:eastAsia="宋体" w:cs="宋体"/>
                <w:color w:val="auto"/>
                <w:sz w:val="24"/>
                <w:szCs w:val="24"/>
                <w:highlight w:val="none"/>
                <w:lang w:val="zh-CN"/>
              </w:rPr>
              <w:t>《政府采购质疑和投诉办法》的规定，投标人质疑不得超出招标文件、招标过程、招标结果的范围；</w:t>
            </w:r>
          </w:p>
          <w:p>
            <w:pPr>
              <w:spacing w:line="240" w:lineRule="auto"/>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zh-CN"/>
              </w:rPr>
              <w:t>5、1-4每个阶段的质疑应在一次质疑函中全部提出全有事项。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856" w:type="dxa"/>
            <w:tcBorders>
              <w:tl2br w:val="nil"/>
              <w:tr2bl w:val="nil"/>
            </w:tcBorders>
            <w:vAlign w:val="center"/>
          </w:tcPr>
          <w:p>
            <w:pPr>
              <w:spacing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750" w:type="dxa"/>
            <w:tcBorders>
              <w:tl2br w:val="nil"/>
              <w:tr2bl w:val="nil"/>
            </w:tcBorders>
            <w:vAlign w:val="center"/>
          </w:tcPr>
          <w:p>
            <w:pPr>
              <w:spacing w:line="240" w:lineRule="auto"/>
              <w:jc w:val="center"/>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节能、环保及无线局域网产品政府采购政策</w:t>
            </w:r>
          </w:p>
        </w:tc>
        <w:tc>
          <w:tcPr>
            <w:tcW w:w="6898" w:type="dxa"/>
            <w:tcBorders>
              <w:tl2br w:val="nil"/>
              <w:tr2bl w:val="nil"/>
            </w:tcBorders>
            <w:vAlign w:val="center"/>
          </w:tcPr>
          <w:p>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zh-CN"/>
              </w:rPr>
              <w:t>、节能、环保产品政府采购政策：</w:t>
            </w:r>
          </w:p>
          <w:p>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根据《财政部 发展改革委 生态环境部 市场监管总局关于调整优化节能产品、环境标志产品政府采购执行机制的通知》（财库〔2019〕9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w:t>
            </w:r>
          </w:p>
          <w:p>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本项目采购的产品属于品目清单强制采购范围的，供应商应按上述要求提供产品认证证书复印件并加盖供应商单位公章，否则投标无效。</w:t>
            </w:r>
          </w:p>
          <w:p>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本项目采购的产品属于品目清单优先采购范围的，按照第</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lang w:val="zh-CN"/>
              </w:rPr>
              <w:t>章《综合评分明细表》的规则进行加分。</w:t>
            </w:r>
          </w:p>
          <w:p>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注：对政府采购节能产品、环境标志产品实施品目清单管理。财政部、发展改革委、生态环境部等部门确定实施政府优先采购和强制采购的产品类别，以品目清单的形式发布并适时调整。</w:t>
            </w:r>
          </w:p>
          <w:p>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二、无线局域网产品政府采购政策：</w:t>
            </w:r>
          </w:p>
          <w:p>
            <w:pPr>
              <w:spacing w:line="240" w:lineRule="auto"/>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zh-CN"/>
              </w:rPr>
              <w:t>本项目采购的产品属于中国政府采购网公布的《无线局域网认证产品政府采购清单》的，按照第</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lang w:val="zh-CN"/>
              </w:rPr>
              <w:t>章《综合评分明细表》的规则进行加分。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4" w:hRule="atLeast"/>
          <w:jc w:val="center"/>
        </w:trPr>
        <w:tc>
          <w:tcPr>
            <w:tcW w:w="856" w:type="dxa"/>
            <w:tcBorders>
              <w:tl2br w:val="nil"/>
              <w:tr2bl w:val="nil"/>
            </w:tcBorders>
            <w:vAlign w:val="center"/>
          </w:tcPr>
          <w:p>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p>
        </w:tc>
        <w:tc>
          <w:tcPr>
            <w:tcW w:w="1750" w:type="dxa"/>
            <w:tcBorders>
              <w:tl2br w:val="nil"/>
              <w:tr2bl w:val="nil"/>
            </w:tcBorders>
            <w:vAlign w:val="center"/>
          </w:tcPr>
          <w:p>
            <w:pPr>
              <w:spacing w:line="240" w:lineRule="auto"/>
              <w:jc w:val="center"/>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CN"/>
              </w:rPr>
              <w:t>与</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CN"/>
              </w:rPr>
              <w:t>文件</w:t>
            </w:r>
          </w:p>
          <w:p>
            <w:pPr>
              <w:spacing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制作</w:t>
            </w:r>
          </w:p>
        </w:tc>
        <w:tc>
          <w:tcPr>
            <w:tcW w:w="6898" w:type="dxa"/>
            <w:tcBorders>
              <w:tl2br w:val="nil"/>
              <w:tr2bl w:val="nil"/>
            </w:tcBorders>
            <w:vAlign w:val="center"/>
          </w:tcPr>
          <w:p>
            <w:pPr>
              <w:spacing w:line="240" w:lineRule="auto"/>
              <w:jc w:val="both"/>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本项目</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CN"/>
              </w:rPr>
              <w:t>和</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CN"/>
              </w:rPr>
              <w:t>文件制作均以“包”为单位。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65" w:hRule="atLeast"/>
          <w:jc w:val="center"/>
        </w:trPr>
        <w:tc>
          <w:tcPr>
            <w:tcW w:w="856" w:type="dxa"/>
            <w:tcBorders>
              <w:tl2br w:val="nil"/>
              <w:tr2bl w:val="nil"/>
            </w:tcBorders>
            <w:vAlign w:val="center"/>
          </w:tcPr>
          <w:p>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p>
        </w:tc>
        <w:tc>
          <w:tcPr>
            <w:tcW w:w="1750" w:type="dxa"/>
            <w:tcBorders>
              <w:tl2br w:val="nil"/>
              <w:tr2bl w:val="nil"/>
            </w:tcBorders>
            <w:vAlign w:val="center"/>
          </w:tcPr>
          <w:p>
            <w:pPr>
              <w:kinsoku/>
              <w:spacing w:line="240" w:lineRule="auto"/>
              <w:ind w:right="105" w:rightChars="5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中标通知书领取</w:t>
            </w:r>
          </w:p>
        </w:tc>
        <w:tc>
          <w:tcPr>
            <w:tcW w:w="6898" w:type="dxa"/>
            <w:tcBorders>
              <w:tl2br w:val="nil"/>
              <w:tr2bl w:val="nil"/>
            </w:tcBorders>
            <w:vAlign w:val="center"/>
          </w:tcPr>
          <w:p>
            <w:pPr>
              <w:pStyle w:val="24"/>
              <w:spacing w:line="240" w:lineRule="auto"/>
              <w:jc w:val="both"/>
              <w:rPr>
                <w:rFonts w:hint="eastAsia" w:ascii="宋体" w:hAnsi="宋体" w:eastAsia="宋体" w:cs="宋体"/>
                <w:color w:val="auto"/>
                <w:highlight w:val="none"/>
                <w:lang w:val="zh-CN"/>
              </w:rPr>
            </w:pPr>
            <w:r>
              <w:rPr>
                <w:rFonts w:hint="eastAsia"/>
                <w:color w:val="auto"/>
                <w:highlight w:val="none"/>
                <w:lang w:eastAsia="zh-Hans"/>
              </w:rPr>
              <w:t>成交结果公告</w:t>
            </w:r>
            <w:r>
              <w:rPr>
                <w:rFonts w:hint="eastAsia"/>
                <w:color w:val="auto"/>
                <w:highlight w:val="none"/>
                <w:lang w:val="zh-CN"/>
              </w:rPr>
              <w:t>在</w:t>
            </w:r>
            <w:r>
              <w:rPr>
                <w:rFonts w:hint="eastAsia"/>
                <w:bCs/>
                <w:color w:val="auto"/>
                <w:highlight w:val="none"/>
                <w:lang w:eastAsia="zh-CN"/>
              </w:rPr>
              <w:t>中国招标投标公共服务平台（http://www.cebpubservice.com/）</w:t>
            </w:r>
            <w:r>
              <w:rPr>
                <w:rFonts w:hint="eastAsia"/>
                <w:color w:val="auto"/>
                <w:highlight w:val="none"/>
                <w:lang w:val="zh-CN"/>
              </w:rPr>
              <w:t>上发布</w:t>
            </w:r>
            <w:r>
              <w:rPr>
                <w:color w:val="auto"/>
                <w:highlight w:val="none"/>
              </w:rPr>
              <w:t>，</w:t>
            </w:r>
            <w:r>
              <w:rPr>
                <w:rFonts w:hint="eastAsia"/>
                <w:color w:val="auto"/>
                <w:highlight w:val="none"/>
                <w:lang w:eastAsia="zh-Hans"/>
              </w:rPr>
              <w:t>公告发布后</w:t>
            </w:r>
            <w:r>
              <w:rPr>
                <w:color w:val="auto"/>
                <w:highlight w:val="none"/>
                <w:lang w:eastAsia="zh-Hans"/>
              </w:rPr>
              <w:t>，</w:t>
            </w:r>
            <w:r>
              <w:rPr>
                <w:rFonts w:hint="eastAsia"/>
                <w:color w:val="auto"/>
                <w:highlight w:val="none"/>
                <w:lang w:val="zh-CN"/>
              </w:rPr>
              <w:t>请成交供应商</w:t>
            </w:r>
            <w:r>
              <w:rPr>
                <w:rFonts w:hint="eastAsia"/>
                <w:color w:val="auto"/>
                <w:highlight w:val="none"/>
              </w:rPr>
              <w:t>与代</w:t>
            </w:r>
            <w:r>
              <w:rPr>
                <w:rFonts w:hint="eastAsia" w:ascii="宋体" w:hAnsi="宋体" w:eastAsia="宋体" w:cs="宋体"/>
                <w:color w:val="auto"/>
                <w:highlight w:val="none"/>
              </w:rPr>
              <w:t>理机构联系，以邮寄方式</w:t>
            </w:r>
            <w:r>
              <w:rPr>
                <w:rFonts w:hint="eastAsia" w:ascii="宋体" w:hAnsi="宋体" w:eastAsia="宋体" w:cs="宋体"/>
                <w:color w:val="auto"/>
                <w:highlight w:val="none"/>
                <w:lang w:val="zh-CN"/>
              </w:rPr>
              <w:t>领取成交通知书。</w:t>
            </w:r>
          </w:p>
          <w:p>
            <w:pPr>
              <w:pStyle w:val="24"/>
              <w:spacing w:line="240" w:lineRule="auto"/>
              <w:jc w:val="both"/>
              <w:rPr>
                <w:rFonts w:ascii="宋体" w:hAnsi="宋体" w:eastAsia="宋体" w:cs="宋体"/>
                <w:color w:val="auto"/>
                <w:sz w:val="24"/>
                <w:szCs w:val="24"/>
                <w:highlight w:val="none"/>
              </w:rPr>
            </w:pPr>
            <w:r>
              <w:rPr>
                <w:rFonts w:hint="eastAsia" w:ascii="宋体" w:hAnsi="宋体" w:eastAsia="宋体" w:cs="宋体"/>
                <w:color w:val="auto"/>
                <w:highlight w:val="none"/>
                <w:lang w:val="zh-CN"/>
              </w:rPr>
              <w:t>联系电话：</w:t>
            </w:r>
            <w:r>
              <w:rPr>
                <w:rFonts w:hint="eastAsia" w:ascii="宋体" w:hAnsi="宋体" w:eastAsia="宋体" w:cs="宋体"/>
                <w:color w:val="auto"/>
                <w:highlight w:val="none"/>
                <w:lang w:val="en-US" w:eastAsia="zh-CN"/>
              </w:rPr>
              <w:t>18780128100</w:t>
            </w:r>
            <w:r>
              <w:rPr>
                <w:rFonts w:hint="eastAsia" w:ascii="宋体" w:hAnsi="宋体" w:eastAsia="宋体" w:cs="宋体"/>
                <w:color w:val="auto"/>
                <w:highlight w:val="none"/>
                <w:lang w:val="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856" w:type="dxa"/>
            <w:tcBorders>
              <w:tl2br w:val="nil"/>
              <w:tr2bl w:val="nil"/>
            </w:tcBorders>
            <w:vAlign w:val="center"/>
          </w:tcPr>
          <w:p>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1750" w:type="dxa"/>
            <w:tcBorders>
              <w:tl2br w:val="nil"/>
              <w:tr2bl w:val="nil"/>
            </w:tcBorders>
            <w:vAlign w:val="center"/>
          </w:tcPr>
          <w:p>
            <w:pPr>
              <w:kinsoku/>
              <w:spacing w:line="240" w:lineRule="auto"/>
              <w:ind w:right="105" w:rightChars="50"/>
              <w:jc w:val="center"/>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招标代理服务费</w:t>
            </w:r>
          </w:p>
        </w:tc>
        <w:tc>
          <w:tcPr>
            <w:tcW w:w="6898" w:type="dxa"/>
            <w:tcBorders>
              <w:tl2br w:val="nil"/>
              <w:tr2bl w:val="nil"/>
            </w:tcBorders>
            <w:vAlign w:val="center"/>
          </w:tcPr>
          <w:p>
            <w:pPr>
              <w:spacing w:line="240" w:lineRule="auto"/>
              <w:ind w:firstLine="240" w:firstLineChars="1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项目代理服务按照国家计委计价格[2002]1980号及发改办价格[2003]857号文规定的收费标准下浮25%收取，中标人在领取中标通知书前支付服务费给代理机构。</w:t>
            </w:r>
          </w:p>
          <w:p>
            <w:pPr>
              <w:spacing w:line="240" w:lineRule="auto"/>
              <w:ind w:firstLine="240" w:firstLineChars="1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账号名称：四川铭信工程招标咨询有限公司</w:t>
            </w:r>
          </w:p>
          <w:p>
            <w:pPr>
              <w:spacing w:line="240" w:lineRule="auto"/>
              <w:ind w:firstLine="240" w:firstLineChars="1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开户行：</w:t>
            </w:r>
            <w:r>
              <w:rPr>
                <w:rFonts w:hint="eastAsia" w:ascii="宋体" w:hAnsi="宋体" w:eastAsia="宋体" w:cs="宋体"/>
                <w:b w:val="0"/>
                <w:bCs w:val="0"/>
                <w:color w:val="auto"/>
                <w:sz w:val="24"/>
                <w:szCs w:val="24"/>
                <w:highlight w:val="none"/>
              </w:rPr>
              <w:t>四川银行股份有限公司成都天府广场支行</w:t>
            </w:r>
          </w:p>
          <w:p>
            <w:pPr>
              <w:spacing w:line="240" w:lineRule="auto"/>
              <w:ind w:firstLine="240" w:firstLineChars="100"/>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zh-CN"/>
              </w:rPr>
              <w:t>银行账号：</w:t>
            </w:r>
            <w:r>
              <w:rPr>
                <w:rFonts w:hint="eastAsia" w:ascii="宋体" w:hAnsi="宋体" w:eastAsia="宋体" w:cs="宋体"/>
                <w:b w:val="0"/>
                <w:bCs w:val="0"/>
                <w:color w:val="auto"/>
                <w:sz w:val="24"/>
                <w:szCs w:val="24"/>
                <w:highlight w:val="none"/>
              </w:rPr>
              <w:t>78220100072502592</w:t>
            </w:r>
          </w:p>
        </w:tc>
      </w:tr>
    </w:tbl>
    <w:p>
      <w:pPr>
        <w:spacing w:line="240" w:lineRule="auto"/>
        <w:ind w:firstLine="622" w:firstLineChars="200"/>
        <w:jc w:val="center"/>
        <w:rPr>
          <w:rFonts w:ascii="宋体" w:hAnsi="宋体" w:eastAsia="宋体" w:cs="宋体"/>
          <w:b/>
          <w:bCs/>
          <w:color w:val="auto"/>
          <w:sz w:val="31"/>
          <w:szCs w:val="31"/>
          <w:highlight w:val="none"/>
        </w:rPr>
      </w:pPr>
      <w:bookmarkStart w:id="12" w:name="_Toc31339"/>
    </w:p>
    <w:p>
      <w:pPr>
        <w:spacing w:line="240" w:lineRule="auto"/>
        <w:ind w:firstLine="622" w:firstLineChars="200"/>
        <w:jc w:val="center"/>
        <w:outlineLvl w:val="1"/>
        <w:rPr>
          <w:rFonts w:ascii="宋体" w:hAnsi="宋体" w:eastAsia="宋体" w:cs="宋体"/>
          <w:b/>
          <w:bCs/>
          <w:color w:val="auto"/>
          <w:sz w:val="31"/>
          <w:szCs w:val="31"/>
          <w:highlight w:val="none"/>
        </w:rPr>
      </w:pPr>
      <w:bookmarkStart w:id="13" w:name="_Toc12017"/>
      <w:r>
        <w:rPr>
          <w:rFonts w:hint="eastAsia" w:ascii="宋体" w:hAnsi="宋体" w:eastAsia="宋体" w:cs="宋体"/>
          <w:b/>
          <w:bCs/>
          <w:color w:val="auto"/>
          <w:sz w:val="31"/>
          <w:szCs w:val="31"/>
          <w:highlight w:val="none"/>
        </w:rPr>
        <w:t>二 、 总  则</w:t>
      </w:r>
      <w:bookmarkEnd w:id="12"/>
      <w:bookmarkEnd w:id="13"/>
    </w:p>
    <w:p>
      <w:pPr>
        <w:spacing w:line="240" w:lineRule="auto"/>
        <w:outlineLvl w:val="9"/>
        <w:rPr>
          <w:rFonts w:ascii="宋体" w:hAnsi="宋体" w:eastAsia="宋体" w:cs="宋体"/>
          <w:b/>
          <w:bCs/>
          <w:color w:val="auto"/>
          <w:sz w:val="24"/>
          <w:szCs w:val="24"/>
          <w:highlight w:val="none"/>
        </w:rPr>
      </w:pPr>
      <w:bookmarkStart w:id="14" w:name="_Toc18679"/>
      <w:bookmarkStart w:id="15" w:name="_Toc27740"/>
      <w:r>
        <w:rPr>
          <w:rFonts w:hint="eastAsia" w:ascii="宋体" w:hAnsi="宋体" w:eastAsia="宋体" w:cs="宋体"/>
          <w:b/>
          <w:bCs/>
          <w:color w:val="auto"/>
          <w:sz w:val="24"/>
          <w:szCs w:val="24"/>
          <w:highlight w:val="none"/>
        </w:rPr>
        <w:t>1.适用范围</w:t>
      </w:r>
      <w:bookmarkEnd w:id="14"/>
      <w:bookmarkEnd w:id="15"/>
    </w:p>
    <w:p>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1.1 本招标文件仅适用于本次招标采购项目。</w:t>
      </w:r>
    </w:p>
    <w:p>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1.2 本招标文件的解释权归</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和</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所有。</w:t>
      </w:r>
    </w:p>
    <w:p>
      <w:pPr>
        <w:spacing w:line="240" w:lineRule="auto"/>
        <w:outlineLvl w:val="9"/>
        <w:rPr>
          <w:rFonts w:ascii="宋体" w:hAnsi="宋体" w:eastAsia="宋体" w:cs="宋体"/>
          <w:b/>
          <w:bCs/>
          <w:color w:val="auto"/>
          <w:sz w:val="24"/>
          <w:szCs w:val="24"/>
          <w:highlight w:val="none"/>
        </w:rPr>
      </w:pPr>
      <w:bookmarkStart w:id="16" w:name="_Toc28213"/>
      <w:bookmarkStart w:id="17" w:name="_Toc22141"/>
      <w:r>
        <w:rPr>
          <w:rFonts w:hint="eastAsia" w:ascii="宋体" w:hAnsi="宋体" w:eastAsia="宋体" w:cs="宋体"/>
          <w:b/>
          <w:bCs/>
          <w:color w:val="auto"/>
          <w:sz w:val="24"/>
          <w:szCs w:val="24"/>
          <w:highlight w:val="none"/>
        </w:rPr>
        <w:t>2.有关定义</w:t>
      </w:r>
      <w:bookmarkEnd w:id="16"/>
      <w:bookmarkEnd w:id="17"/>
    </w:p>
    <w:p>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2.1 “</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”系指依法进行采购的国家机关、事业单位、团体组织。本次招标的</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是</w:t>
      </w:r>
      <w:r>
        <w:rPr>
          <w:rFonts w:hint="eastAsia" w:ascii="宋体" w:hAnsi="宋体" w:eastAsia="宋体" w:cs="宋体"/>
          <w:b/>
          <w:bCs/>
          <w:color w:val="auto"/>
          <w:sz w:val="24"/>
          <w:szCs w:val="24"/>
          <w:highlight w:val="none"/>
          <w:u w:val="single"/>
          <w:lang w:eastAsia="zh-CN"/>
        </w:rPr>
        <w:t>成都市技师学院</w:t>
      </w:r>
      <w:r>
        <w:rPr>
          <w:rFonts w:hint="eastAsia" w:ascii="宋体" w:hAnsi="宋体" w:eastAsia="宋体" w:cs="宋体"/>
          <w:b/>
          <w:bCs/>
          <w:color w:val="auto"/>
          <w:sz w:val="24"/>
          <w:szCs w:val="24"/>
          <w:highlight w:val="none"/>
          <w:u w:val="single"/>
        </w:rPr>
        <w:t xml:space="preserve"> </w:t>
      </w:r>
      <w:r>
        <w:rPr>
          <w:rFonts w:ascii="宋体" w:hAnsi="宋体" w:eastAsia="宋体" w:cs="宋体"/>
          <w:color w:val="auto"/>
          <w:sz w:val="24"/>
          <w:szCs w:val="24"/>
          <w:highlight w:val="none"/>
        </w:rPr>
        <w:t>。</w:t>
      </w:r>
    </w:p>
    <w:p>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2.2 “</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”系指根据</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的委托依法办理招标事宜的采购机构。本次招标的</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是</w:t>
      </w:r>
      <w:r>
        <w:rPr>
          <w:rFonts w:hint="eastAsia" w:ascii="宋体" w:hAnsi="宋体" w:eastAsia="宋体" w:cs="宋体"/>
          <w:b/>
          <w:bCs/>
          <w:color w:val="auto"/>
          <w:sz w:val="24"/>
          <w:szCs w:val="24"/>
          <w:highlight w:val="none"/>
          <w:u w:val="single"/>
          <w:lang w:eastAsia="zh-CN"/>
        </w:rPr>
        <w:t>四川铭信工程招标咨询有限公司</w:t>
      </w:r>
      <w:r>
        <w:rPr>
          <w:rFonts w:ascii="宋体" w:hAnsi="宋体" w:eastAsia="宋体" w:cs="宋体"/>
          <w:color w:val="auto"/>
          <w:sz w:val="24"/>
          <w:szCs w:val="24"/>
          <w:highlight w:val="none"/>
        </w:rPr>
        <w:t>。</w:t>
      </w:r>
    </w:p>
    <w:p>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2.3 “招标采购单位”系指“</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”和“</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”的统称。</w:t>
      </w:r>
    </w:p>
    <w:p>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2.4 “投标人”系指购买了招标文件拟参加投标和向</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提供货物及相应服务的供应商，同时本文件中因政策法规等原因出现描述不一致的“投标人”与“供应商”均属同一含义。</w:t>
      </w:r>
    </w:p>
    <w:p>
      <w:pPr>
        <w:spacing w:line="240" w:lineRule="auto"/>
        <w:outlineLvl w:val="9"/>
        <w:rPr>
          <w:rFonts w:ascii="宋体" w:hAnsi="宋体" w:eastAsia="宋体" w:cs="宋体"/>
          <w:b/>
          <w:bCs/>
          <w:color w:val="auto"/>
          <w:sz w:val="24"/>
          <w:szCs w:val="24"/>
          <w:highlight w:val="none"/>
        </w:rPr>
      </w:pPr>
      <w:bookmarkStart w:id="18" w:name="_Toc6383"/>
      <w:bookmarkStart w:id="19" w:name="_Toc16540"/>
      <w:r>
        <w:rPr>
          <w:rFonts w:hint="eastAsia" w:ascii="宋体" w:hAnsi="宋体" w:eastAsia="宋体" w:cs="宋体"/>
          <w:b/>
          <w:bCs/>
          <w:color w:val="auto"/>
          <w:sz w:val="24"/>
          <w:szCs w:val="24"/>
          <w:highlight w:val="none"/>
        </w:rPr>
        <w:t>3.合格的投标人 (实质性要求)</w:t>
      </w:r>
      <w:bookmarkEnd w:id="18"/>
      <w:bookmarkEnd w:id="19"/>
    </w:p>
    <w:p>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合格的投标人应具备以下条件：</w:t>
      </w:r>
    </w:p>
    <w:p>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3.1 本招标文件规定的供应商资格条件；</w:t>
      </w:r>
    </w:p>
    <w:p>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3.2 遵守国家有关的法律、法规、规章和其他政策制度；</w:t>
      </w:r>
    </w:p>
    <w:p>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3.3 </w:t>
      </w:r>
      <w:r>
        <w:rPr>
          <w:rFonts w:hint="eastAsia" w:ascii="宋体" w:hAnsi="宋体" w:eastAsia="宋体" w:cs="宋体"/>
          <w:color w:val="auto"/>
          <w:sz w:val="24"/>
          <w:szCs w:val="24"/>
          <w:highlight w:val="none"/>
        </w:rPr>
        <w:t>不属于禁止参加本项目采购活动的供应商；</w:t>
      </w:r>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 按规定获取了招标文件</w:t>
      </w:r>
      <w:r>
        <w:rPr>
          <w:rFonts w:ascii="宋体" w:hAnsi="宋体" w:eastAsia="宋体" w:cs="宋体"/>
          <w:color w:val="auto"/>
          <w:sz w:val="24"/>
          <w:szCs w:val="24"/>
          <w:highlight w:val="none"/>
        </w:rPr>
        <w:t>。</w:t>
      </w:r>
    </w:p>
    <w:p>
      <w:pPr>
        <w:spacing w:line="240" w:lineRule="auto"/>
        <w:outlineLvl w:val="9"/>
        <w:rPr>
          <w:rFonts w:ascii="宋体" w:hAnsi="宋体" w:eastAsia="宋体" w:cs="宋体"/>
          <w:b/>
          <w:bCs/>
          <w:color w:val="auto"/>
          <w:sz w:val="24"/>
          <w:szCs w:val="24"/>
          <w:highlight w:val="none"/>
        </w:rPr>
      </w:pPr>
      <w:bookmarkStart w:id="20" w:name="_Toc30882"/>
      <w:bookmarkStart w:id="21" w:name="_Toc3991"/>
      <w:r>
        <w:rPr>
          <w:rFonts w:hint="eastAsia" w:ascii="宋体" w:hAnsi="宋体" w:eastAsia="宋体" w:cs="宋体"/>
          <w:b/>
          <w:bCs/>
          <w:color w:val="auto"/>
          <w:sz w:val="24"/>
          <w:szCs w:val="24"/>
          <w:highlight w:val="none"/>
        </w:rPr>
        <w:t>4.投标费用 (实质性要求)</w:t>
      </w:r>
      <w:bookmarkEnd w:id="20"/>
      <w:bookmarkEnd w:id="21"/>
    </w:p>
    <w:p>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投标人参加投标的有关费用由投标人自行承担。</w:t>
      </w:r>
    </w:p>
    <w:p>
      <w:pPr>
        <w:spacing w:line="240" w:lineRule="auto"/>
        <w:outlineLvl w:val="9"/>
        <w:rPr>
          <w:rFonts w:ascii="宋体" w:hAnsi="宋体" w:eastAsia="宋体" w:cs="宋体"/>
          <w:b/>
          <w:bCs/>
          <w:color w:val="auto"/>
          <w:sz w:val="24"/>
          <w:szCs w:val="24"/>
          <w:highlight w:val="none"/>
        </w:rPr>
      </w:pPr>
      <w:bookmarkStart w:id="22" w:name="_Toc27215"/>
      <w:bookmarkStart w:id="23" w:name="_Toc10194"/>
      <w:r>
        <w:rPr>
          <w:rFonts w:hint="eastAsia" w:ascii="宋体" w:hAnsi="宋体" w:eastAsia="宋体" w:cs="宋体"/>
          <w:b/>
          <w:bCs/>
          <w:color w:val="auto"/>
          <w:sz w:val="24"/>
          <w:szCs w:val="24"/>
          <w:highlight w:val="none"/>
        </w:rPr>
        <w:t>5.充分、公平竞争保障措施 (实质性要求)</w:t>
      </w:r>
      <w:bookmarkEnd w:id="22"/>
      <w:bookmarkEnd w:id="23"/>
    </w:p>
    <w:p>
      <w:pPr>
        <w:spacing w:line="240" w:lineRule="auto"/>
        <w:ind w:firstLine="241" w:firstLineChars="1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5</w:t>
      </w:r>
      <w:r>
        <w:rPr>
          <w:rFonts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rPr>
        <w:t>1</w:t>
      </w:r>
      <w:r>
        <w:rPr>
          <w:rFonts w:ascii="宋体" w:hAnsi="宋体" w:eastAsia="宋体" w:cs="宋体"/>
          <w:b/>
          <w:bCs/>
          <w:color w:val="auto"/>
          <w:sz w:val="24"/>
          <w:szCs w:val="24"/>
          <w:highlight w:val="none"/>
        </w:rPr>
        <w:t xml:space="preserve"> 利害关系供应商处理。</w:t>
      </w:r>
      <w:r>
        <w:rPr>
          <w:rFonts w:ascii="宋体" w:hAnsi="宋体" w:eastAsia="宋体" w:cs="宋体"/>
          <w:color w:val="auto"/>
          <w:sz w:val="24"/>
          <w:szCs w:val="24"/>
          <w:highlight w:val="none"/>
        </w:rPr>
        <w:t>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投标文件作为无效处理。</w:t>
      </w:r>
    </w:p>
    <w:p>
      <w:pPr>
        <w:spacing w:line="240" w:lineRule="auto"/>
        <w:ind w:firstLine="241" w:firstLineChars="1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5.2 前期参与供应商处理。</w:t>
      </w:r>
      <w:r>
        <w:rPr>
          <w:rFonts w:ascii="宋体" w:hAnsi="宋体" w:eastAsia="宋体" w:cs="宋体"/>
          <w:color w:val="auto"/>
          <w:sz w:val="24"/>
          <w:szCs w:val="24"/>
          <w:highlight w:val="none"/>
        </w:rPr>
        <w:t>为采购项目提供整体设计、规范编制或者项目管理、监理、检测等服务的供应商，不得再参加该采购项目的其他采购活动。供应商为</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spacing w:line="240" w:lineRule="auto"/>
        <w:ind w:firstLine="241" w:firstLineChars="1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5.3 利害关系代理人处理。</w:t>
      </w:r>
      <w:r>
        <w:rPr>
          <w:rFonts w:hint="eastAsia" w:ascii="宋体" w:hAnsi="宋体" w:eastAsia="宋体" w:cs="宋体"/>
          <w:color w:val="auto"/>
          <w:sz w:val="24"/>
          <w:szCs w:val="24"/>
          <w:highlight w:val="none"/>
        </w:rPr>
        <w:t>两</w:t>
      </w:r>
      <w:r>
        <w:rPr>
          <w:rFonts w:ascii="宋体" w:hAnsi="宋体" w:eastAsia="宋体" w:cs="宋体"/>
          <w:color w:val="auto"/>
          <w:sz w:val="24"/>
          <w:szCs w:val="24"/>
          <w:highlight w:val="none"/>
        </w:rPr>
        <w:t>家以上的供应商不得在同一合同项下的采购项目中，同时委托同一个自然人、同一家庭的人员、同一单位的人员作为其</w:t>
      </w:r>
      <w:r>
        <w:rPr>
          <w:rFonts w:hint="eastAsia" w:ascii="宋体" w:hAnsi="宋体" w:eastAsia="宋体" w:cs="宋体"/>
          <w:color w:val="auto"/>
          <w:sz w:val="24"/>
          <w:szCs w:val="24"/>
          <w:highlight w:val="none"/>
        </w:rPr>
        <w:t>授权代表人，</w:t>
      </w:r>
      <w:r>
        <w:rPr>
          <w:rFonts w:ascii="宋体" w:hAnsi="宋体" w:eastAsia="宋体" w:cs="宋体"/>
          <w:color w:val="auto"/>
          <w:sz w:val="24"/>
          <w:szCs w:val="24"/>
          <w:highlight w:val="none"/>
        </w:rPr>
        <w:t>否则，其投标文件作为无效处理。</w:t>
      </w:r>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 xml:space="preserve"> 供应商实际控制人或者中高级管理人员，同时是</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工作人员，不得参与本项目采购活动。</w:t>
      </w:r>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 xml:space="preserve"> 供应商与</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存在关联关系，或者是</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的母公司或子公司，不得参加本项目采购活动。</w:t>
      </w:r>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6</w:t>
      </w:r>
      <w:r>
        <w:rPr>
          <w:rFonts w:ascii="宋体" w:hAnsi="宋体" w:eastAsia="宋体" w:cs="宋体"/>
          <w:color w:val="auto"/>
          <w:sz w:val="24"/>
          <w:szCs w:val="24"/>
          <w:highlight w:val="none"/>
        </w:rPr>
        <w:t xml:space="preserve"> 回避。采购活动中，</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员及相关人员与供应商有下列利害关系之一的，应当回避：</w:t>
      </w:r>
    </w:p>
    <w:p>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(1)参加采购活动前3年内与供应商存在劳动关系；</w:t>
      </w:r>
    </w:p>
    <w:p>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(2)参加采购活动前3年内担任供应商的董事、监事；</w:t>
      </w:r>
    </w:p>
    <w:p>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(3)参加采购活动前3年内是供应商的控股股东或者实际控制人；</w:t>
      </w:r>
    </w:p>
    <w:p>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(4)与供应商的法定代表人或者负责人有夫妻、直系血亲、三代以内旁系血亲或者近姻亲关系；</w:t>
      </w:r>
    </w:p>
    <w:p>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(5)与供应商有其他可能影响采购活动公平、公正进行的关系。</w:t>
      </w:r>
    </w:p>
    <w:p>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本项目采购活动中需要依法回避的</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员是指</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内部负责采购项目的具体经办工作人员和直接分管采购项目的负责人，以及</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负责采购项目的具体经办工作人员和直接分管采购活动的负责人。本项目采购活动中需要依法回避的相关人员是指评标委员会成员。</w:t>
      </w:r>
    </w:p>
    <w:p>
      <w:pPr>
        <w:spacing w:line="240" w:lineRule="auto"/>
        <w:ind w:firstLine="240" w:firstLineChars="100"/>
        <w:rPr>
          <w:rFonts w:ascii="宋体" w:hAnsi="宋体" w:eastAsia="宋体" w:cs="宋体"/>
          <w:color w:val="auto"/>
          <w:sz w:val="23"/>
          <w:szCs w:val="23"/>
          <w:highlight w:val="none"/>
        </w:rPr>
      </w:pPr>
      <w:r>
        <w:rPr>
          <w:rFonts w:ascii="宋体" w:hAnsi="宋体" w:eastAsia="宋体" w:cs="宋体"/>
          <w:color w:val="auto"/>
          <w:sz w:val="24"/>
          <w:szCs w:val="24"/>
          <w:highlight w:val="none"/>
        </w:rPr>
        <w:t>供应商认为</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员及相关人员与其他供应商有利害关系的，可以向</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书面提出回避申请，并说明理由。</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将及时询问被申请回避人员，有利害关系的被申请回避人员应当回避。</w:t>
      </w:r>
    </w:p>
    <w:p>
      <w:pPr>
        <w:spacing w:line="240" w:lineRule="auto"/>
        <w:ind w:firstLine="622" w:firstLineChars="200"/>
        <w:jc w:val="center"/>
        <w:outlineLvl w:val="1"/>
        <w:rPr>
          <w:rFonts w:ascii="宋体" w:hAnsi="宋体" w:eastAsia="宋体" w:cs="宋体"/>
          <w:b/>
          <w:bCs/>
          <w:color w:val="auto"/>
          <w:sz w:val="31"/>
          <w:szCs w:val="31"/>
          <w:highlight w:val="none"/>
        </w:rPr>
      </w:pPr>
      <w:bookmarkStart w:id="24" w:name="_Toc21423"/>
      <w:bookmarkStart w:id="25" w:name="_Toc29728"/>
      <w:r>
        <w:rPr>
          <w:rFonts w:hint="eastAsia" w:ascii="宋体" w:hAnsi="宋体" w:eastAsia="宋体" w:cs="宋体"/>
          <w:b/>
          <w:bCs/>
          <w:color w:val="auto"/>
          <w:sz w:val="31"/>
          <w:szCs w:val="31"/>
          <w:highlight w:val="none"/>
        </w:rPr>
        <w:t>三、招标文件</w:t>
      </w:r>
      <w:bookmarkEnd w:id="24"/>
      <w:bookmarkEnd w:id="25"/>
    </w:p>
    <w:p>
      <w:pPr>
        <w:spacing w:line="240" w:lineRule="auto"/>
        <w:outlineLvl w:val="9"/>
        <w:rPr>
          <w:rFonts w:ascii="宋体" w:hAnsi="宋体" w:eastAsia="宋体" w:cs="宋体"/>
          <w:b/>
          <w:bCs/>
          <w:color w:val="auto"/>
          <w:sz w:val="24"/>
          <w:szCs w:val="24"/>
          <w:highlight w:val="none"/>
        </w:rPr>
      </w:pPr>
      <w:bookmarkStart w:id="26" w:name="_Toc26538"/>
      <w:bookmarkStart w:id="27" w:name="_Toc30193"/>
      <w:r>
        <w:rPr>
          <w:rFonts w:hint="eastAsia" w:ascii="宋体" w:hAnsi="宋体" w:eastAsia="宋体" w:cs="宋体"/>
          <w:b/>
          <w:bCs/>
          <w:color w:val="auto"/>
          <w:sz w:val="24"/>
          <w:szCs w:val="24"/>
          <w:highlight w:val="none"/>
        </w:rPr>
        <w:t>6.招标文件的构成</w:t>
      </w:r>
      <w:bookmarkEnd w:id="26"/>
      <w:bookmarkEnd w:id="27"/>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ascii="宋体" w:hAnsi="宋体" w:eastAsia="宋体" w:cs="宋体"/>
          <w:color w:val="auto"/>
          <w:sz w:val="24"/>
          <w:szCs w:val="24"/>
          <w:highlight w:val="none"/>
        </w:rPr>
        <w:t>.1 招标文件是供应商准备投标文件和参加投标的依据，同时也是评标的重要依据，具有准法律文件性质。招标文件用以阐明招标项目所需的资质、技术、服务及报价等要求、招标投标程序、有关规定和注意事项以及合同主要条款等。本招标文件包括以下内容：</w:t>
      </w:r>
    </w:p>
    <w:p>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(一) 投标邀请；</w:t>
      </w:r>
    </w:p>
    <w:p>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(二) 投标人须知；</w:t>
      </w:r>
    </w:p>
    <w:p>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(三) 投标文件格式；</w:t>
      </w:r>
    </w:p>
    <w:p>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(四) 投标人和投标产品的资格、资质性及其他类似效力要求；</w:t>
      </w:r>
    </w:p>
    <w:p>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(五)</w:t>
      </w:r>
      <w:r>
        <w:rPr>
          <w:rFonts w:hint="eastAsia" w:ascii="宋体" w:hAnsi="宋体" w:eastAsia="宋体" w:cs="宋体"/>
          <w:color w:val="auto"/>
          <w:sz w:val="24"/>
          <w:szCs w:val="24"/>
          <w:highlight w:val="none"/>
        </w:rPr>
        <w:t xml:space="preserve"> </w:t>
      </w:r>
      <w:r>
        <w:rPr>
          <w:rFonts w:ascii="宋体" w:hAnsi="宋体" w:eastAsia="宋体" w:cs="宋体"/>
          <w:color w:val="auto"/>
          <w:sz w:val="24"/>
          <w:szCs w:val="24"/>
          <w:highlight w:val="none"/>
        </w:rPr>
        <w:t>投标人应当提供的资格、资质性及其他类似效力要求的相关证明材料；</w:t>
      </w:r>
    </w:p>
    <w:p>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(六) 招标项目技术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服务</w:t>
      </w:r>
      <w:r>
        <w:rPr>
          <w:rFonts w:ascii="宋体" w:hAnsi="宋体" w:eastAsia="宋体" w:cs="宋体"/>
          <w:color w:val="auto"/>
          <w:sz w:val="24"/>
          <w:szCs w:val="24"/>
          <w:highlight w:val="none"/>
        </w:rPr>
        <w:t>及商务要求；</w:t>
      </w:r>
    </w:p>
    <w:p>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(七) 评标办法；</w:t>
      </w:r>
    </w:p>
    <w:p>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(八) 合同主要条款。</w:t>
      </w:r>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ascii="宋体" w:hAnsi="宋体" w:eastAsia="宋体" w:cs="宋体"/>
          <w:color w:val="auto"/>
          <w:sz w:val="24"/>
          <w:szCs w:val="24"/>
          <w:highlight w:val="none"/>
        </w:rPr>
        <w:t>.2 投标人应认真阅读和充分理解招标文件中所有的事项、格式条款和规范要求。投标人没有对招标文件全面做出实质性响应是投标人的风险。</w:t>
      </w:r>
    </w:p>
    <w:p>
      <w:pPr>
        <w:spacing w:line="240" w:lineRule="auto"/>
        <w:outlineLvl w:val="9"/>
        <w:rPr>
          <w:rFonts w:ascii="宋体" w:hAnsi="宋体" w:eastAsia="宋体" w:cs="宋体"/>
          <w:b/>
          <w:bCs/>
          <w:color w:val="auto"/>
          <w:sz w:val="24"/>
          <w:szCs w:val="24"/>
          <w:highlight w:val="none"/>
        </w:rPr>
      </w:pPr>
      <w:bookmarkStart w:id="28" w:name="_Toc5879"/>
      <w:bookmarkStart w:id="29" w:name="_Toc2852"/>
      <w:r>
        <w:rPr>
          <w:rFonts w:hint="eastAsia" w:ascii="宋体" w:hAnsi="宋体" w:eastAsia="宋体" w:cs="宋体"/>
          <w:b/>
          <w:bCs/>
          <w:color w:val="auto"/>
          <w:sz w:val="24"/>
          <w:szCs w:val="24"/>
          <w:highlight w:val="none"/>
        </w:rPr>
        <w:t>7.招标文件的澄清和修改</w:t>
      </w:r>
      <w:bookmarkEnd w:id="28"/>
      <w:bookmarkEnd w:id="29"/>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ascii="宋体" w:hAnsi="宋体" w:eastAsia="宋体" w:cs="宋体"/>
          <w:color w:val="auto"/>
          <w:sz w:val="24"/>
          <w:szCs w:val="24"/>
          <w:highlight w:val="none"/>
        </w:rPr>
        <w:t>.1 招标采购单位可以依法对招标文件进行澄清或者修改。</w:t>
      </w:r>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ascii="宋体" w:hAnsi="宋体" w:eastAsia="宋体" w:cs="宋体"/>
          <w:color w:val="auto"/>
          <w:sz w:val="24"/>
          <w:szCs w:val="24"/>
          <w:highlight w:val="none"/>
        </w:rPr>
        <w:t>.2 招标采购单位对已发出的招标文件进行澄清或者修改，澄清或者修改的内容可能影响投标文件编制的，将在招标文件要求的提交投标文件截止时间至少十五日前进行，并以书面形式将澄清或者修改的内容通知所有获取招标文件的潜在投标人，同时在</w:t>
      </w:r>
      <w:r>
        <w:rPr>
          <w:rFonts w:hint="eastAsia" w:ascii="宋体" w:hAnsi="宋体" w:eastAsia="宋体" w:cs="宋体"/>
          <w:color w:val="auto"/>
          <w:sz w:val="24"/>
          <w:szCs w:val="24"/>
          <w:highlight w:val="none"/>
        </w:rPr>
        <w:t>中国招标投标公共服务平台（http://www.cebpubservice.com/）</w:t>
      </w:r>
      <w:r>
        <w:rPr>
          <w:rFonts w:ascii="宋体" w:hAnsi="宋体" w:eastAsia="宋体" w:cs="宋体"/>
          <w:color w:val="auto"/>
          <w:sz w:val="24"/>
          <w:szCs w:val="24"/>
          <w:highlight w:val="none"/>
        </w:rPr>
        <w:t>发布更正公告；不足15日的，应当顺延提交投标文件的截止时间。该澄清或者修改的内容为招标文件的组成部分。</w:t>
      </w:r>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ascii="宋体" w:hAnsi="宋体" w:eastAsia="宋体" w:cs="宋体"/>
          <w:color w:val="auto"/>
          <w:sz w:val="24"/>
          <w:szCs w:val="24"/>
          <w:highlight w:val="none"/>
        </w:rPr>
        <w:t>.3 在投标截止时间前，招标采购单位可以视采购具体情况，延长投标截止时间和开标时间。</w:t>
      </w:r>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ascii="宋体" w:hAnsi="宋体" w:eastAsia="宋体" w:cs="宋体"/>
          <w:color w:val="auto"/>
          <w:sz w:val="24"/>
          <w:szCs w:val="24"/>
          <w:highlight w:val="none"/>
        </w:rPr>
        <w:t>.4 投标人认为需要对招标文件进行澄清或者修改的，可以以书面形式向招标采购单位提出申请，但招标采购单位可以决定是否采纳投标人的申请事项。</w:t>
      </w:r>
    </w:p>
    <w:p>
      <w:pPr>
        <w:spacing w:line="240" w:lineRule="auto"/>
        <w:outlineLvl w:val="9"/>
        <w:rPr>
          <w:rFonts w:ascii="宋体" w:hAnsi="宋体" w:eastAsia="宋体" w:cs="宋体"/>
          <w:b/>
          <w:bCs/>
          <w:color w:val="auto"/>
          <w:sz w:val="24"/>
          <w:szCs w:val="24"/>
          <w:highlight w:val="none"/>
        </w:rPr>
      </w:pPr>
      <w:bookmarkStart w:id="30" w:name="_Toc29062"/>
      <w:bookmarkStart w:id="31" w:name="_Toc21063"/>
      <w:r>
        <w:rPr>
          <w:rFonts w:hint="eastAsia" w:ascii="宋体" w:hAnsi="宋体" w:eastAsia="宋体" w:cs="宋体"/>
          <w:b/>
          <w:bCs/>
          <w:color w:val="auto"/>
          <w:sz w:val="24"/>
          <w:szCs w:val="24"/>
          <w:highlight w:val="none"/>
        </w:rPr>
        <w:t>8.答疑会和现场考察</w:t>
      </w:r>
      <w:bookmarkEnd w:id="30"/>
      <w:bookmarkEnd w:id="31"/>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 根据采购项目和具体情况，招标采购单位认为有必要，可以在招标文件提供期限截止后，组织已获取招标文件的潜在投标人现场考察或者召开开标前答疑会。组织现场考察或者召开答疑会的，应当以书面形式通知所有获取招标文件的潜在投标人。</w:t>
      </w:r>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8.2 供应商考察现场所发生的一切费用由供应商自己承担。</w:t>
      </w:r>
    </w:p>
    <w:p>
      <w:pPr>
        <w:spacing w:line="240" w:lineRule="auto"/>
        <w:ind w:firstLine="241" w:firstLineChars="1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现场考察/标前答疑会时间：本项目不组织。</w:t>
      </w:r>
    </w:p>
    <w:p>
      <w:pPr>
        <w:spacing w:line="240" w:lineRule="auto"/>
        <w:ind w:firstLine="241" w:firstLineChars="100"/>
        <w:rPr>
          <w:rFonts w:ascii="宋体" w:hAnsi="宋体" w:eastAsia="宋体" w:cs="宋体"/>
          <w:b/>
          <w:bCs/>
          <w:color w:val="auto"/>
          <w:sz w:val="23"/>
          <w:szCs w:val="23"/>
          <w:highlight w:val="none"/>
        </w:rPr>
      </w:pPr>
      <w:r>
        <w:rPr>
          <w:rFonts w:hint="eastAsia" w:ascii="宋体" w:hAnsi="宋体" w:eastAsia="宋体" w:cs="宋体"/>
          <w:b/>
          <w:bCs/>
          <w:color w:val="auto"/>
          <w:sz w:val="24"/>
          <w:szCs w:val="24"/>
          <w:highlight w:val="none"/>
        </w:rPr>
        <w:t>现场考察/标前答疑会地点：本项目不组织。</w:t>
      </w:r>
    </w:p>
    <w:p>
      <w:pPr>
        <w:spacing w:line="240" w:lineRule="auto"/>
        <w:ind w:firstLine="622" w:firstLineChars="200"/>
        <w:jc w:val="center"/>
        <w:outlineLvl w:val="1"/>
        <w:rPr>
          <w:rFonts w:ascii="宋体" w:hAnsi="宋体" w:eastAsia="宋体" w:cs="宋体"/>
          <w:b/>
          <w:bCs/>
          <w:color w:val="auto"/>
          <w:sz w:val="31"/>
          <w:szCs w:val="31"/>
          <w:highlight w:val="none"/>
        </w:rPr>
      </w:pPr>
      <w:bookmarkStart w:id="32" w:name="_Toc11956"/>
      <w:bookmarkStart w:id="33" w:name="_Toc9364"/>
      <w:r>
        <w:rPr>
          <w:rFonts w:hint="eastAsia" w:ascii="宋体" w:hAnsi="宋体" w:eastAsia="宋体" w:cs="宋体"/>
          <w:b/>
          <w:bCs/>
          <w:color w:val="auto"/>
          <w:sz w:val="31"/>
          <w:szCs w:val="31"/>
          <w:highlight w:val="none"/>
        </w:rPr>
        <w:t>四、投标文件</w:t>
      </w:r>
      <w:bookmarkEnd w:id="32"/>
      <w:bookmarkEnd w:id="33"/>
    </w:p>
    <w:p>
      <w:pPr>
        <w:spacing w:line="240" w:lineRule="auto"/>
        <w:rPr>
          <w:color w:val="auto"/>
          <w:highlight w:val="none"/>
        </w:rPr>
      </w:pPr>
    </w:p>
    <w:p>
      <w:pPr>
        <w:spacing w:line="240" w:lineRule="auto"/>
        <w:outlineLvl w:val="9"/>
        <w:rPr>
          <w:rFonts w:ascii="宋体" w:hAnsi="宋体" w:eastAsia="宋体" w:cs="宋体"/>
          <w:b/>
          <w:bCs/>
          <w:color w:val="auto"/>
          <w:sz w:val="24"/>
          <w:szCs w:val="24"/>
          <w:highlight w:val="none"/>
        </w:rPr>
      </w:pPr>
      <w:bookmarkStart w:id="34" w:name="_Toc18013"/>
      <w:bookmarkStart w:id="35" w:name="_Toc17087"/>
      <w:r>
        <w:rPr>
          <w:rFonts w:hint="eastAsia" w:ascii="宋体" w:hAnsi="宋体" w:eastAsia="宋体" w:cs="宋体"/>
          <w:b/>
          <w:bCs/>
          <w:color w:val="auto"/>
          <w:sz w:val="24"/>
          <w:szCs w:val="24"/>
          <w:highlight w:val="none"/>
        </w:rPr>
        <w:t>9.投标文件的语言 (实质性要求)</w:t>
      </w:r>
      <w:bookmarkEnd w:id="34"/>
      <w:bookmarkEnd w:id="35"/>
    </w:p>
    <w:p>
      <w:pPr>
        <w:spacing w:line="240" w:lineRule="auto"/>
        <w:ind w:firstLine="240" w:firstLineChars="100"/>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9.1 投标人提交的投标文件以及投标人与招标采购单位就有关投标的所有来往书面文件均须使用中文。</w:t>
      </w:r>
      <w:r>
        <w:rPr>
          <w:rFonts w:hint="eastAsia" w:ascii="宋体" w:hAnsi="宋体" w:eastAsia="宋体" w:cs="宋体"/>
          <w:b/>
          <w:bCs/>
          <w:color w:val="auto"/>
          <w:sz w:val="24"/>
          <w:szCs w:val="24"/>
          <w:highlight w:val="none"/>
        </w:rPr>
        <w:t>投标文件中如附有外文资料，必须逐一对应翻译成中文并加盖投标人公章后附在相关外文资料后面，否则，该外文资料将可能被视为无效材料。(说明：供应商的法定代表人或负责人为外籍人士的，法定代表人或负责人的签字和护照除外。)</w:t>
      </w:r>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9.2 翻译的中文资料与外文资料如果出现差异和矛盾时，以中文为准。涉嫌虚假响应的按照相关法律法规处理。</w:t>
      </w:r>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9.3 未翻译的外文资料，评标委员会可将其视为无效材料。</w:t>
      </w:r>
    </w:p>
    <w:p>
      <w:pPr>
        <w:spacing w:line="240" w:lineRule="auto"/>
        <w:outlineLvl w:val="9"/>
        <w:rPr>
          <w:rFonts w:ascii="宋体" w:hAnsi="宋体" w:eastAsia="宋体" w:cs="宋体"/>
          <w:b/>
          <w:bCs/>
          <w:color w:val="auto"/>
          <w:sz w:val="24"/>
          <w:szCs w:val="24"/>
          <w:highlight w:val="none"/>
        </w:rPr>
      </w:pPr>
      <w:bookmarkStart w:id="36" w:name="_Toc935"/>
      <w:bookmarkStart w:id="37" w:name="_Toc17534"/>
      <w:r>
        <w:rPr>
          <w:rFonts w:hint="eastAsia" w:ascii="宋体" w:hAnsi="宋体" w:eastAsia="宋体" w:cs="宋体"/>
          <w:b/>
          <w:bCs/>
          <w:color w:val="auto"/>
          <w:sz w:val="24"/>
          <w:szCs w:val="24"/>
          <w:highlight w:val="none"/>
        </w:rPr>
        <w:t>10.计量单位 (实质性要求)</w:t>
      </w:r>
      <w:bookmarkEnd w:id="36"/>
      <w:bookmarkEnd w:id="37"/>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除招标文件中另有规定外，本次采购项目所有合同项下的投标均采用国家法定的计量单位。</w:t>
      </w:r>
    </w:p>
    <w:p>
      <w:pPr>
        <w:spacing w:line="240" w:lineRule="auto"/>
        <w:outlineLvl w:val="9"/>
        <w:rPr>
          <w:rFonts w:ascii="宋体" w:hAnsi="宋体" w:eastAsia="宋体" w:cs="宋体"/>
          <w:b/>
          <w:bCs/>
          <w:color w:val="auto"/>
          <w:sz w:val="24"/>
          <w:szCs w:val="24"/>
          <w:highlight w:val="none"/>
        </w:rPr>
      </w:pPr>
      <w:bookmarkStart w:id="38" w:name="_Toc6193"/>
      <w:bookmarkStart w:id="39" w:name="_Toc10586"/>
      <w:r>
        <w:rPr>
          <w:rFonts w:hint="eastAsia" w:ascii="宋体" w:hAnsi="宋体" w:eastAsia="宋体" w:cs="宋体"/>
          <w:b/>
          <w:bCs/>
          <w:color w:val="auto"/>
          <w:sz w:val="24"/>
          <w:szCs w:val="24"/>
          <w:highlight w:val="none"/>
        </w:rPr>
        <w:t>11.投标货币 (实质性要求)</w:t>
      </w:r>
      <w:bookmarkEnd w:id="38"/>
      <w:bookmarkEnd w:id="39"/>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本次招标项目的投标均以人民币报价。</w:t>
      </w:r>
    </w:p>
    <w:p>
      <w:pPr>
        <w:spacing w:line="240" w:lineRule="auto"/>
        <w:outlineLvl w:val="9"/>
        <w:rPr>
          <w:rFonts w:ascii="宋体" w:hAnsi="宋体" w:eastAsia="宋体" w:cs="宋体"/>
          <w:b/>
          <w:bCs/>
          <w:color w:val="auto"/>
          <w:sz w:val="24"/>
          <w:szCs w:val="24"/>
          <w:highlight w:val="none"/>
        </w:rPr>
      </w:pPr>
      <w:bookmarkStart w:id="40" w:name="_Toc2356"/>
      <w:bookmarkStart w:id="41" w:name="_Toc9144"/>
      <w:r>
        <w:rPr>
          <w:rFonts w:hint="eastAsia" w:ascii="宋体" w:hAnsi="宋体" w:eastAsia="宋体" w:cs="宋体"/>
          <w:b/>
          <w:bCs/>
          <w:color w:val="auto"/>
          <w:sz w:val="24"/>
          <w:szCs w:val="24"/>
          <w:highlight w:val="none"/>
        </w:rPr>
        <w:t>12.联合体投标 (实质性要求)</w:t>
      </w:r>
      <w:bookmarkEnd w:id="40"/>
      <w:bookmarkEnd w:id="41"/>
    </w:p>
    <w:p>
      <w:pPr>
        <w:spacing w:line="240" w:lineRule="auto"/>
        <w:ind w:firstLine="241" w:firstLineChars="1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本次招标不接受联合体投标。</w:t>
      </w:r>
    </w:p>
    <w:p>
      <w:pPr>
        <w:spacing w:line="240" w:lineRule="auto"/>
        <w:outlineLvl w:val="9"/>
        <w:rPr>
          <w:rFonts w:ascii="宋体" w:hAnsi="宋体" w:eastAsia="宋体" w:cs="宋体"/>
          <w:b/>
          <w:bCs/>
          <w:color w:val="auto"/>
          <w:sz w:val="24"/>
          <w:szCs w:val="24"/>
          <w:highlight w:val="none"/>
        </w:rPr>
      </w:pPr>
      <w:bookmarkStart w:id="42" w:name="_Toc9644"/>
      <w:bookmarkStart w:id="43" w:name="_Toc19716"/>
      <w:r>
        <w:rPr>
          <w:rFonts w:hint="eastAsia" w:ascii="宋体" w:hAnsi="宋体" w:eastAsia="宋体" w:cs="宋体"/>
          <w:b/>
          <w:bCs/>
          <w:color w:val="auto"/>
          <w:sz w:val="24"/>
          <w:szCs w:val="24"/>
          <w:highlight w:val="none"/>
        </w:rPr>
        <w:t>13.知识产权 (实质性要求)</w:t>
      </w:r>
      <w:bookmarkEnd w:id="42"/>
      <w:bookmarkEnd w:id="43"/>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13.2 招标人享有本项目实施过程中产生的知识成果及知识产权。</w:t>
      </w:r>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13.3 投标人如欲在项目实施过程中采用自有知识成果，</w:t>
      </w:r>
      <w:r>
        <w:rPr>
          <w:rFonts w:hint="eastAsia" w:ascii="宋体" w:hAnsi="宋体" w:eastAsia="宋体" w:cs="宋体"/>
          <w:color w:val="auto"/>
          <w:sz w:val="24"/>
          <w:szCs w:val="24"/>
          <w:highlight w:val="none"/>
          <w:lang w:eastAsia="zh-CN"/>
        </w:rPr>
        <w:t>须</w:t>
      </w:r>
      <w:r>
        <w:rPr>
          <w:rFonts w:hint="eastAsia" w:ascii="宋体" w:hAnsi="宋体" w:eastAsia="宋体" w:cs="宋体"/>
          <w:color w:val="auto"/>
          <w:sz w:val="24"/>
          <w:szCs w:val="24"/>
          <w:highlight w:val="none"/>
        </w:rPr>
        <w:t>在投标文件中声明，并提供相关知识产权证明文件。使用该知识成果后，投标人需提供开发接口和开发手册等技术文档，并承诺提供无限期技术支持，招标人享有永久使用权(含招标人委托第三方在该项目后续开发的使用权) 。</w:t>
      </w:r>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13.4 如采用投标人所不拥有的知识产权，则在投标报价中必须包括合法获取该知识产权的相关费用。</w:t>
      </w:r>
    </w:p>
    <w:p>
      <w:pPr>
        <w:spacing w:line="240" w:lineRule="auto"/>
        <w:outlineLvl w:val="9"/>
        <w:rPr>
          <w:rFonts w:ascii="宋体" w:hAnsi="宋体" w:eastAsia="宋体" w:cs="宋体"/>
          <w:b/>
          <w:bCs/>
          <w:color w:val="auto"/>
          <w:sz w:val="24"/>
          <w:szCs w:val="24"/>
          <w:highlight w:val="none"/>
        </w:rPr>
      </w:pPr>
      <w:bookmarkStart w:id="44" w:name="_Toc27512"/>
      <w:bookmarkStart w:id="45" w:name="_Toc29270"/>
      <w:r>
        <w:rPr>
          <w:rFonts w:hint="eastAsia" w:ascii="宋体" w:hAnsi="宋体" w:eastAsia="宋体" w:cs="宋体"/>
          <w:b/>
          <w:bCs/>
          <w:color w:val="auto"/>
          <w:sz w:val="24"/>
          <w:szCs w:val="24"/>
          <w:highlight w:val="none"/>
        </w:rPr>
        <w:t>14.投标文件的组成</w:t>
      </w:r>
      <w:bookmarkEnd w:id="44"/>
      <w:bookmarkEnd w:id="45"/>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投标人应按照招标文件的规定和要求编制投标文件。投标人拟在中标后将中标项目的非主体、非关键性工作交由他人分包完成的，应当在投标文件中载明。投标人编写的投标文件应包括下列两部分：</w:t>
      </w:r>
    </w:p>
    <w:p>
      <w:pPr>
        <w:spacing w:line="240" w:lineRule="auto"/>
        <w:outlineLvl w:val="9"/>
        <w:rPr>
          <w:rFonts w:ascii="宋体" w:hAnsi="宋体" w:eastAsia="宋体" w:cs="宋体"/>
          <w:b/>
          <w:bCs/>
          <w:color w:val="auto"/>
          <w:sz w:val="24"/>
          <w:szCs w:val="24"/>
          <w:highlight w:val="none"/>
        </w:rPr>
      </w:pPr>
      <w:bookmarkStart w:id="46" w:name="_Toc25525"/>
      <w:bookmarkStart w:id="47" w:name="_Toc1820"/>
      <w:r>
        <w:rPr>
          <w:rFonts w:hint="eastAsia" w:ascii="宋体" w:hAnsi="宋体" w:eastAsia="宋体" w:cs="宋体"/>
          <w:b/>
          <w:bCs/>
          <w:color w:val="auto"/>
          <w:sz w:val="24"/>
          <w:szCs w:val="24"/>
          <w:highlight w:val="none"/>
        </w:rPr>
        <w:t>14.1 第一部分:资格性投标文件</w:t>
      </w:r>
      <w:bookmarkEnd w:id="46"/>
      <w:bookmarkEnd w:id="47"/>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按照招标文件第四、五章要求，提供相关资格、资质性及其他类似效力要求的相关证明材料。</w:t>
      </w:r>
    </w:p>
    <w:p>
      <w:pPr>
        <w:spacing w:line="240" w:lineRule="auto"/>
        <w:outlineLvl w:val="9"/>
        <w:rPr>
          <w:rFonts w:ascii="宋体" w:hAnsi="宋体" w:eastAsia="宋体" w:cs="宋体"/>
          <w:b/>
          <w:bCs/>
          <w:color w:val="auto"/>
          <w:sz w:val="24"/>
          <w:szCs w:val="24"/>
          <w:highlight w:val="none"/>
        </w:rPr>
      </w:pPr>
      <w:bookmarkStart w:id="48" w:name="_Toc23733"/>
      <w:bookmarkStart w:id="49" w:name="_Toc28961"/>
      <w:r>
        <w:rPr>
          <w:rFonts w:hint="eastAsia" w:ascii="宋体" w:hAnsi="宋体" w:eastAsia="宋体" w:cs="宋体"/>
          <w:b/>
          <w:bCs/>
          <w:color w:val="auto"/>
          <w:sz w:val="24"/>
          <w:szCs w:val="24"/>
          <w:highlight w:val="none"/>
        </w:rPr>
        <w:t>14.2 第二部分:其他响应性投标文件</w:t>
      </w:r>
      <w:bookmarkEnd w:id="48"/>
      <w:bookmarkEnd w:id="49"/>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按照招标文件要求提供 (包括但不限于) 以下五个方面的相关材料。</w:t>
      </w:r>
    </w:p>
    <w:p>
      <w:pPr>
        <w:spacing w:line="24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14.2.1 报价部分。</w:t>
      </w:r>
      <w:r>
        <w:rPr>
          <w:rFonts w:ascii="宋体" w:hAnsi="宋体" w:eastAsia="宋体" w:cs="宋体"/>
          <w:color w:val="auto"/>
          <w:sz w:val="24"/>
          <w:szCs w:val="24"/>
          <w:highlight w:val="none"/>
        </w:rPr>
        <w:t>投标人按照招标文件要求填写的“开标一览表”。本次招标报价要求：</w:t>
      </w:r>
    </w:p>
    <w:p>
      <w:pPr>
        <w:spacing w:line="240" w:lineRule="auto"/>
        <w:ind w:firstLine="241" w:firstLineChars="1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 投标人的报价是投标人响应招标项目要求的全部工作内容的价格体现，包括投标人完成本项目所需的一切费用(实质性要求) 。</w:t>
      </w:r>
    </w:p>
    <w:p>
      <w:pPr>
        <w:spacing w:line="240" w:lineRule="auto"/>
        <w:ind w:firstLine="241" w:firstLineChars="1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 投标人每种货物只允许有一个报价，并且在合同履行过程中是固定不变的，任何有选择或可调整的报价将不予接受，并按无效投标处理 (实质性要求) 。</w:t>
      </w:r>
    </w:p>
    <w:p>
      <w:pPr>
        <w:spacing w:line="240" w:lineRule="auto"/>
        <w:ind w:firstLine="241" w:firstLineChars="1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14.2.2 技术、服务部分。</w:t>
      </w:r>
      <w:r>
        <w:rPr>
          <w:rFonts w:hint="eastAsia" w:ascii="宋体" w:hAnsi="宋体" w:eastAsia="宋体" w:cs="宋体"/>
          <w:color w:val="auto"/>
          <w:sz w:val="24"/>
          <w:szCs w:val="24"/>
          <w:highlight w:val="none"/>
        </w:rPr>
        <w:t>投标人按照招标文件要求做出的</w:t>
      </w:r>
      <w:r>
        <w:rPr>
          <w:rFonts w:hint="eastAsia" w:ascii="宋体" w:hAnsi="宋体" w:eastAsia="宋体" w:cs="宋体"/>
          <w:b/>
          <w:bCs/>
          <w:color w:val="auto"/>
          <w:sz w:val="24"/>
          <w:szCs w:val="24"/>
          <w:highlight w:val="none"/>
        </w:rPr>
        <w:t>技术、</w:t>
      </w:r>
      <w:r>
        <w:rPr>
          <w:rFonts w:hint="eastAsia" w:ascii="宋体" w:hAnsi="宋体" w:eastAsia="宋体" w:cs="宋体"/>
          <w:color w:val="auto"/>
          <w:sz w:val="24"/>
          <w:szCs w:val="24"/>
          <w:highlight w:val="none"/>
        </w:rPr>
        <w:t>服务应答，主要是针对招标项目的技术、服务内容做出的实质性响应和满足。投标人的</w:t>
      </w:r>
      <w:r>
        <w:rPr>
          <w:rFonts w:hint="eastAsia" w:ascii="宋体" w:hAnsi="宋体" w:eastAsia="宋体" w:cs="宋体"/>
          <w:b/>
          <w:bCs/>
          <w:color w:val="auto"/>
          <w:sz w:val="24"/>
          <w:szCs w:val="24"/>
          <w:highlight w:val="none"/>
        </w:rPr>
        <w:t>技术</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服务</w:t>
      </w:r>
      <w:r>
        <w:rPr>
          <w:rFonts w:hint="eastAsia" w:ascii="宋体" w:hAnsi="宋体" w:eastAsia="宋体" w:cs="宋体"/>
          <w:color w:val="auto"/>
          <w:sz w:val="24"/>
          <w:szCs w:val="24"/>
          <w:highlight w:val="none"/>
        </w:rPr>
        <w:t>应答包括下列内容（如涉及）：</w:t>
      </w:r>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val="en-US" w:eastAsia="zh-CN"/>
        </w:rPr>
        <w:t>技术实施方案、服务方案、售后方案等</w:t>
      </w:r>
      <w:r>
        <w:rPr>
          <w:rFonts w:hint="eastAsia" w:ascii="宋体" w:hAnsi="宋体" w:eastAsia="宋体" w:cs="宋体"/>
          <w:color w:val="auto"/>
          <w:sz w:val="24"/>
          <w:szCs w:val="24"/>
          <w:highlight w:val="none"/>
        </w:rPr>
        <w:t>；</w:t>
      </w:r>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技术</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应答表；</w:t>
      </w:r>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投标人认为需要提供的文件和资料。</w:t>
      </w:r>
    </w:p>
    <w:p>
      <w:pPr>
        <w:spacing w:line="240" w:lineRule="auto"/>
        <w:ind w:firstLine="241" w:firstLineChars="1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14.2.3 商务部分。</w:t>
      </w:r>
      <w:r>
        <w:rPr>
          <w:rFonts w:hint="eastAsia" w:ascii="宋体" w:hAnsi="宋体" w:eastAsia="宋体" w:cs="宋体"/>
          <w:color w:val="auto"/>
          <w:sz w:val="24"/>
          <w:szCs w:val="24"/>
          <w:highlight w:val="none"/>
        </w:rPr>
        <w:t>投标人按照招标文件要求提供的有关文件及优惠承诺。</w:t>
      </w:r>
    </w:p>
    <w:p>
      <w:pPr>
        <w:spacing w:line="240" w:lineRule="auto"/>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包括以下内容（如涉及）：</w:t>
      </w:r>
    </w:p>
    <w:p>
      <w:pPr>
        <w:numPr>
          <w:ilvl w:val="0"/>
          <w:numId w:val="3"/>
        </w:num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投标函；</w:t>
      </w:r>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商务应答表；</w:t>
      </w:r>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投标人基本情况表；</w:t>
      </w:r>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 投标人类似项目业绩一览表；</w:t>
      </w:r>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 投标人本项目拟任管理、技术、服务人员情况表；</w:t>
      </w:r>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 投标人认为需要提供的文件和资料以及综合评分所需的材料。</w:t>
      </w:r>
    </w:p>
    <w:p>
      <w:pPr>
        <w:spacing w:line="240" w:lineRule="auto"/>
        <w:ind w:firstLine="241" w:firstLineChars="1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14.2.4 后续服务。</w:t>
      </w:r>
      <w:r>
        <w:rPr>
          <w:rFonts w:hint="eastAsia" w:ascii="宋体" w:hAnsi="宋体" w:eastAsia="宋体" w:cs="宋体"/>
          <w:color w:val="auto"/>
          <w:sz w:val="24"/>
          <w:szCs w:val="24"/>
          <w:highlight w:val="none"/>
        </w:rPr>
        <w:t>投标人按照招标文件中后续服务要求作出的积极响应和承诺。</w:t>
      </w:r>
    </w:p>
    <w:p>
      <w:pPr>
        <w:spacing w:line="240" w:lineRule="auto"/>
        <w:ind w:firstLine="241" w:firstLineChars="1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14.2.5 其他部分。</w:t>
      </w:r>
      <w:r>
        <w:rPr>
          <w:rFonts w:hint="eastAsia" w:ascii="宋体" w:hAnsi="宋体" w:eastAsia="宋体" w:cs="宋体"/>
          <w:color w:val="auto"/>
          <w:sz w:val="24"/>
          <w:szCs w:val="24"/>
          <w:highlight w:val="none"/>
        </w:rPr>
        <w:t>投标人按照招标文件要求作出的其他应答和承诺。</w:t>
      </w:r>
    </w:p>
    <w:p>
      <w:pPr>
        <w:spacing w:line="240" w:lineRule="auto"/>
        <w:outlineLvl w:val="9"/>
        <w:rPr>
          <w:rFonts w:ascii="宋体" w:hAnsi="宋体" w:eastAsia="宋体" w:cs="宋体"/>
          <w:b/>
          <w:bCs/>
          <w:color w:val="auto"/>
          <w:sz w:val="24"/>
          <w:szCs w:val="24"/>
          <w:highlight w:val="none"/>
        </w:rPr>
      </w:pPr>
      <w:bookmarkStart w:id="50" w:name="_Toc20681"/>
      <w:bookmarkStart w:id="51" w:name="_Toc22129"/>
      <w:r>
        <w:rPr>
          <w:rFonts w:hint="eastAsia" w:ascii="宋体" w:hAnsi="宋体" w:eastAsia="宋体" w:cs="宋体"/>
          <w:b/>
          <w:bCs/>
          <w:color w:val="auto"/>
          <w:sz w:val="24"/>
          <w:szCs w:val="24"/>
          <w:highlight w:val="none"/>
        </w:rPr>
        <w:t>15.投标文件格式</w:t>
      </w:r>
      <w:bookmarkEnd w:id="50"/>
      <w:bookmarkEnd w:id="51"/>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15.1 投标人应执行招标文件第三章的规定要求。</w:t>
      </w:r>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15.2 对于没有格式要求的投标文件由投标人自行编写。</w:t>
      </w:r>
    </w:p>
    <w:p>
      <w:pPr>
        <w:spacing w:line="240" w:lineRule="auto"/>
        <w:outlineLvl w:val="9"/>
        <w:rPr>
          <w:rFonts w:ascii="宋体" w:hAnsi="宋体" w:eastAsia="宋体" w:cs="宋体"/>
          <w:b/>
          <w:bCs/>
          <w:color w:val="auto"/>
          <w:sz w:val="24"/>
          <w:szCs w:val="24"/>
          <w:highlight w:val="none"/>
        </w:rPr>
      </w:pPr>
      <w:bookmarkStart w:id="52" w:name="_Toc28121"/>
      <w:bookmarkStart w:id="53" w:name="_Toc17412"/>
      <w:r>
        <w:rPr>
          <w:rFonts w:hint="eastAsia" w:ascii="宋体" w:hAnsi="宋体" w:eastAsia="宋体" w:cs="宋体"/>
          <w:b/>
          <w:bCs/>
          <w:color w:val="auto"/>
          <w:sz w:val="24"/>
          <w:szCs w:val="24"/>
          <w:highlight w:val="none"/>
        </w:rPr>
        <w:t>16.投标保证金 (实质性要求)</w:t>
      </w:r>
      <w:bookmarkEnd w:id="52"/>
      <w:bookmarkEnd w:id="53"/>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本项目不收取投标保证金。</w:t>
      </w:r>
    </w:p>
    <w:p>
      <w:pPr>
        <w:spacing w:line="240" w:lineRule="auto"/>
        <w:outlineLvl w:val="9"/>
        <w:rPr>
          <w:rFonts w:ascii="宋体" w:hAnsi="宋体" w:eastAsia="宋体" w:cs="宋体"/>
          <w:b/>
          <w:bCs/>
          <w:color w:val="auto"/>
          <w:sz w:val="24"/>
          <w:szCs w:val="24"/>
          <w:highlight w:val="none"/>
        </w:rPr>
      </w:pPr>
      <w:bookmarkStart w:id="54" w:name="_Toc30177"/>
      <w:bookmarkStart w:id="55" w:name="_Toc32075"/>
      <w:r>
        <w:rPr>
          <w:rFonts w:hint="eastAsia" w:ascii="宋体" w:hAnsi="宋体" w:eastAsia="宋体" w:cs="宋体"/>
          <w:b/>
          <w:bCs/>
          <w:color w:val="auto"/>
          <w:sz w:val="24"/>
          <w:szCs w:val="24"/>
          <w:highlight w:val="none"/>
        </w:rPr>
        <w:t>17.投标有效期 (实质性要求)</w:t>
      </w:r>
      <w:bookmarkEnd w:id="54"/>
      <w:bookmarkEnd w:id="55"/>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17.1 </w:t>
      </w:r>
      <w:r>
        <w:rPr>
          <w:rFonts w:hint="eastAsia" w:ascii="宋体" w:hAnsi="宋体" w:eastAsia="宋体" w:cs="宋体"/>
          <w:b/>
          <w:bCs/>
          <w:color w:val="auto"/>
          <w:sz w:val="24"/>
          <w:szCs w:val="24"/>
          <w:highlight w:val="none"/>
        </w:rPr>
        <w:t>本项目投标有效期为投标截止之日起90天</w:t>
      </w:r>
      <w:r>
        <w:rPr>
          <w:rFonts w:hint="eastAsia" w:ascii="宋体" w:hAnsi="宋体" w:eastAsia="宋体" w:cs="宋体"/>
          <w:color w:val="auto"/>
          <w:sz w:val="24"/>
          <w:szCs w:val="24"/>
          <w:highlight w:val="none"/>
        </w:rPr>
        <w:t>。投标人投标文件中必须载明投标有效期，投标文件中载明的投标有效期可以长于招标文件规定的期限，但不得短于招标文件规定的期限。否则，其投标文件将作为无效投标处理。</w:t>
      </w:r>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17.2 因不可抗力事件，招标人可于投标有效期届满之前与投标人协商延长投标有效期。投标人拒绝延长投标有效期的，不得再参与该项目后续采购活动，但由此给投标人造成的损失，招标人可以自主决定是否可以给予适当补偿。投标人同意延长投标有效期的，不能修改投标文件。</w:t>
      </w:r>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17.3 因招标人采购需求作出必要调整，招标人可于投标有效期届满之前与投标人协商延长投标有效期。投标人拒绝延长投标有效期的，不得再参与该项目后续采购活动，但由此给投标人造成的损失，招标人应当予以赔偿或者合理补偿。投标人同意延长投标有效期的，不能修改投标文件。</w:t>
      </w:r>
    </w:p>
    <w:p>
      <w:pPr>
        <w:spacing w:line="240" w:lineRule="auto"/>
        <w:outlineLvl w:val="9"/>
        <w:rPr>
          <w:rFonts w:ascii="宋体" w:hAnsi="宋体" w:eastAsia="宋体" w:cs="宋体"/>
          <w:b/>
          <w:bCs/>
          <w:color w:val="auto"/>
          <w:sz w:val="24"/>
          <w:szCs w:val="24"/>
          <w:highlight w:val="none"/>
        </w:rPr>
      </w:pPr>
      <w:bookmarkStart w:id="56" w:name="_Toc4045"/>
      <w:bookmarkStart w:id="57" w:name="_Toc2789"/>
      <w:r>
        <w:rPr>
          <w:rFonts w:hint="eastAsia" w:ascii="宋体" w:hAnsi="宋体" w:eastAsia="宋体" w:cs="宋体"/>
          <w:b/>
          <w:bCs/>
          <w:color w:val="auto"/>
          <w:sz w:val="24"/>
          <w:szCs w:val="24"/>
          <w:highlight w:val="none"/>
        </w:rPr>
        <w:t>18.投标文件的印制和签署</w:t>
      </w:r>
      <w:bookmarkEnd w:id="56"/>
      <w:bookmarkEnd w:id="57"/>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18.1 投标文件分为“资格性投标文件”和“其他响应性投标文件”两部分。</w:t>
      </w:r>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18.2 </w:t>
      </w:r>
      <w:r>
        <w:rPr>
          <w:rFonts w:hint="eastAsia" w:ascii="宋体" w:hAnsi="宋体" w:eastAsia="宋体" w:cs="宋体"/>
          <w:b/>
          <w:bCs/>
          <w:color w:val="auto"/>
          <w:sz w:val="24"/>
          <w:szCs w:val="24"/>
          <w:highlight w:val="none"/>
        </w:rPr>
        <w:t>资格性投标文件正本1份副本</w:t>
      </w:r>
      <w:r>
        <w:rPr>
          <w:rFonts w:hint="default" w:ascii="宋体" w:hAnsi="宋体" w:eastAsia="宋体" w:cs="宋体"/>
          <w:b/>
          <w:bCs/>
          <w:color w:val="auto"/>
          <w:sz w:val="24"/>
          <w:szCs w:val="24"/>
          <w:highlight w:val="none"/>
          <w:lang w:val="en-US"/>
        </w:rPr>
        <w:t>2</w:t>
      </w:r>
      <w:r>
        <w:rPr>
          <w:rFonts w:hint="eastAsia" w:ascii="宋体" w:hAnsi="宋体" w:eastAsia="宋体" w:cs="宋体"/>
          <w:b/>
          <w:bCs/>
          <w:color w:val="auto"/>
          <w:sz w:val="24"/>
          <w:szCs w:val="24"/>
          <w:highlight w:val="none"/>
        </w:rPr>
        <w:t>份</w:t>
      </w:r>
      <w:r>
        <w:rPr>
          <w:rFonts w:hint="eastAsia" w:ascii="宋体" w:hAnsi="宋体" w:eastAsia="宋体" w:cs="宋体"/>
          <w:color w:val="auto"/>
          <w:sz w:val="24"/>
          <w:szCs w:val="24"/>
          <w:highlight w:val="none"/>
        </w:rPr>
        <w:t>，并在其封面上清楚地标明资格性投标文件、项目名称、项目编号、投标人名称以 及“正本”或“副本”字样。若正本和副本有不一致的内容，以正本书面投标文件为准。</w:t>
      </w:r>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18.3 </w:t>
      </w:r>
      <w:r>
        <w:rPr>
          <w:rFonts w:hint="eastAsia" w:ascii="宋体" w:hAnsi="宋体" w:eastAsia="宋体" w:cs="宋体"/>
          <w:b/>
          <w:bCs/>
          <w:color w:val="auto"/>
          <w:sz w:val="24"/>
          <w:szCs w:val="24"/>
          <w:highlight w:val="none"/>
        </w:rPr>
        <w:t>其他响应性投标文件正本1份副本</w:t>
      </w:r>
      <w:r>
        <w:rPr>
          <w:rFonts w:hint="default" w:ascii="宋体" w:hAnsi="宋体" w:eastAsia="宋体" w:cs="宋体"/>
          <w:b/>
          <w:bCs/>
          <w:color w:val="auto"/>
          <w:sz w:val="24"/>
          <w:szCs w:val="24"/>
          <w:highlight w:val="none"/>
          <w:lang w:val="en-US"/>
        </w:rPr>
        <w:t>2</w:t>
      </w:r>
      <w:r>
        <w:rPr>
          <w:rFonts w:hint="eastAsia" w:ascii="宋体" w:hAnsi="宋体" w:eastAsia="宋体" w:cs="宋体"/>
          <w:b/>
          <w:bCs/>
          <w:color w:val="auto"/>
          <w:sz w:val="24"/>
          <w:szCs w:val="24"/>
          <w:highlight w:val="none"/>
        </w:rPr>
        <w:t>份</w:t>
      </w:r>
      <w:r>
        <w:rPr>
          <w:rFonts w:hint="eastAsia" w:ascii="宋体" w:hAnsi="宋体" w:eastAsia="宋体" w:cs="宋体"/>
          <w:color w:val="auto"/>
          <w:sz w:val="24"/>
          <w:szCs w:val="24"/>
          <w:highlight w:val="none"/>
        </w:rPr>
        <w:t>，并在其封面上清楚地标明其他响应性投标文件、项目名称、项目编号、投标人名称以及“正本”或“副本”字样。若正本和副本有不一致的内容，以正本书面投标文件为准。</w:t>
      </w:r>
    </w:p>
    <w:p>
      <w:pPr>
        <w:spacing w:line="240" w:lineRule="auto"/>
        <w:ind w:firstLine="241" w:firstLineChars="1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投标人编制的其他响应性投标文件正本中应当包含投标函、开标一览表等内容。</w:t>
      </w:r>
    </w:p>
    <w:p>
      <w:pPr>
        <w:pStyle w:val="15"/>
        <w:spacing w:after="0"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18.4</w:t>
      </w:r>
      <w:r>
        <w:rPr>
          <w:rFonts w:hint="eastAsia" w:ascii="宋体" w:hAnsi="宋体" w:eastAsia="宋体" w:cs="宋体"/>
          <w:b/>
          <w:bCs/>
          <w:color w:val="auto"/>
          <w:sz w:val="24"/>
          <w:szCs w:val="24"/>
          <w:highlight w:val="none"/>
        </w:rPr>
        <w:t>“电子文档”1份</w:t>
      </w:r>
      <w:r>
        <w:rPr>
          <w:rFonts w:hint="eastAsia" w:ascii="宋体" w:hAnsi="宋体" w:eastAsia="宋体" w:cs="宋体"/>
          <w:color w:val="auto"/>
          <w:sz w:val="24"/>
          <w:szCs w:val="24"/>
          <w:highlight w:val="none"/>
        </w:rPr>
        <w:t>（电子文档应采用U盘制作包括资格性投标文件</w:t>
      </w:r>
      <w:r>
        <w:rPr>
          <w:rFonts w:hint="eastAsia" w:ascii="宋体" w:hAnsi="宋体" w:eastAsia="宋体" w:cs="宋体"/>
          <w:color w:val="auto"/>
          <w:sz w:val="24"/>
          <w:szCs w:val="24"/>
          <w:highlight w:val="none"/>
          <w:lang w:eastAsia="zh-CN"/>
        </w:rPr>
        <w:t>和其他</w:t>
      </w:r>
      <w:r>
        <w:rPr>
          <w:rFonts w:hint="eastAsia" w:ascii="宋体" w:hAnsi="宋体" w:eastAsia="宋体" w:cs="宋体"/>
          <w:color w:val="auto"/>
          <w:sz w:val="24"/>
          <w:szCs w:val="24"/>
          <w:highlight w:val="none"/>
        </w:rPr>
        <w:t>响应性投标</w:t>
      </w:r>
      <w:r>
        <w:rPr>
          <w:rFonts w:hint="eastAsia" w:ascii="宋体" w:hAnsi="宋体" w:eastAsia="宋体" w:cs="宋体"/>
          <w:color w:val="auto"/>
          <w:sz w:val="24"/>
          <w:szCs w:val="24"/>
          <w:highlight w:val="none"/>
          <w:lang w:val="en-US" w:eastAsia="zh-CN"/>
        </w:rPr>
        <w:t>文件</w:t>
      </w:r>
      <w:r>
        <w:rPr>
          <w:rFonts w:hint="eastAsia" w:ascii="宋体" w:hAnsi="宋体" w:eastAsia="宋体" w:cs="宋体"/>
          <w:color w:val="auto"/>
          <w:sz w:val="24"/>
          <w:szCs w:val="24"/>
          <w:highlight w:val="none"/>
        </w:rPr>
        <w:t>，电子文档和递交的纸质文件完全一致）。</w:t>
      </w:r>
    </w:p>
    <w:p>
      <w:pPr>
        <w:spacing w:line="240" w:lineRule="auto"/>
        <w:ind w:firstLine="241" w:firstLineChars="1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18.5 单独提供用于开标唱标的“开标一览表”原件1份(实质性要求) ，</w:t>
      </w:r>
      <w:r>
        <w:rPr>
          <w:rFonts w:ascii="宋体" w:hAnsi="宋体" w:eastAsia="宋体" w:cs="宋体"/>
          <w:color w:val="auto"/>
          <w:sz w:val="24"/>
          <w:szCs w:val="24"/>
          <w:highlight w:val="none"/>
        </w:rPr>
        <w:t>并清楚地标明开标一览表、项目名称、项目编号、投标人名称。</w:t>
      </w:r>
    </w:p>
    <w:p>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8</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6</w:t>
      </w:r>
      <w:r>
        <w:rPr>
          <w:rFonts w:ascii="宋体" w:hAnsi="宋体" w:eastAsia="宋体" w:cs="宋体"/>
          <w:color w:val="auto"/>
          <w:sz w:val="24"/>
          <w:szCs w:val="24"/>
          <w:highlight w:val="none"/>
        </w:rPr>
        <w:t xml:space="preserve"> 投标文件的正本和副本均需打印或用不褪色、不变质的墨水书写，并由投标人的法定代表人(负责人)或其授权代表在规定签章处签字或盖章 </w:t>
      </w:r>
      <w:r>
        <w:rPr>
          <w:rFonts w:hint="eastAsia" w:ascii="宋体" w:hAnsi="宋体" w:eastAsia="宋体" w:cs="宋体"/>
          <w:b/>
          <w:bCs/>
          <w:color w:val="auto"/>
          <w:sz w:val="24"/>
          <w:szCs w:val="24"/>
          <w:highlight w:val="none"/>
        </w:rPr>
        <w:t xml:space="preserve">(要求加盖公章的地方加盖单位公章，不得使用专用章(如经济合同章、投标专用章等)或下属单位印章代替) </w:t>
      </w:r>
      <w:r>
        <w:rPr>
          <w:rFonts w:ascii="宋体" w:hAnsi="宋体" w:eastAsia="宋体" w:cs="宋体"/>
          <w:color w:val="auto"/>
          <w:sz w:val="24"/>
          <w:szCs w:val="24"/>
          <w:highlight w:val="none"/>
        </w:rPr>
        <w:t>。投标文件副本可采用正本的复印件。</w:t>
      </w:r>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18.7 投标文件的打印和书写应清楚工整，任何行间插字、涂改或增删，</w:t>
      </w:r>
      <w:r>
        <w:rPr>
          <w:rFonts w:hint="eastAsia" w:ascii="宋体" w:hAnsi="宋体" w:eastAsia="宋体" w:cs="宋体"/>
          <w:b/>
          <w:bCs/>
          <w:color w:val="auto"/>
          <w:sz w:val="24"/>
          <w:szCs w:val="24"/>
          <w:highlight w:val="none"/>
        </w:rPr>
        <w:t>必须由投标人的法定代表人(负责人)或其授权代表签字或盖个人印鉴</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（实质性要求）</w:t>
      </w:r>
    </w:p>
    <w:p>
      <w:pPr>
        <w:spacing w:line="240" w:lineRule="auto"/>
        <w:ind w:firstLine="241" w:firstLineChars="1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18.8 投标文件正本和副本应当采取胶装方式装订成册，不得散装或者活页装订。</w:t>
      </w:r>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18.9 投标文件应根据招标文件的要求制作，签署、盖章和内容应完整。</w:t>
      </w:r>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18.10 投标文件统一用A4幅面纸印制，逐页编码。</w:t>
      </w:r>
    </w:p>
    <w:p>
      <w:pPr>
        <w:spacing w:line="240" w:lineRule="auto"/>
        <w:ind w:firstLine="241" w:firstLineChars="100"/>
        <w:rPr>
          <w:color w:val="auto"/>
          <w:sz w:val="24"/>
          <w:szCs w:val="24"/>
          <w:highlight w:val="none"/>
        </w:rPr>
      </w:pPr>
      <w:r>
        <w:rPr>
          <w:rFonts w:hint="eastAsia" w:ascii="宋体" w:hAnsi="宋体" w:eastAsia="宋体" w:cs="宋体"/>
          <w:b/>
          <w:bCs/>
          <w:color w:val="auto"/>
          <w:sz w:val="24"/>
          <w:szCs w:val="24"/>
          <w:highlight w:val="none"/>
        </w:rPr>
        <w:t>根据《关于促进政府采购公平竞争优化营商环境的通知》(财库〔2019〕38号)不得因装订、纸张、文件排序等非实质性的格式、形式问题限制和影响供应商投标。</w:t>
      </w:r>
    </w:p>
    <w:p>
      <w:pPr>
        <w:spacing w:line="240" w:lineRule="auto"/>
        <w:outlineLvl w:val="9"/>
        <w:rPr>
          <w:rFonts w:ascii="宋体" w:hAnsi="宋体" w:eastAsia="宋体" w:cs="宋体"/>
          <w:b/>
          <w:bCs/>
          <w:color w:val="auto"/>
          <w:sz w:val="24"/>
          <w:szCs w:val="24"/>
          <w:highlight w:val="none"/>
        </w:rPr>
      </w:pPr>
      <w:bookmarkStart w:id="58" w:name="_Toc14198"/>
      <w:bookmarkStart w:id="59" w:name="_Toc31984"/>
      <w:r>
        <w:rPr>
          <w:rFonts w:hint="eastAsia" w:ascii="宋体" w:hAnsi="宋体" w:eastAsia="宋体" w:cs="宋体"/>
          <w:b/>
          <w:bCs/>
          <w:color w:val="auto"/>
          <w:sz w:val="24"/>
          <w:szCs w:val="24"/>
          <w:highlight w:val="none"/>
        </w:rPr>
        <w:t>19.投标文件的密封和标注</w:t>
      </w:r>
      <w:bookmarkEnd w:id="58"/>
      <w:bookmarkEnd w:id="59"/>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19.1 投标人应在投标文件正本和所有副本的封面上注明投标人名称、招标编号、项目名称。</w:t>
      </w:r>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19.2 投标文件包括正本、副本、电子文档和</w:t>
      </w:r>
      <w:r>
        <w:rPr>
          <w:rFonts w:hint="eastAsia" w:ascii="宋体" w:hAnsi="宋体" w:eastAsia="宋体" w:cs="宋体"/>
          <w:b/>
          <w:bCs/>
          <w:color w:val="auto"/>
          <w:sz w:val="24"/>
          <w:szCs w:val="24"/>
          <w:highlight w:val="none"/>
        </w:rPr>
        <w:t>用于开标唱标单独提交的“开标一览表”，应分别封装于不同的密封袋内</w:t>
      </w:r>
      <w:r>
        <w:rPr>
          <w:rFonts w:hint="eastAsia" w:ascii="宋体" w:hAnsi="宋体" w:eastAsia="宋体" w:cs="宋体"/>
          <w:color w:val="auto"/>
          <w:sz w:val="24"/>
          <w:szCs w:val="24"/>
          <w:highlight w:val="none"/>
        </w:rPr>
        <w:t>，密封袋上应分别标上“正本”、“副本”、“开标一览表”字样,并注明投标人名称、招标编号、项目名称。</w:t>
      </w:r>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19.3 所有外层密封袋的封口处应粘贴牢固，并加盖密封章(投标人公章) 。</w:t>
      </w:r>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19.4 </w:t>
      </w:r>
      <w:r>
        <w:rPr>
          <w:rFonts w:hint="eastAsia" w:ascii="宋体" w:hAnsi="宋体" w:eastAsia="宋体" w:cs="宋体"/>
          <w:b/>
          <w:bCs/>
          <w:color w:val="auto"/>
          <w:sz w:val="24"/>
          <w:szCs w:val="24"/>
          <w:highlight w:val="none"/>
        </w:rPr>
        <w:t>未按要求进行密封的投标文件将被拒收或者在时间允许的范围内(投标截止时间前)，要求修改完善后接收。</w:t>
      </w:r>
    </w:p>
    <w:p>
      <w:pPr>
        <w:spacing w:line="240" w:lineRule="auto"/>
        <w:outlineLvl w:val="9"/>
        <w:rPr>
          <w:color w:val="auto"/>
          <w:sz w:val="24"/>
          <w:szCs w:val="24"/>
          <w:highlight w:val="none"/>
        </w:rPr>
      </w:pPr>
      <w:bookmarkStart w:id="60" w:name="_Toc22039"/>
      <w:bookmarkStart w:id="61" w:name="_Toc26758"/>
      <w:r>
        <w:rPr>
          <w:rFonts w:hint="eastAsia" w:ascii="宋体" w:hAnsi="宋体" w:eastAsia="宋体" w:cs="宋体"/>
          <w:b/>
          <w:bCs/>
          <w:color w:val="auto"/>
          <w:sz w:val="24"/>
          <w:szCs w:val="24"/>
          <w:highlight w:val="none"/>
        </w:rPr>
        <w:t>20.投标文件的递交</w:t>
      </w:r>
      <w:bookmarkEnd w:id="60"/>
      <w:bookmarkEnd w:id="61"/>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20.1 投标人应在招标文件规定的投标截止时间前，将投标文件按招标文件的规定密封后送达开标地点。投标截止时间以后送达的投标文件将不予接收，招标采购单位将告知投标人不予接收的原因。</w:t>
      </w:r>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20.2 递交投标文件时，报名供应商名称和招标文件的招标编号应当与投标供应商名称和招标文件的招标编号一致。但是，投标文件实质内容报名供应商名称和招标文件的招标编号一致，只是封面文字错误的，可以在评标过程中当面予以澄清，以有效的澄清材料作为认定投标文件是否有效的依据。</w:t>
      </w:r>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20.3 本次招标不接收邮寄的投标文件。</w:t>
      </w:r>
    </w:p>
    <w:p>
      <w:pPr>
        <w:spacing w:line="240" w:lineRule="auto"/>
        <w:outlineLvl w:val="9"/>
        <w:rPr>
          <w:rFonts w:ascii="宋体" w:hAnsi="宋体" w:eastAsia="宋体" w:cs="宋体"/>
          <w:b/>
          <w:bCs/>
          <w:color w:val="auto"/>
          <w:sz w:val="24"/>
          <w:szCs w:val="24"/>
          <w:highlight w:val="none"/>
        </w:rPr>
      </w:pPr>
      <w:bookmarkStart w:id="62" w:name="_Toc24550"/>
      <w:bookmarkStart w:id="63" w:name="_Toc8626"/>
      <w:r>
        <w:rPr>
          <w:rFonts w:hint="eastAsia" w:ascii="宋体" w:hAnsi="宋体" w:eastAsia="宋体" w:cs="宋体"/>
          <w:b/>
          <w:bCs/>
          <w:color w:val="auto"/>
          <w:sz w:val="24"/>
          <w:szCs w:val="24"/>
          <w:highlight w:val="none"/>
        </w:rPr>
        <w:t>21.投标文件的修改和撤回</w:t>
      </w:r>
      <w:bookmarkEnd w:id="62"/>
      <w:bookmarkEnd w:id="63"/>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 投标人在递交了投标文件后，可以修改或撤回其投标文件，但必须在规定的投标截止时间前，以书面形式通知招标代理机构。</w:t>
      </w:r>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 投标人的修改书或撤回通知书，应由其法定代表人/单位负责人或授权代表签署并盖单位印章。修改书应按投标须知第19条规定进行密封和标注，并在密封袋上标注“修改”字样。</w:t>
      </w:r>
    </w:p>
    <w:p>
      <w:pPr>
        <w:spacing w:line="240" w:lineRule="auto"/>
        <w:ind w:firstLine="240" w:firstLineChars="100"/>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21.3 在投标截止时间之后，投标人不得对其递交的投标文件</w:t>
      </w:r>
      <w:r>
        <w:rPr>
          <w:rFonts w:hint="eastAsia" w:ascii="宋体" w:hAnsi="宋体" w:eastAsia="宋体" w:cs="宋体"/>
          <w:color w:val="auto"/>
          <w:sz w:val="24"/>
          <w:szCs w:val="24"/>
          <w:highlight w:val="none"/>
          <w:lang w:eastAsia="zh-CN"/>
        </w:rPr>
        <w:t>作</w:t>
      </w:r>
      <w:r>
        <w:rPr>
          <w:rFonts w:hint="eastAsia" w:ascii="宋体" w:hAnsi="宋体" w:eastAsia="宋体" w:cs="宋体"/>
          <w:color w:val="auto"/>
          <w:sz w:val="24"/>
          <w:szCs w:val="24"/>
          <w:highlight w:val="none"/>
        </w:rPr>
        <w:t>任何修改，撤销投标的，将按照有关规定进行相应处理。</w:t>
      </w:r>
    </w:p>
    <w:p>
      <w:pPr>
        <w:spacing w:line="240" w:lineRule="auto"/>
        <w:ind w:firstLine="622" w:firstLineChars="200"/>
        <w:jc w:val="center"/>
        <w:outlineLvl w:val="1"/>
        <w:rPr>
          <w:rFonts w:ascii="宋体" w:hAnsi="宋体" w:eastAsia="宋体" w:cs="宋体"/>
          <w:b/>
          <w:bCs/>
          <w:color w:val="auto"/>
          <w:sz w:val="31"/>
          <w:szCs w:val="31"/>
          <w:highlight w:val="none"/>
        </w:rPr>
      </w:pPr>
      <w:bookmarkStart w:id="64" w:name="_Toc31519"/>
      <w:bookmarkStart w:id="65" w:name="_Toc22870"/>
      <w:r>
        <w:rPr>
          <w:rFonts w:hint="eastAsia" w:ascii="宋体" w:hAnsi="宋体" w:eastAsia="宋体" w:cs="宋体"/>
          <w:b/>
          <w:bCs/>
          <w:color w:val="auto"/>
          <w:sz w:val="31"/>
          <w:szCs w:val="31"/>
          <w:highlight w:val="none"/>
        </w:rPr>
        <w:t>五、开标和中标</w:t>
      </w:r>
      <w:bookmarkEnd w:id="64"/>
      <w:bookmarkEnd w:id="65"/>
    </w:p>
    <w:p>
      <w:pPr>
        <w:spacing w:line="240" w:lineRule="auto"/>
        <w:outlineLvl w:val="9"/>
        <w:rPr>
          <w:rFonts w:ascii="宋体" w:hAnsi="宋体" w:eastAsia="宋体" w:cs="宋体"/>
          <w:b/>
          <w:bCs/>
          <w:color w:val="auto"/>
          <w:sz w:val="24"/>
          <w:szCs w:val="24"/>
          <w:highlight w:val="none"/>
        </w:rPr>
      </w:pPr>
      <w:bookmarkStart w:id="66" w:name="_Toc29236"/>
      <w:bookmarkStart w:id="67" w:name="_Toc4256"/>
      <w:r>
        <w:rPr>
          <w:rFonts w:hint="eastAsia" w:ascii="宋体" w:hAnsi="宋体" w:eastAsia="宋体" w:cs="宋体"/>
          <w:b/>
          <w:bCs/>
          <w:color w:val="auto"/>
          <w:sz w:val="24"/>
          <w:szCs w:val="24"/>
          <w:highlight w:val="none"/>
        </w:rPr>
        <w:t>22.开标</w:t>
      </w:r>
      <w:bookmarkEnd w:id="66"/>
      <w:bookmarkEnd w:id="67"/>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22.1 开标在招标文件规定的时间和地点公开进行，招标人、投标人须派代表参加并签到以证明其出席（没有派代表参加开标活动视为认同开标结果）。开标由招标代理机构主持，邀请招标人、投标人代表参加。评标委员会成员不参加开标活动。</w:t>
      </w:r>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22.2 开标时，可根据具体情况邀请有关监督管理部门对开标活动进行现场监督。</w:t>
      </w:r>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22.3 开标时，由投标人或者其推选的代表先检查其自己递交的投标文件的密封情况，经确认无误后，由招标工作人员将投标人单独递交的“开标一览表”当众拆封，并由唱标人员按照招标文件规定的内容进行宣读。</w:t>
      </w:r>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或者其推选的代表确认投标文件情况，仅限于确认其自己递交的投标文件的密封情况，不代表对其他投标人的投标文件的密封情况确认。投标人或者其推选的代表对其他投标人的投标文件密封情况有异议的，可以当场反映开标主持人或者现场监督人员，要求开标现场记录人员予以记录，并在评标时予以认定处理，但不得干扰、阻挠开标工作的正常进行。</w:t>
      </w:r>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22.4 开标时，“开标一览表”中的大写金额与小写金额不一致的，以大写金额为准；总价金额与按单价计算的汇总金额不一致的，以单价计算的汇总金额为准；单价金额有明显小数点错误的，以总价为准，并修改单价。</w:t>
      </w:r>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22.5 投标文件中相关内容与“开标一览表”不一致的，以“开标一览表”为准。对不同文字文本投标文件的解释发生异议的，以中文文本为准。</w:t>
      </w:r>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22.6 所有投标唱标完毕，如投标人代表对宣读的“开标一览表”上的内容有异议的，应在获得开标会主持人同意后当场提出。如确实属于唱标人员宣读错了的，经现场监督人员核实后，当场予以更正。</w:t>
      </w:r>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22.7 投标人不足3家的，不得开标。</w:t>
      </w:r>
    </w:p>
    <w:p>
      <w:pPr>
        <w:spacing w:line="240" w:lineRule="auto"/>
        <w:outlineLvl w:val="9"/>
        <w:rPr>
          <w:rFonts w:ascii="宋体" w:hAnsi="宋体" w:eastAsia="宋体" w:cs="宋体"/>
          <w:b/>
          <w:bCs/>
          <w:color w:val="auto"/>
          <w:sz w:val="24"/>
          <w:szCs w:val="24"/>
          <w:highlight w:val="none"/>
        </w:rPr>
      </w:pPr>
      <w:bookmarkStart w:id="68" w:name="_Toc1890"/>
      <w:bookmarkStart w:id="69" w:name="_Toc29751"/>
      <w:r>
        <w:rPr>
          <w:rFonts w:hint="eastAsia" w:ascii="宋体" w:hAnsi="宋体" w:eastAsia="宋体" w:cs="宋体"/>
          <w:b/>
          <w:bCs/>
          <w:color w:val="auto"/>
          <w:sz w:val="24"/>
          <w:szCs w:val="24"/>
          <w:highlight w:val="none"/>
        </w:rPr>
        <w:t>23.开标程序</w:t>
      </w:r>
      <w:bookmarkEnd w:id="68"/>
      <w:bookmarkEnd w:id="69"/>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23.1 开标会主持人按照招标文件规定的开标时间宣布开标，按照规定要求主持开标会。开标将按以下程序进行：</w:t>
      </w:r>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宣布开标会开始。当众宣布参加开标会主持人、唱标人、会议记录人以及根据情况邀请的现场监督人等工作人员，根据“投标人签到表”宣布参加投标的投标人名单。</w:t>
      </w:r>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根据投标人或者其推选的代表对投标文件密封的检查结果，当众宣布</w:t>
      </w:r>
      <w:r>
        <w:rPr>
          <w:rFonts w:ascii="宋体" w:hAnsi="宋体" w:eastAsia="宋体" w:cs="宋体"/>
          <w:color w:val="auto"/>
          <w:sz w:val="24"/>
          <w:szCs w:val="24"/>
          <w:highlight w:val="none"/>
        </w:rPr>
        <w:t>投标文件的密封情况。</w:t>
      </w:r>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开标唱标。主持人宣布开标后，由现场工作人员按任意顺序对投标人的“开标一览表”当众进行拆封，由唱标人员宣读投标人名称、投标价格(价格折扣) 。同时，做好开标记录。唱标人员在唱标过程中，如遇有字迹不清楚或有明显错误的，应即刻报告主持人，经现场核实后，主持人立即请投标人代表现场进行澄清或确认。唱标完毕后投标人或者其推选的代表需现场对开标记录进行签字确认，投标人或者其推选的代表对唱标内容有异议的，可以当场提出，并要求 会议记录人在开标记录中予以记录，或者另行提供书面异议资料，不签字又不提出异议的，视同认可唱标内容和结果，且不得干扰、阻挠开(唱)标、评标工作。</w:t>
      </w:r>
    </w:p>
    <w:p>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 宣布开标会结束。主持人宣布开标会结束。所有投标人代表应立即退场(招标文件要求有演示、介绍等的除外)。同时所有投标人应保持通讯设备的畅通，以方便在评标过程中评标委员会要求投标人对投标文件的必要澄清、说明和纠正。评标结果投标人在中国招标投标公共服务平台（http://www.cebpubservice.com/）上查询。</w:t>
      </w:r>
    </w:p>
    <w:p>
      <w:pPr>
        <w:spacing w:line="240" w:lineRule="auto"/>
        <w:ind w:firstLine="241" w:firstLineChars="1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 投标人未参加开标的，视同认可开标结果。</w:t>
      </w:r>
    </w:p>
    <w:p>
      <w:pPr>
        <w:spacing w:line="240" w:lineRule="auto"/>
        <w:outlineLvl w:val="9"/>
        <w:rPr>
          <w:rFonts w:ascii="宋体" w:hAnsi="宋体" w:eastAsia="宋体" w:cs="宋体"/>
          <w:b/>
          <w:bCs/>
          <w:color w:val="auto"/>
          <w:sz w:val="24"/>
          <w:szCs w:val="24"/>
          <w:highlight w:val="none"/>
        </w:rPr>
      </w:pPr>
      <w:bookmarkStart w:id="70" w:name="_Toc9321"/>
      <w:bookmarkStart w:id="71" w:name="_Toc30446"/>
      <w:r>
        <w:rPr>
          <w:rFonts w:hint="eastAsia" w:ascii="宋体" w:hAnsi="宋体" w:eastAsia="宋体" w:cs="宋体"/>
          <w:b/>
          <w:bCs/>
          <w:color w:val="auto"/>
          <w:sz w:val="24"/>
          <w:szCs w:val="24"/>
          <w:highlight w:val="none"/>
        </w:rPr>
        <w:t>24.开评标过程存档</w:t>
      </w:r>
      <w:bookmarkEnd w:id="70"/>
      <w:bookmarkEnd w:id="71"/>
    </w:p>
    <w:p>
      <w:pPr>
        <w:spacing w:before="75" w:line="240" w:lineRule="auto"/>
        <w:ind w:left="24" w:right="80"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开标和评标过程进行全过程电子监控，并将电子监控资料存储介质留存归档。</w:t>
      </w:r>
    </w:p>
    <w:p>
      <w:pPr>
        <w:spacing w:line="240" w:lineRule="auto"/>
        <w:outlineLvl w:val="9"/>
        <w:rPr>
          <w:rFonts w:ascii="宋体" w:hAnsi="宋体" w:eastAsia="宋体" w:cs="宋体"/>
          <w:b/>
          <w:bCs/>
          <w:color w:val="auto"/>
          <w:sz w:val="24"/>
          <w:szCs w:val="24"/>
          <w:highlight w:val="none"/>
        </w:rPr>
      </w:pPr>
      <w:bookmarkStart w:id="72" w:name="_Toc28605"/>
      <w:bookmarkStart w:id="73" w:name="_Toc20820"/>
      <w:r>
        <w:rPr>
          <w:rFonts w:hint="eastAsia" w:ascii="宋体" w:hAnsi="宋体" w:eastAsia="宋体" w:cs="宋体"/>
          <w:b/>
          <w:bCs/>
          <w:color w:val="auto"/>
          <w:sz w:val="24"/>
          <w:szCs w:val="24"/>
          <w:highlight w:val="none"/>
        </w:rPr>
        <w:t>25.资格审查</w:t>
      </w:r>
      <w:bookmarkEnd w:id="72"/>
      <w:bookmarkEnd w:id="73"/>
    </w:p>
    <w:p>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招标人或者招标代理机构依据法律法规和本招标文件的规定，对投标文件是否按照规定要求提供资格性证明材料、是否属于禁止参加投标的供应商等进行审查，以确定投标供应商是否具备投标资格。</w:t>
      </w:r>
    </w:p>
    <w:p>
      <w:pPr>
        <w:spacing w:line="240" w:lineRule="auto"/>
        <w:outlineLvl w:val="9"/>
        <w:rPr>
          <w:rFonts w:ascii="宋体" w:hAnsi="宋体" w:eastAsia="宋体" w:cs="宋体"/>
          <w:b/>
          <w:bCs/>
          <w:color w:val="auto"/>
          <w:sz w:val="24"/>
          <w:szCs w:val="24"/>
          <w:highlight w:val="none"/>
        </w:rPr>
      </w:pPr>
      <w:bookmarkStart w:id="74" w:name="_Toc9764"/>
      <w:bookmarkStart w:id="75" w:name="_Toc12670"/>
      <w:r>
        <w:rPr>
          <w:rFonts w:hint="eastAsia" w:ascii="宋体" w:hAnsi="宋体" w:eastAsia="宋体" w:cs="宋体"/>
          <w:b/>
          <w:bCs/>
          <w:color w:val="auto"/>
          <w:sz w:val="24"/>
          <w:szCs w:val="24"/>
          <w:highlight w:val="none"/>
        </w:rPr>
        <w:t>26.评标情况公告</w:t>
      </w:r>
      <w:bookmarkEnd w:id="74"/>
      <w:bookmarkEnd w:id="75"/>
    </w:p>
    <w:p>
      <w:pPr>
        <w:spacing w:line="240" w:lineRule="auto"/>
        <w:ind w:firstLine="480" w:firstLineChars="200"/>
        <w:outlineLvl w:val="9"/>
        <w:rPr>
          <w:rFonts w:ascii="宋体" w:hAnsi="宋体" w:eastAsia="宋体" w:cs="宋体"/>
          <w:color w:val="auto"/>
          <w:sz w:val="24"/>
          <w:szCs w:val="24"/>
          <w:highlight w:val="none"/>
        </w:rPr>
      </w:pPr>
      <w:bookmarkStart w:id="76" w:name="_Toc31460"/>
      <w:bookmarkStart w:id="77" w:name="_Toc15851"/>
      <w:r>
        <w:rPr>
          <w:rFonts w:hint="eastAsia" w:ascii="宋体" w:hAnsi="宋体" w:eastAsia="宋体" w:cs="宋体"/>
          <w:color w:val="auto"/>
          <w:sz w:val="24"/>
          <w:szCs w:val="24"/>
          <w:highlight w:val="none"/>
        </w:rPr>
        <w:t>评标结果将在中国招标投标公共服务平台（http://www.cebpubservice.com/）上采购结果公告栏中予以公告。</w:t>
      </w:r>
      <w:bookmarkEnd w:id="76"/>
      <w:bookmarkEnd w:id="77"/>
    </w:p>
    <w:p>
      <w:pPr>
        <w:spacing w:line="240" w:lineRule="auto"/>
        <w:outlineLvl w:val="9"/>
        <w:rPr>
          <w:rFonts w:ascii="宋体" w:hAnsi="宋体" w:eastAsia="宋体" w:cs="宋体"/>
          <w:b/>
          <w:bCs/>
          <w:color w:val="auto"/>
          <w:sz w:val="24"/>
          <w:szCs w:val="24"/>
          <w:highlight w:val="none"/>
        </w:rPr>
      </w:pPr>
      <w:bookmarkStart w:id="78" w:name="_Toc11479"/>
      <w:bookmarkStart w:id="79" w:name="_Toc17782"/>
      <w:r>
        <w:rPr>
          <w:rFonts w:hint="eastAsia" w:ascii="宋体" w:hAnsi="宋体" w:eastAsia="宋体" w:cs="宋体"/>
          <w:b/>
          <w:bCs/>
          <w:color w:val="auto"/>
          <w:sz w:val="24"/>
          <w:szCs w:val="24"/>
          <w:highlight w:val="none"/>
        </w:rPr>
        <w:t>27.中标通知书</w:t>
      </w:r>
      <w:bookmarkEnd w:id="78"/>
      <w:bookmarkEnd w:id="79"/>
    </w:p>
    <w:p>
      <w:pPr>
        <w:spacing w:line="240" w:lineRule="auto"/>
        <w:ind w:firstLine="480" w:firstLineChars="200"/>
        <w:outlineLvl w:val="9"/>
        <w:rPr>
          <w:rFonts w:ascii="宋体" w:hAnsi="宋体" w:eastAsia="宋体" w:cs="宋体"/>
          <w:color w:val="auto"/>
          <w:sz w:val="24"/>
          <w:szCs w:val="24"/>
          <w:highlight w:val="none"/>
        </w:rPr>
      </w:pPr>
      <w:bookmarkStart w:id="80" w:name="_Toc4779"/>
      <w:bookmarkStart w:id="81" w:name="_Toc14648"/>
      <w:r>
        <w:rPr>
          <w:rFonts w:hint="eastAsia" w:ascii="宋体" w:hAnsi="宋体" w:eastAsia="宋体" w:cs="宋体"/>
          <w:color w:val="auto"/>
          <w:sz w:val="24"/>
          <w:szCs w:val="24"/>
          <w:highlight w:val="none"/>
        </w:rPr>
        <w:t>27.1 中标通知书为签订采购合同的依据之一，是合同的有效组成部分。</w:t>
      </w:r>
      <w:bookmarkEnd w:id="80"/>
      <w:bookmarkEnd w:id="81"/>
    </w:p>
    <w:p>
      <w:pPr>
        <w:spacing w:line="240" w:lineRule="auto"/>
        <w:ind w:left="22" w:right="13" w:firstLine="483"/>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7</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 xml:space="preserve"> 中标通知书对</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和中标人均具有法律效力。中标通知书发出后，</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改变中标结果，或者中标人无正当理由放弃中标的，应当承担相应的法律责任。</w:t>
      </w:r>
    </w:p>
    <w:p>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27.3</w:t>
      </w:r>
      <w:r>
        <w:rPr>
          <w:rFonts w:ascii="宋体" w:hAnsi="宋体" w:eastAsia="宋体" w:cs="宋体"/>
          <w:color w:val="auto"/>
          <w:sz w:val="24"/>
          <w:szCs w:val="24"/>
          <w:highlight w:val="none"/>
        </w:rPr>
        <w:t xml:space="preserve"> 中标人的投标文件本应作为无效投标处理或者有政府采购法律法规规章制度规定的中标无效情形的，招标采购单位在取得有权主体的认定以后，将宣布发出的中标通知书无效，并收回发出的中标通知书(中标人也应当缴回)，依法重新确定中标人或者重新开展采购活动。</w:t>
      </w:r>
    </w:p>
    <w:p>
      <w:pPr>
        <w:spacing w:before="3" w:line="240" w:lineRule="auto"/>
        <w:ind w:left="23" w:right="13" w:firstLine="482"/>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7</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 xml:space="preserve"> 中标公告发出后，中标人自行领取中标通知书的，可凭有效身份证明证件到</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领取中标通知书</w:t>
      </w:r>
      <w:r>
        <w:rPr>
          <w:rFonts w:hint="eastAsia" w:ascii="宋体" w:hAnsi="宋体" w:eastAsia="宋体" w:cs="宋体"/>
          <w:color w:val="auto"/>
          <w:sz w:val="24"/>
          <w:szCs w:val="24"/>
          <w:highlight w:val="none"/>
        </w:rPr>
        <w:t>或联系招标代理机构工作人员邮寄中标通知书</w:t>
      </w:r>
      <w:r>
        <w:rPr>
          <w:rFonts w:ascii="宋体" w:hAnsi="宋体" w:eastAsia="宋体" w:cs="宋体"/>
          <w:color w:val="auto"/>
          <w:sz w:val="24"/>
          <w:szCs w:val="24"/>
          <w:highlight w:val="none"/>
        </w:rPr>
        <w:t>。(详见投标人须知附表) 。</w:t>
      </w:r>
    </w:p>
    <w:p>
      <w:pPr>
        <w:spacing w:line="240" w:lineRule="auto"/>
        <w:outlineLvl w:val="9"/>
        <w:rPr>
          <w:rFonts w:ascii="宋体" w:hAnsi="宋体" w:eastAsia="宋体" w:cs="宋体"/>
          <w:b/>
          <w:bCs/>
          <w:color w:val="auto"/>
          <w:sz w:val="24"/>
          <w:szCs w:val="24"/>
          <w:highlight w:val="none"/>
        </w:rPr>
      </w:pPr>
      <w:bookmarkStart w:id="82" w:name="_Toc6436"/>
      <w:bookmarkStart w:id="83" w:name="_Toc25160"/>
      <w:r>
        <w:rPr>
          <w:rFonts w:hint="eastAsia" w:ascii="宋体" w:hAnsi="宋体" w:eastAsia="宋体" w:cs="宋体"/>
          <w:b/>
          <w:bCs/>
          <w:color w:val="auto"/>
          <w:sz w:val="24"/>
          <w:szCs w:val="24"/>
          <w:highlight w:val="none"/>
        </w:rPr>
        <w:t>28.行贿犯罪档案查询</w:t>
      </w:r>
      <w:bookmarkEnd w:id="82"/>
      <w:bookmarkEnd w:id="83"/>
    </w:p>
    <w:p>
      <w:pPr>
        <w:spacing w:before="3" w:line="240" w:lineRule="auto"/>
        <w:ind w:left="23" w:right="13" w:firstLine="482"/>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在行贿犯罪信息查询期限内，</w:t>
      </w:r>
      <w:r>
        <w:rPr>
          <w:rFonts w:ascii="宋体" w:hAnsi="宋体" w:eastAsia="宋体" w:cs="宋体"/>
          <w:color w:val="auto"/>
          <w:sz w:val="24"/>
          <w:szCs w:val="24"/>
          <w:highlight w:val="none"/>
        </w:rPr>
        <w:t>供应商单位及其现任法定代表人、主要负责人存在行贿犯罪记录的，中标后未签订采购合同的，将认定中标无效；中标后签订采购合同未履行的，将认定中标无效，同时撤销采购合同；中标后签订采购合同且已经履行的，将认定采购活动违法，由相关当事人承担赔偿责任。</w:t>
      </w:r>
    </w:p>
    <w:p>
      <w:pPr>
        <w:spacing w:line="240" w:lineRule="auto"/>
        <w:ind w:firstLine="622" w:firstLineChars="200"/>
        <w:jc w:val="center"/>
        <w:outlineLvl w:val="1"/>
        <w:rPr>
          <w:rFonts w:ascii="宋体" w:hAnsi="宋体" w:eastAsia="宋体" w:cs="宋体"/>
          <w:b/>
          <w:bCs/>
          <w:color w:val="auto"/>
          <w:sz w:val="31"/>
          <w:szCs w:val="31"/>
          <w:highlight w:val="none"/>
        </w:rPr>
      </w:pPr>
      <w:bookmarkStart w:id="84" w:name="_Toc12817"/>
      <w:bookmarkStart w:id="85" w:name="_Toc4574"/>
      <w:r>
        <w:rPr>
          <w:rFonts w:hint="eastAsia" w:ascii="宋体" w:hAnsi="宋体" w:eastAsia="宋体" w:cs="宋体"/>
          <w:b/>
          <w:bCs/>
          <w:color w:val="auto"/>
          <w:sz w:val="31"/>
          <w:szCs w:val="31"/>
          <w:highlight w:val="none"/>
        </w:rPr>
        <w:t>六、签订及履行合同和验收</w:t>
      </w:r>
      <w:bookmarkEnd w:id="84"/>
      <w:bookmarkEnd w:id="85"/>
    </w:p>
    <w:p>
      <w:pPr>
        <w:spacing w:line="240" w:lineRule="auto"/>
        <w:outlineLvl w:val="9"/>
        <w:rPr>
          <w:rFonts w:ascii="宋体" w:hAnsi="宋体" w:eastAsia="宋体" w:cs="宋体"/>
          <w:b/>
          <w:bCs/>
          <w:color w:val="auto"/>
          <w:sz w:val="24"/>
          <w:szCs w:val="24"/>
          <w:highlight w:val="none"/>
        </w:rPr>
      </w:pPr>
      <w:bookmarkStart w:id="86" w:name="_Toc20317"/>
      <w:bookmarkStart w:id="87" w:name="_Toc3408"/>
      <w:r>
        <w:rPr>
          <w:rFonts w:hint="eastAsia" w:ascii="宋体" w:hAnsi="宋体" w:eastAsia="宋体" w:cs="宋体"/>
          <w:b/>
          <w:bCs/>
          <w:color w:val="auto"/>
          <w:sz w:val="24"/>
          <w:szCs w:val="24"/>
          <w:highlight w:val="none"/>
        </w:rPr>
        <w:t>29.签订合同</w:t>
      </w:r>
      <w:bookmarkEnd w:id="86"/>
      <w:bookmarkEnd w:id="87"/>
    </w:p>
    <w:p>
      <w:pPr>
        <w:spacing w:line="240" w:lineRule="auto"/>
        <w:ind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r>
        <w:rPr>
          <w:rFonts w:ascii="宋体" w:hAnsi="宋体" w:eastAsia="宋体" w:cs="宋体"/>
          <w:color w:val="auto"/>
          <w:sz w:val="24"/>
          <w:szCs w:val="24"/>
          <w:highlight w:val="none"/>
        </w:rPr>
        <w:t>.1 中标人应在《中标通知书》发出之日起三十日内与</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签订采购合同。由于中标人的原因逾期未与</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签订采购合同的，将视为放弃中标，取消其中标资格并将按相关规定进行处理。</w:t>
      </w:r>
    </w:p>
    <w:p>
      <w:pPr>
        <w:spacing w:line="240" w:lineRule="auto"/>
        <w:ind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r>
        <w:rPr>
          <w:rFonts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不得向中标人提出任何不合理的要求，作为签订合同的条件，不得与中标人私下订立背离合同实质性内容的任何协议，所签订的合同主要条款 应当与招标文件和中标人投标文件确定的内容一致。</w:t>
      </w:r>
    </w:p>
    <w:p>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r>
        <w:rPr>
          <w:rFonts w:ascii="宋体" w:hAnsi="宋体" w:eastAsia="宋体" w:cs="宋体"/>
          <w:color w:val="auto"/>
          <w:sz w:val="24"/>
          <w:szCs w:val="24"/>
          <w:highlight w:val="none"/>
        </w:rPr>
        <w:t>.3 中标人因不可抗力原因不能履行采购合同或放弃中标的，</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可以与排在中标人之后第一位的中标候选人签订采购合同，以此类推。</w:t>
      </w:r>
    </w:p>
    <w:p>
      <w:pPr>
        <w:spacing w:line="240" w:lineRule="auto"/>
        <w:outlineLvl w:val="9"/>
        <w:rPr>
          <w:rFonts w:ascii="宋体" w:hAnsi="宋体" w:eastAsia="宋体" w:cs="宋体"/>
          <w:b/>
          <w:bCs/>
          <w:color w:val="auto"/>
          <w:sz w:val="24"/>
          <w:szCs w:val="24"/>
          <w:highlight w:val="none"/>
        </w:rPr>
      </w:pPr>
      <w:bookmarkStart w:id="88" w:name="_Toc24277"/>
      <w:bookmarkStart w:id="89" w:name="_Toc30385"/>
      <w:r>
        <w:rPr>
          <w:rFonts w:hint="eastAsia" w:ascii="宋体" w:hAnsi="宋体" w:eastAsia="宋体" w:cs="宋体"/>
          <w:b/>
          <w:bCs/>
          <w:color w:val="auto"/>
          <w:sz w:val="24"/>
          <w:szCs w:val="24"/>
          <w:highlight w:val="none"/>
        </w:rPr>
        <w:t>30. 合同分包 (实质性要求)</w:t>
      </w:r>
      <w:bookmarkEnd w:id="88"/>
      <w:bookmarkEnd w:id="89"/>
    </w:p>
    <w:p>
      <w:pPr>
        <w:spacing w:before="3" w:line="240" w:lineRule="auto"/>
        <w:ind w:left="23" w:right="13" w:firstLine="482"/>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本项目</w:t>
      </w:r>
      <w:r>
        <w:rPr>
          <w:rFonts w:hint="eastAsia" w:ascii="宋体" w:hAnsi="宋体" w:eastAsia="宋体" w:cs="宋体"/>
          <w:b/>
          <w:bCs/>
          <w:color w:val="auto"/>
          <w:sz w:val="24"/>
          <w:szCs w:val="24"/>
          <w:highlight w:val="none"/>
          <w:lang w:eastAsia="zh-CN"/>
        </w:rPr>
        <w:t>不</w:t>
      </w:r>
      <w:r>
        <w:rPr>
          <w:rFonts w:ascii="宋体" w:hAnsi="宋体" w:eastAsia="宋体" w:cs="宋体"/>
          <w:b/>
          <w:bCs/>
          <w:color w:val="auto"/>
          <w:sz w:val="24"/>
          <w:szCs w:val="24"/>
          <w:highlight w:val="none"/>
        </w:rPr>
        <w:t>接受合同分包。</w:t>
      </w:r>
    </w:p>
    <w:p>
      <w:pPr>
        <w:pStyle w:val="2"/>
        <w:spacing w:after="0" w:line="24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30.1</w:t>
      </w:r>
      <w:r>
        <w:rPr>
          <w:rFonts w:hint="eastAsia" w:ascii="宋体" w:hAnsi="宋体" w:eastAsia="宋体" w:cs="宋体"/>
          <w:color w:val="auto"/>
          <w:sz w:val="24"/>
          <w:szCs w:val="24"/>
          <w:highlight w:val="none"/>
        </w:rPr>
        <w:t>经招标人同意，中标人可以依法采取分包方式履行合同，但必须在投标文件中事前载明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且</w:t>
      </w:r>
      <w:r>
        <w:rPr>
          <w:rFonts w:hint="eastAsia" w:ascii="宋体" w:hAnsi="宋体" w:eastAsia="宋体" w:cs="宋体"/>
          <w:i w:val="0"/>
          <w:iCs w:val="0"/>
          <w:caps w:val="0"/>
          <w:color w:val="auto"/>
          <w:spacing w:val="0"/>
          <w:sz w:val="24"/>
          <w:szCs w:val="24"/>
          <w:highlight w:val="none"/>
          <w:shd w:val="clear" w:fill="FFFFFF"/>
        </w:rPr>
        <w:t>不得再次分包</w:t>
      </w:r>
      <w:r>
        <w:rPr>
          <w:rFonts w:hint="eastAsia" w:ascii="宋体" w:hAnsi="宋体" w:eastAsia="宋体" w:cs="宋体"/>
          <w:color w:val="auto"/>
          <w:sz w:val="24"/>
          <w:szCs w:val="24"/>
          <w:highlight w:val="none"/>
        </w:rPr>
        <w:t>。这种要求应当在合同签订之前征得</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同意，并且分包供应商履行的分包项目的品牌、规格型号及技术要求等，必须与中标的一致。</w:t>
      </w:r>
    </w:p>
    <w:p>
      <w:pPr>
        <w:pStyle w:val="2"/>
        <w:spacing w:after="0"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分包履行合同的部分应当为采购项目的非主体、非关键性工作，不属于中标人的主要合同义务。</w:t>
      </w:r>
    </w:p>
    <w:p>
      <w:pPr>
        <w:pStyle w:val="2"/>
        <w:spacing w:after="0" w:line="24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30.2 </w:t>
      </w:r>
      <w:r>
        <w:rPr>
          <w:rFonts w:hint="eastAsia" w:ascii="宋体" w:hAnsi="宋体" w:eastAsia="宋体" w:cs="宋体"/>
          <w:color w:val="auto"/>
          <w:sz w:val="24"/>
          <w:szCs w:val="24"/>
          <w:highlight w:val="none"/>
        </w:rPr>
        <w:t>采购合同实行分包履行的，中标人就采购项目和分包项目向招标人负责，分包供应商就分包项目承担责任。</w:t>
      </w:r>
    </w:p>
    <w:p>
      <w:pPr>
        <w:pStyle w:val="2"/>
        <w:spacing w:after="0" w:line="240" w:lineRule="auto"/>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30.</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中小企业依据《政府采购促进中小企业发展管理办法》（财库</w:t>
      </w:r>
      <w:r>
        <w:rPr>
          <w:rFonts w:ascii="宋体" w:hAnsi="宋体" w:eastAsia="宋体" w:cs="宋体"/>
          <w:color w:val="auto"/>
          <w:sz w:val="24"/>
          <w:szCs w:val="24"/>
          <w:highlight w:val="none"/>
        </w:rPr>
        <w:t>[2020]46</w:t>
      </w:r>
      <w:r>
        <w:rPr>
          <w:rFonts w:hint="eastAsia" w:ascii="宋体" w:hAnsi="宋体" w:eastAsia="宋体" w:cs="宋体"/>
          <w:color w:val="auto"/>
          <w:sz w:val="24"/>
          <w:szCs w:val="24"/>
          <w:highlight w:val="none"/>
        </w:rPr>
        <w:t>号）规定的政策获取采购合同后，小微企业不得将合同分包给大中型企业，中型企业不得将合同分包给大型企业。</w:t>
      </w:r>
    </w:p>
    <w:p>
      <w:pPr>
        <w:spacing w:line="240" w:lineRule="auto"/>
        <w:outlineLvl w:val="9"/>
        <w:rPr>
          <w:rFonts w:ascii="宋体" w:hAnsi="宋体" w:eastAsia="宋体" w:cs="宋体"/>
          <w:b/>
          <w:bCs/>
          <w:color w:val="auto"/>
          <w:sz w:val="24"/>
          <w:szCs w:val="24"/>
          <w:highlight w:val="none"/>
        </w:rPr>
      </w:pPr>
      <w:bookmarkStart w:id="90" w:name="_Toc137"/>
      <w:bookmarkStart w:id="91" w:name="_Toc21369"/>
      <w:r>
        <w:rPr>
          <w:rFonts w:hint="eastAsia" w:ascii="宋体" w:hAnsi="宋体" w:eastAsia="宋体" w:cs="宋体"/>
          <w:b/>
          <w:bCs/>
          <w:color w:val="auto"/>
          <w:sz w:val="24"/>
          <w:szCs w:val="24"/>
          <w:highlight w:val="none"/>
        </w:rPr>
        <w:t>31.合同转包 (实质性要求)</w:t>
      </w:r>
      <w:bookmarkEnd w:id="90"/>
      <w:bookmarkEnd w:id="91"/>
    </w:p>
    <w:p>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本采购项目严禁中标人将任何合同义务转包。本项目所称转包，是指中标人将合同义务转让给第三人，并退出现有采购合同当事人双方的权利义务关系，受让人(即第三人)成为采购合同的另一方当事人的行为。</w:t>
      </w:r>
    </w:p>
    <w:p>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中标人转包的，视同拒绝履行采购合同义务，将依法追究法律责任。</w:t>
      </w:r>
    </w:p>
    <w:p>
      <w:pPr>
        <w:spacing w:line="240" w:lineRule="auto"/>
        <w:outlineLvl w:val="9"/>
        <w:rPr>
          <w:rFonts w:ascii="宋体" w:hAnsi="宋体" w:eastAsia="宋体" w:cs="宋体"/>
          <w:b/>
          <w:bCs/>
          <w:color w:val="auto"/>
          <w:sz w:val="24"/>
          <w:szCs w:val="24"/>
          <w:highlight w:val="none"/>
        </w:rPr>
      </w:pPr>
      <w:bookmarkStart w:id="92" w:name="_Toc14740"/>
      <w:bookmarkStart w:id="93" w:name="_Toc4999"/>
      <w:r>
        <w:rPr>
          <w:rFonts w:hint="eastAsia" w:ascii="宋体" w:hAnsi="宋体" w:eastAsia="宋体" w:cs="宋体"/>
          <w:b/>
          <w:bCs/>
          <w:color w:val="auto"/>
          <w:sz w:val="24"/>
          <w:szCs w:val="24"/>
          <w:highlight w:val="none"/>
        </w:rPr>
        <w:t>32.补充合同</w:t>
      </w:r>
      <w:bookmarkEnd w:id="92"/>
      <w:bookmarkEnd w:id="93"/>
    </w:p>
    <w:p>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合同履行过程中，招标人需要追加与合同标的相同的货物或者服务的，在不改变合同其他条款的前提下，可以与中标人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240" w:lineRule="auto"/>
        <w:outlineLvl w:val="9"/>
        <w:rPr>
          <w:rFonts w:ascii="宋体" w:hAnsi="宋体" w:eastAsia="宋体" w:cs="宋体"/>
          <w:b/>
          <w:bCs/>
          <w:color w:val="auto"/>
          <w:sz w:val="24"/>
          <w:szCs w:val="24"/>
          <w:highlight w:val="none"/>
        </w:rPr>
      </w:pPr>
      <w:bookmarkStart w:id="94" w:name="_Toc9248"/>
      <w:bookmarkStart w:id="95" w:name="_Toc20785"/>
      <w:r>
        <w:rPr>
          <w:rFonts w:hint="eastAsia" w:ascii="宋体" w:hAnsi="宋体" w:eastAsia="宋体" w:cs="宋体"/>
          <w:b/>
          <w:bCs/>
          <w:color w:val="auto"/>
          <w:sz w:val="24"/>
          <w:szCs w:val="24"/>
          <w:highlight w:val="none"/>
        </w:rPr>
        <w:t>33.履约保证金 (实质性要求)</w:t>
      </w:r>
      <w:bookmarkEnd w:id="94"/>
      <w:bookmarkEnd w:id="95"/>
    </w:p>
    <w:p>
      <w:pPr>
        <w:spacing w:before="3" w:line="240" w:lineRule="auto"/>
        <w:ind w:left="23" w:right="13" w:firstLine="482"/>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本项目收取履约保证金。</w:t>
      </w:r>
      <w:r>
        <w:rPr>
          <w:rFonts w:hint="eastAsia" w:ascii="宋体" w:hAnsi="宋体" w:eastAsia="宋体" w:cs="宋体"/>
          <w:b/>
          <w:bCs/>
          <w:color w:val="auto"/>
          <w:sz w:val="24"/>
          <w:szCs w:val="24"/>
          <w:highlight w:val="none"/>
        </w:rPr>
        <w:t xml:space="preserve">按照本文件第二章 </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须知 一、</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须知附表 的规定执行。</w:t>
      </w:r>
    </w:p>
    <w:p>
      <w:pPr>
        <w:spacing w:line="240" w:lineRule="auto"/>
        <w:outlineLvl w:val="9"/>
        <w:rPr>
          <w:rFonts w:ascii="宋体" w:hAnsi="宋体" w:eastAsia="宋体" w:cs="宋体"/>
          <w:b/>
          <w:bCs/>
          <w:color w:val="auto"/>
          <w:sz w:val="24"/>
          <w:szCs w:val="24"/>
          <w:highlight w:val="none"/>
        </w:rPr>
      </w:pPr>
      <w:bookmarkStart w:id="96" w:name="_Toc12321"/>
      <w:bookmarkStart w:id="97" w:name="_Toc30156"/>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.履行合同</w:t>
      </w:r>
      <w:bookmarkEnd w:id="96"/>
      <w:bookmarkEnd w:id="97"/>
    </w:p>
    <w:p>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 中标人与招标人签订合同后，合同双方应严格执行合同条款，履行合同规定的义务，保证合同的顺利完成。</w:t>
      </w:r>
    </w:p>
    <w:p>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在合同履行过程中，如发生合同纠纷，合同双方应按照《中华人民共和国民法典》的有关规定进行处理。</w:t>
      </w:r>
    </w:p>
    <w:p>
      <w:pPr>
        <w:spacing w:line="240" w:lineRule="auto"/>
        <w:outlineLvl w:val="9"/>
        <w:rPr>
          <w:rFonts w:ascii="宋体" w:hAnsi="宋体" w:eastAsia="宋体" w:cs="宋体"/>
          <w:b/>
          <w:bCs/>
          <w:color w:val="auto"/>
          <w:sz w:val="24"/>
          <w:szCs w:val="24"/>
          <w:highlight w:val="none"/>
        </w:rPr>
      </w:pPr>
      <w:bookmarkStart w:id="98" w:name="_Toc4612"/>
      <w:bookmarkStart w:id="99" w:name="_Toc29799"/>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.资金支付</w:t>
      </w:r>
      <w:bookmarkEnd w:id="98"/>
      <w:bookmarkEnd w:id="99"/>
    </w:p>
    <w:p>
      <w:pPr>
        <w:spacing w:before="3" w:line="240" w:lineRule="auto"/>
        <w:ind w:left="23" w:right="13" w:firstLine="482"/>
        <w:rPr>
          <w:rFonts w:ascii="宋体" w:hAnsi="宋体" w:eastAsia="宋体" w:cs="宋体"/>
          <w:color w:val="auto"/>
          <w:sz w:val="23"/>
          <w:szCs w:val="23"/>
          <w:highlight w:val="none"/>
        </w:rPr>
      </w:pP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人将按照采购合同规定，及时向</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支付采购资金。本项目采购资金采取授权支付，支付程序详见本文件“第</w:t>
      </w:r>
      <w:r>
        <w:rPr>
          <w:rFonts w:hint="eastAsia" w:ascii="宋体" w:hAnsi="宋体" w:eastAsia="宋体" w:cs="宋体"/>
          <w:color w:val="auto"/>
          <w:sz w:val="24"/>
          <w:szCs w:val="24"/>
          <w:highlight w:val="none"/>
          <w:lang w:eastAsia="zh-CN"/>
        </w:rPr>
        <w:t>八</w:t>
      </w:r>
      <w:r>
        <w:rPr>
          <w:rFonts w:hint="eastAsia" w:ascii="宋体" w:hAnsi="宋体" w:eastAsia="宋体" w:cs="宋体"/>
          <w:color w:val="auto"/>
          <w:sz w:val="24"/>
          <w:szCs w:val="24"/>
          <w:highlight w:val="none"/>
        </w:rPr>
        <w:t xml:space="preserve">章  </w:t>
      </w:r>
      <w:r>
        <w:rPr>
          <w:rFonts w:hint="eastAsia" w:ascii="宋体" w:hAnsi="宋体" w:eastAsia="宋体" w:cs="宋体"/>
          <w:color w:val="auto"/>
          <w:sz w:val="24"/>
          <w:szCs w:val="24"/>
          <w:highlight w:val="none"/>
          <w:lang w:eastAsia="zh-CN"/>
        </w:rPr>
        <w:t>合同主要条款</w:t>
      </w:r>
      <w:r>
        <w:rPr>
          <w:rFonts w:hint="eastAsia" w:ascii="宋体" w:hAnsi="宋体" w:eastAsia="宋体" w:cs="宋体"/>
          <w:color w:val="auto"/>
          <w:sz w:val="24"/>
          <w:szCs w:val="24"/>
          <w:highlight w:val="none"/>
        </w:rPr>
        <w:t>”。</w:t>
      </w:r>
    </w:p>
    <w:p>
      <w:pPr>
        <w:spacing w:line="240" w:lineRule="auto"/>
        <w:ind w:firstLine="622" w:firstLineChars="200"/>
        <w:jc w:val="center"/>
        <w:outlineLvl w:val="1"/>
        <w:rPr>
          <w:rFonts w:ascii="宋体" w:hAnsi="宋体" w:eastAsia="宋体" w:cs="宋体"/>
          <w:b/>
          <w:bCs/>
          <w:color w:val="auto"/>
          <w:sz w:val="31"/>
          <w:szCs w:val="31"/>
          <w:highlight w:val="none"/>
        </w:rPr>
      </w:pPr>
      <w:bookmarkStart w:id="100" w:name="_Toc18336"/>
      <w:bookmarkStart w:id="101" w:name="_Toc23630"/>
      <w:r>
        <w:rPr>
          <w:rFonts w:hint="eastAsia" w:ascii="宋体" w:hAnsi="宋体" w:eastAsia="宋体" w:cs="宋体"/>
          <w:b/>
          <w:bCs/>
          <w:color w:val="auto"/>
          <w:sz w:val="31"/>
          <w:szCs w:val="31"/>
          <w:highlight w:val="none"/>
        </w:rPr>
        <w:t>七、投标纪律要求</w:t>
      </w:r>
      <w:bookmarkEnd w:id="100"/>
      <w:bookmarkEnd w:id="101"/>
    </w:p>
    <w:p>
      <w:pPr>
        <w:spacing w:line="240" w:lineRule="auto"/>
        <w:outlineLvl w:val="9"/>
        <w:rPr>
          <w:rFonts w:ascii="宋体" w:hAnsi="宋体" w:eastAsia="宋体" w:cs="宋体"/>
          <w:b/>
          <w:bCs/>
          <w:color w:val="auto"/>
          <w:sz w:val="24"/>
          <w:szCs w:val="24"/>
          <w:highlight w:val="none"/>
        </w:rPr>
      </w:pPr>
      <w:bookmarkStart w:id="102" w:name="_Toc11058"/>
      <w:bookmarkStart w:id="103" w:name="_Toc4076"/>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.投标人不得具有的情形</w:t>
      </w:r>
      <w:bookmarkEnd w:id="102"/>
      <w:bookmarkEnd w:id="103"/>
    </w:p>
    <w:p>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 投标人参加本项目投标不得有下列情形：</w:t>
      </w:r>
    </w:p>
    <w:p>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提供虚假材料谋取中标；</w:t>
      </w:r>
    </w:p>
    <w:p>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采取不正当手段诋毁、排挤其他投标人；</w:t>
      </w:r>
    </w:p>
    <w:p>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与招标采购单位、其他投标人恶意串通；</w:t>
      </w:r>
    </w:p>
    <w:p>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 向招标采购单位、评标委员会成员行贿或者提供其他不正当利益；</w:t>
      </w:r>
    </w:p>
    <w:p>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 在招标过程中与招标采购单位进行协商谈判；</w:t>
      </w:r>
    </w:p>
    <w:p>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 中标或者成交后无正当理由拒不与招标人签订采购合同；</w:t>
      </w:r>
    </w:p>
    <w:p>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 未按照采购文件确定的事项签订采购合同；</w:t>
      </w:r>
    </w:p>
    <w:p>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 将采购合同转包或者违规分包；</w:t>
      </w:r>
    </w:p>
    <w:p>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 提供假冒伪劣产品；</w:t>
      </w:r>
    </w:p>
    <w:p>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 擅自变更、中止或者终止采购合同；</w:t>
      </w:r>
    </w:p>
    <w:p>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 拒绝有关部门的监督检查或者向监督检查部门提供虚假情况；</w:t>
      </w:r>
    </w:p>
    <w:p>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 法律法规规定的其他情形。</w:t>
      </w:r>
    </w:p>
    <w:p>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投标人有上述情形的，按照规定追究法律责任，具备(1)-(10)条情形之一的，同时将取消中标资格或者认定中标、投标无效。</w:t>
      </w:r>
    </w:p>
    <w:p>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 投标人有下列情形之一的，视为投标人串通投标，其投标无效：</w:t>
      </w:r>
    </w:p>
    <w:p>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不同投标人的投标文件由同一单位或者个人编制；</w:t>
      </w:r>
    </w:p>
    <w:p>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不同投标人委托同一单位或者个人办理投标事宜；</w:t>
      </w:r>
    </w:p>
    <w:p>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不同投标人的投标文件载明的项目管理成员或者联系人员为同一人；</w:t>
      </w:r>
    </w:p>
    <w:p>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 不同投标人的投标文件异常一致或者投标报价呈规律性差异；</w:t>
      </w:r>
    </w:p>
    <w:p>
      <w:pPr>
        <w:spacing w:before="3" w:line="240" w:lineRule="auto"/>
        <w:ind w:left="23" w:right="13" w:firstLine="482"/>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(5) 不同投标人的投标文件相互混装；</w:t>
      </w:r>
    </w:p>
    <w:p>
      <w:pPr>
        <w:spacing w:line="240" w:lineRule="auto"/>
        <w:ind w:firstLine="622" w:firstLineChars="200"/>
        <w:jc w:val="center"/>
        <w:outlineLvl w:val="1"/>
        <w:rPr>
          <w:rFonts w:ascii="宋体" w:hAnsi="宋体" w:eastAsia="宋体" w:cs="宋体"/>
          <w:b/>
          <w:bCs/>
          <w:color w:val="auto"/>
          <w:sz w:val="31"/>
          <w:szCs w:val="31"/>
          <w:highlight w:val="none"/>
        </w:rPr>
      </w:pPr>
      <w:bookmarkStart w:id="104" w:name="_Toc2277"/>
      <w:bookmarkStart w:id="105" w:name="_Toc11580"/>
      <w:r>
        <w:rPr>
          <w:rFonts w:hint="eastAsia" w:ascii="宋体" w:hAnsi="宋体" w:eastAsia="宋体" w:cs="宋体"/>
          <w:b/>
          <w:bCs/>
          <w:color w:val="auto"/>
          <w:sz w:val="31"/>
          <w:szCs w:val="31"/>
          <w:highlight w:val="none"/>
        </w:rPr>
        <w:t>八、询问、质疑和投诉</w:t>
      </w:r>
      <w:bookmarkEnd w:id="104"/>
      <w:bookmarkEnd w:id="105"/>
    </w:p>
    <w:p>
      <w:pPr>
        <w:spacing w:before="3" w:line="240" w:lineRule="auto"/>
        <w:ind w:left="23" w:right="13" w:firstLine="482"/>
        <w:rPr>
          <w:rFonts w:ascii="宋体" w:hAnsi="宋体" w:eastAsia="宋体" w:cs="宋体"/>
          <w:color w:val="auto"/>
          <w:sz w:val="23"/>
          <w:szCs w:val="23"/>
          <w:highlight w:val="none"/>
        </w:rPr>
      </w:pPr>
      <w:r>
        <w:rPr>
          <w:rFonts w:hint="eastAsia" w:hAnsi="宋体"/>
          <w:color w:val="auto"/>
          <w:sz w:val="24"/>
          <w:highlight w:val="none"/>
        </w:rPr>
        <w:t>详见《供应商须知前附表》。</w:t>
      </w:r>
    </w:p>
    <w:p>
      <w:pPr>
        <w:spacing w:line="240" w:lineRule="auto"/>
        <w:ind w:firstLine="622" w:firstLineChars="200"/>
        <w:jc w:val="center"/>
        <w:outlineLvl w:val="1"/>
        <w:rPr>
          <w:rFonts w:ascii="宋体" w:hAnsi="宋体" w:eastAsia="宋体" w:cs="宋体"/>
          <w:b/>
          <w:bCs/>
          <w:color w:val="auto"/>
          <w:sz w:val="31"/>
          <w:szCs w:val="31"/>
          <w:highlight w:val="none"/>
        </w:rPr>
      </w:pPr>
      <w:bookmarkStart w:id="106" w:name="_Toc13074"/>
      <w:bookmarkStart w:id="107" w:name="_Toc30615"/>
      <w:r>
        <w:rPr>
          <w:rFonts w:hint="eastAsia" w:ascii="宋体" w:hAnsi="宋体" w:eastAsia="宋体" w:cs="宋体"/>
          <w:b/>
          <w:bCs/>
          <w:color w:val="auto"/>
          <w:sz w:val="31"/>
          <w:szCs w:val="31"/>
          <w:highlight w:val="none"/>
        </w:rPr>
        <w:t>九、其他</w:t>
      </w:r>
      <w:bookmarkEnd w:id="106"/>
      <w:bookmarkEnd w:id="107"/>
    </w:p>
    <w:p>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w:t>
      </w:r>
      <w:r>
        <w:rPr>
          <w:rFonts w:hint="eastAsia" w:ascii="宋体" w:hAnsi="宋体" w:eastAsia="宋体" w:cs="宋体"/>
          <w:color w:val="auto"/>
          <w:sz w:val="24"/>
          <w:szCs w:val="24"/>
          <w:highlight w:val="none"/>
        </w:rPr>
        <w:t>.本招标文件中所</w:t>
      </w:r>
      <w:r>
        <w:rPr>
          <w:rFonts w:hint="eastAsia" w:ascii="宋体" w:hAnsi="宋体" w:eastAsia="宋体" w:cs="宋体"/>
          <w:color w:val="auto"/>
          <w:sz w:val="24"/>
          <w:szCs w:val="24"/>
          <w:highlight w:val="none"/>
          <w:lang w:eastAsia="zh-CN"/>
        </w:rPr>
        <w:t>引用</w:t>
      </w:r>
      <w:r>
        <w:rPr>
          <w:rFonts w:hint="eastAsia" w:ascii="宋体" w:hAnsi="宋体" w:eastAsia="宋体" w:cs="宋体"/>
          <w:color w:val="auto"/>
          <w:sz w:val="24"/>
          <w:szCs w:val="24"/>
          <w:highlight w:val="none"/>
        </w:rPr>
        <w:t>相关法律制度规定，在政府采购中有变化的，按照变化后的相关法律制度规定执行。本章和第七章中“1.总则、2.评标方法、3.评标程序”规定的内容条款，在本项目投标截止时间届满后，因相关法律制度规定的变化导致不符合相关法律制度规定的，直接按照变化后的相关法律制度规定执行，本招标文件不再</w:t>
      </w:r>
      <w:r>
        <w:rPr>
          <w:rFonts w:hint="eastAsia" w:ascii="宋体" w:hAnsi="宋体" w:eastAsia="宋体" w:cs="宋体"/>
          <w:color w:val="auto"/>
          <w:sz w:val="24"/>
          <w:szCs w:val="24"/>
          <w:highlight w:val="none"/>
          <w:lang w:eastAsia="zh-CN"/>
        </w:rPr>
        <w:t>作调整</w:t>
      </w:r>
      <w:r>
        <w:rPr>
          <w:rFonts w:hint="eastAsia" w:ascii="宋体" w:hAnsi="宋体" w:eastAsia="宋体" w:cs="宋体"/>
          <w:color w:val="auto"/>
          <w:sz w:val="24"/>
          <w:szCs w:val="24"/>
          <w:highlight w:val="none"/>
        </w:rPr>
        <w:t>。</w:t>
      </w:r>
    </w:p>
    <w:p>
      <w:pPr>
        <w:spacing w:before="3" w:line="240" w:lineRule="auto"/>
        <w:ind w:left="23" w:right="13" w:firstLine="482"/>
        <w:rPr>
          <w:rFonts w:ascii="宋体" w:hAnsi="宋体" w:eastAsia="宋体" w:cs="宋体"/>
          <w:b/>
          <w:bCs/>
          <w:color w:val="auto"/>
          <w:sz w:val="23"/>
          <w:szCs w:val="23"/>
          <w:highlight w:val="none"/>
        </w:rPr>
      </w:pPr>
      <w:r>
        <w:rPr>
          <w:rFonts w:hint="eastAsia" w:ascii="宋体" w:hAnsi="宋体" w:eastAsia="宋体" w:cs="宋体"/>
          <w:b/>
          <w:bCs/>
          <w:color w:val="auto"/>
          <w:sz w:val="24"/>
          <w:szCs w:val="24"/>
          <w:highlight w:val="none"/>
        </w:rPr>
        <w:t>42.本招标文件中加注(实质性要求)的条款，若未明确要求提供证明材料或承诺函，视为仅约束中标人，由中标人和招标人签订合同前进行核实。</w:t>
      </w:r>
    </w:p>
    <w:p>
      <w:pPr>
        <w:spacing w:line="240" w:lineRule="auto"/>
        <w:rPr>
          <w:color w:val="auto"/>
          <w:highlight w:val="none"/>
        </w:rPr>
        <w:sectPr>
          <w:headerReference r:id="rId4" w:type="default"/>
          <w:footerReference r:id="rId5" w:type="default"/>
          <w:pgSz w:w="11905" w:h="16838"/>
          <w:pgMar w:top="1417" w:right="1417" w:bottom="1417" w:left="1417" w:header="0" w:footer="1134" w:gutter="0"/>
          <w:cols w:space="425" w:num="1"/>
        </w:sectPr>
      </w:pPr>
    </w:p>
    <w:p>
      <w:pPr>
        <w:spacing w:before="114" w:line="240" w:lineRule="auto"/>
        <w:jc w:val="center"/>
        <w:outlineLvl w:val="0"/>
        <w:rPr>
          <w:rFonts w:ascii="宋体" w:hAnsi="宋体" w:eastAsia="宋体" w:cs="宋体"/>
          <w:color w:val="auto"/>
          <w:sz w:val="36"/>
          <w:szCs w:val="36"/>
          <w:highlight w:val="none"/>
          <w14:textOutline w14:w="6540" w14:cap="sq" w14:cmpd="sng" w14:algn="ctr">
            <w14:solidFill>
              <w14:srgbClr w14:val="000000"/>
            </w14:solidFill>
            <w14:prstDash w14:val="solid"/>
            <w14:bevel/>
          </w14:textOutline>
        </w:rPr>
      </w:pPr>
      <w:bookmarkStart w:id="108" w:name="_Toc17804"/>
      <w:r>
        <w:rPr>
          <w:rFonts w:hint="eastAsia" w:ascii="宋体" w:hAnsi="宋体" w:eastAsia="宋体" w:cs="宋体"/>
          <w:color w:val="auto"/>
          <w:sz w:val="36"/>
          <w:szCs w:val="36"/>
          <w:highlight w:val="none"/>
          <w14:textOutline w14:w="6540" w14:cap="sq" w14:cmpd="sng" w14:algn="ctr">
            <w14:solidFill>
              <w14:srgbClr w14:val="000000"/>
            </w14:solidFill>
            <w14:prstDash w14:val="solid"/>
            <w14:bevel/>
          </w14:textOutline>
        </w:rPr>
        <w:t>第三章 投标文件格式</w:t>
      </w:r>
      <w:bookmarkEnd w:id="108"/>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一、本章所制投标文件格式，除格式中明确将该格式作为实质性要求的，一律不具有强制性。</w:t>
      </w:r>
    </w:p>
    <w:p>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二、本章所制投标文件格式有关表格中的备注栏，由投标人根据自身投标情况作解释性说明，不作为必填项。</w:t>
      </w:r>
    </w:p>
    <w:p>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三、本章所制投标文件格式中需要填写的相关内容事项，可能会与本采购项目无关，在不改变投标文件原义、不影响本项目采购需求的情况下，投标人可以不予填写。</w:t>
      </w:r>
    </w:p>
    <w:p>
      <w:pPr>
        <w:spacing w:before="3" w:line="240" w:lineRule="auto"/>
        <w:ind w:left="23" w:right="13" w:firstLine="482"/>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四、本章格式中“注”的内容，投标人可以自行决定是否保留在投标文件中。未保留视为投标人默认接受“注”的内容。</w:t>
      </w:r>
    </w:p>
    <w:p>
      <w:pPr>
        <w:spacing w:line="240" w:lineRule="auto"/>
        <w:rPr>
          <w:color w:val="auto"/>
          <w:highlight w:val="none"/>
        </w:rPr>
        <w:sectPr>
          <w:footerReference r:id="rId6" w:type="default"/>
          <w:pgSz w:w="11905" w:h="16838"/>
          <w:pgMar w:top="1417" w:right="1417" w:bottom="1417" w:left="1417" w:header="0" w:footer="1134" w:gutter="0"/>
          <w:cols w:space="425" w:num="1"/>
        </w:sectPr>
      </w:pPr>
    </w:p>
    <w:p>
      <w:pPr>
        <w:spacing w:line="240" w:lineRule="auto"/>
        <w:rPr>
          <w:color w:val="auto"/>
          <w:sz w:val="2"/>
          <w:highlight w:val="none"/>
        </w:rPr>
      </w:pPr>
      <w:r>
        <w:rPr>
          <w:color w:val="auto"/>
          <w:sz w:val="2"/>
          <w:szCs w:val="2"/>
          <w:highlight w:val="none"/>
        </w:rPr>
        <w:br w:type="column"/>
      </w:r>
    </w:p>
    <w:p>
      <w:pPr>
        <w:spacing w:line="240" w:lineRule="auto"/>
        <w:rPr>
          <w:color w:val="auto"/>
          <w:highlight w:val="none"/>
        </w:rPr>
      </w:pPr>
    </w:p>
    <w:p>
      <w:pPr>
        <w:spacing w:before="3" w:line="240" w:lineRule="auto"/>
        <w:ind w:left="23" w:right="13" w:firstLine="482"/>
        <w:jc w:val="center"/>
        <w:outlineLvl w:val="9"/>
        <w:rPr>
          <w:rFonts w:ascii="宋体" w:hAnsi="宋体" w:eastAsia="宋体" w:cs="宋体"/>
          <w:b/>
          <w:bCs/>
          <w:color w:val="auto"/>
          <w:sz w:val="32"/>
          <w:szCs w:val="32"/>
          <w:highlight w:val="none"/>
        </w:rPr>
      </w:pPr>
      <w:bookmarkStart w:id="109" w:name="_Toc32221"/>
      <w:r>
        <w:rPr>
          <w:rFonts w:hint="eastAsia" w:ascii="宋体" w:hAnsi="宋体" w:eastAsia="宋体" w:cs="宋体"/>
          <w:b/>
          <w:bCs/>
          <w:color w:val="auto"/>
          <w:sz w:val="32"/>
          <w:szCs w:val="32"/>
          <w:highlight w:val="none"/>
        </w:rPr>
        <w:t>资格性投标文件封面</w:t>
      </w:r>
      <w:bookmarkEnd w:id="109"/>
    </w:p>
    <w:p>
      <w:pPr>
        <w:pStyle w:val="2"/>
        <w:spacing w:line="240" w:lineRule="auto"/>
        <w:rPr>
          <w:rFonts w:ascii="宋体" w:hAnsi="宋体" w:eastAsia="宋体" w:cs="宋体"/>
          <w:b/>
          <w:bCs/>
          <w:color w:val="auto"/>
          <w:sz w:val="32"/>
          <w:szCs w:val="32"/>
          <w:highlight w:val="none"/>
        </w:rPr>
      </w:pPr>
    </w:p>
    <w:p>
      <w:pPr>
        <w:spacing w:line="240" w:lineRule="auto"/>
        <w:rPr>
          <w:color w:val="auto"/>
          <w:highlight w:val="none"/>
        </w:rPr>
      </w:pPr>
    </w:p>
    <w:p>
      <w:pPr>
        <w:spacing w:line="240" w:lineRule="auto"/>
        <w:rPr>
          <w:color w:val="auto"/>
          <w:highlight w:val="none"/>
        </w:rPr>
      </w:pPr>
    </w:p>
    <w:tbl>
      <w:tblPr>
        <w:tblStyle w:val="23"/>
        <w:tblW w:w="2001" w:type="dxa"/>
        <w:tblInd w:w="631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2001"/>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74" w:hRule="atLeast"/>
        </w:trPr>
        <w:tc>
          <w:tcPr>
            <w:tcW w:w="2001" w:type="dxa"/>
          </w:tcPr>
          <w:p>
            <w:pPr>
              <w:spacing w:before="58" w:line="240" w:lineRule="auto"/>
              <w:ind w:left="567"/>
              <w:rPr>
                <w:rFonts w:ascii="宋体" w:hAnsi="宋体" w:eastAsia="宋体" w:cs="宋体"/>
                <w:color w:val="auto"/>
                <w:sz w:val="35"/>
                <w:szCs w:val="35"/>
                <w:highlight w:val="none"/>
              </w:rPr>
            </w:pPr>
            <w:r>
              <w:rPr>
                <w:rFonts w:hint="eastAsia" w:ascii="宋体" w:hAnsi="宋体" w:eastAsia="宋体" w:cs="宋体"/>
                <w:b/>
                <w:bCs/>
                <w:color w:val="auto"/>
                <w:sz w:val="32"/>
                <w:szCs w:val="32"/>
                <w:highlight w:val="none"/>
              </w:rPr>
              <w:t>正/副 本</w:t>
            </w:r>
          </w:p>
        </w:tc>
      </w:tr>
    </w:tbl>
    <w:p>
      <w:pPr>
        <w:spacing w:before="3" w:line="240" w:lineRule="auto"/>
        <w:ind w:left="23" w:right="13" w:firstLine="482"/>
        <w:jc w:val="center"/>
        <w:rPr>
          <w:rFonts w:ascii="宋体" w:hAnsi="宋体" w:eastAsia="宋体" w:cs="宋体"/>
          <w:b/>
          <w:bCs/>
          <w:color w:val="auto"/>
          <w:sz w:val="44"/>
          <w:szCs w:val="44"/>
          <w:highlight w:val="none"/>
        </w:rPr>
      </w:pPr>
    </w:p>
    <w:p>
      <w:pPr>
        <w:pStyle w:val="2"/>
        <w:spacing w:line="240" w:lineRule="auto"/>
        <w:rPr>
          <w:color w:val="auto"/>
          <w:highlight w:val="none"/>
        </w:rPr>
      </w:pPr>
    </w:p>
    <w:p>
      <w:pPr>
        <w:spacing w:before="3" w:line="240" w:lineRule="auto"/>
        <w:ind w:left="23" w:right="13" w:firstLine="482"/>
        <w:jc w:val="center"/>
        <w:outlineLvl w:val="1"/>
        <w:rPr>
          <w:rFonts w:ascii="宋体" w:hAnsi="宋体" w:eastAsia="宋体" w:cs="宋体"/>
          <w:b/>
          <w:bCs/>
          <w:color w:val="auto"/>
          <w:sz w:val="44"/>
          <w:szCs w:val="44"/>
          <w:highlight w:val="none"/>
        </w:rPr>
      </w:pPr>
      <w:bookmarkStart w:id="110" w:name="_Toc5586"/>
      <w:bookmarkStart w:id="111" w:name="_Toc26429"/>
      <w:r>
        <w:rPr>
          <w:rFonts w:hint="eastAsia" w:ascii="宋体" w:hAnsi="宋体" w:eastAsia="宋体" w:cs="宋体"/>
          <w:b/>
          <w:bCs/>
          <w:color w:val="auto"/>
          <w:sz w:val="44"/>
          <w:szCs w:val="44"/>
          <w:highlight w:val="none"/>
        </w:rPr>
        <w:t>第一部分：资格性投标文件</w:t>
      </w:r>
      <w:bookmarkEnd w:id="110"/>
      <w:bookmarkEnd w:id="111"/>
    </w:p>
    <w:p>
      <w:pPr>
        <w:spacing w:line="240" w:lineRule="auto"/>
        <w:rPr>
          <w:color w:val="auto"/>
          <w:highlight w:val="none"/>
        </w:rPr>
      </w:pPr>
    </w:p>
    <w:p>
      <w:pPr>
        <w:spacing w:line="240" w:lineRule="auto"/>
        <w:rPr>
          <w:color w:val="auto"/>
          <w:highlight w:val="none"/>
        </w:rPr>
      </w:pPr>
    </w:p>
    <w:p>
      <w:pPr>
        <w:pStyle w:val="2"/>
        <w:spacing w:line="240" w:lineRule="auto"/>
        <w:rPr>
          <w:rFonts w:ascii="Arial"/>
          <w:color w:val="auto"/>
          <w:sz w:val="21"/>
          <w:highlight w:val="none"/>
        </w:rPr>
      </w:pP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before="3" w:line="240" w:lineRule="auto"/>
        <w:ind w:left="23" w:right="13" w:firstLine="482"/>
        <w:jc w:val="both"/>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采购项目名称：</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pPr>
        <w:spacing w:before="3" w:line="240" w:lineRule="auto"/>
        <w:ind w:left="23" w:right="13" w:firstLine="482"/>
        <w:jc w:val="both"/>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采购文件编号：</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pPr>
        <w:spacing w:before="3" w:line="240" w:lineRule="auto"/>
        <w:ind w:left="23" w:right="13" w:firstLine="482"/>
        <w:jc w:val="both"/>
        <w:rPr>
          <w:rFonts w:ascii="宋体" w:hAnsi="宋体" w:eastAsia="宋体" w:cs="宋体"/>
          <w:b/>
          <w:bCs/>
          <w:color w:val="auto"/>
          <w:spacing w:val="18"/>
          <w:sz w:val="32"/>
          <w:szCs w:val="32"/>
          <w:highlight w:val="none"/>
        </w:rPr>
      </w:pPr>
      <w:r>
        <w:rPr>
          <w:rFonts w:hint="eastAsia" w:ascii="宋体" w:hAnsi="宋体" w:eastAsia="宋体" w:cs="宋体"/>
          <w:b/>
          <w:bCs/>
          <w:color w:val="auto"/>
          <w:sz w:val="32"/>
          <w:szCs w:val="32"/>
          <w:highlight w:val="none"/>
        </w:rPr>
        <w:t>投标人名称(盖单位公章) ：</w:t>
      </w:r>
      <w:r>
        <w:rPr>
          <w:rFonts w:hint="eastAsia" w:ascii="宋体" w:hAnsi="宋体" w:eastAsia="宋体" w:cs="宋体"/>
          <w:b/>
          <w:bCs/>
          <w:color w:val="auto"/>
          <w:spacing w:val="18"/>
          <w:sz w:val="32"/>
          <w:szCs w:val="32"/>
          <w:highlight w:val="none"/>
          <w:u w:val="single"/>
        </w:rPr>
        <w:t xml:space="preserve">           </w:t>
      </w:r>
      <w:r>
        <w:rPr>
          <w:rFonts w:hint="eastAsia" w:ascii="宋体" w:hAnsi="宋体" w:eastAsia="宋体" w:cs="宋体"/>
          <w:b/>
          <w:bCs/>
          <w:color w:val="auto"/>
          <w:spacing w:val="18"/>
          <w:sz w:val="32"/>
          <w:szCs w:val="32"/>
          <w:highlight w:val="none"/>
        </w:rPr>
        <w:t xml:space="preserve">              </w:t>
      </w:r>
    </w:p>
    <w:p>
      <w:pPr>
        <w:spacing w:before="3" w:line="240" w:lineRule="auto"/>
        <w:ind w:left="23" w:right="13" w:firstLine="482"/>
        <w:jc w:val="both"/>
        <w:rPr>
          <w:rFonts w:ascii="宋体" w:hAnsi="宋体" w:eastAsia="宋体" w:cs="宋体"/>
          <w:b/>
          <w:bCs/>
          <w:color w:val="auto"/>
          <w:spacing w:val="18"/>
          <w:sz w:val="32"/>
          <w:szCs w:val="32"/>
          <w:highlight w:val="none"/>
        </w:rPr>
      </w:pPr>
      <w:r>
        <w:rPr>
          <w:rFonts w:hint="eastAsia" w:ascii="宋体" w:hAnsi="宋体" w:eastAsia="宋体" w:cs="宋体"/>
          <w:b/>
          <w:bCs/>
          <w:color w:val="auto"/>
          <w:spacing w:val="18"/>
          <w:sz w:val="32"/>
          <w:szCs w:val="32"/>
          <w:highlight w:val="none"/>
        </w:rPr>
        <w:t xml:space="preserve">                              </w:t>
      </w:r>
    </w:p>
    <w:p>
      <w:pPr>
        <w:spacing w:before="3" w:line="240" w:lineRule="auto"/>
        <w:ind w:left="23" w:right="13" w:firstLine="482"/>
        <w:jc w:val="center"/>
        <w:rPr>
          <w:rFonts w:ascii="宋体" w:hAnsi="宋体" w:eastAsia="宋体" w:cs="宋体"/>
          <w:b/>
          <w:bCs/>
          <w:color w:val="auto"/>
          <w:spacing w:val="18"/>
          <w:sz w:val="32"/>
          <w:szCs w:val="32"/>
          <w:highlight w:val="none"/>
        </w:rPr>
      </w:pPr>
    </w:p>
    <w:p>
      <w:pPr>
        <w:spacing w:before="3" w:line="240" w:lineRule="auto"/>
        <w:ind w:left="23" w:right="13" w:firstLine="482"/>
        <w:jc w:val="center"/>
        <w:rPr>
          <w:rFonts w:ascii="宋体" w:hAnsi="宋体" w:eastAsia="宋体" w:cs="宋体"/>
          <w:b/>
          <w:bCs/>
          <w:color w:val="auto"/>
          <w:spacing w:val="18"/>
          <w:sz w:val="32"/>
          <w:szCs w:val="32"/>
          <w:highlight w:val="none"/>
        </w:rPr>
      </w:pPr>
    </w:p>
    <w:p>
      <w:pPr>
        <w:spacing w:before="3" w:line="240" w:lineRule="auto"/>
        <w:ind w:left="23" w:right="13" w:firstLine="1057" w:firstLineChars="329"/>
        <w:jc w:val="both"/>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日    期 ：</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日</w:t>
      </w:r>
    </w:p>
    <w:p>
      <w:pPr>
        <w:spacing w:line="240" w:lineRule="auto"/>
        <w:rPr>
          <w:color w:val="auto"/>
          <w:highlight w:val="none"/>
        </w:rPr>
        <w:sectPr>
          <w:headerReference r:id="rId7" w:type="default"/>
          <w:footerReference r:id="rId8" w:type="default"/>
          <w:type w:val="continuous"/>
          <w:pgSz w:w="11905" w:h="16838"/>
          <w:pgMar w:top="1417" w:right="1417" w:bottom="1417" w:left="1417" w:header="0" w:footer="1134" w:gutter="0"/>
          <w:cols w:space="425" w:num="1"/>
        </w:sectPr>
      </w:pPr>
    </w:p>
    <w:p>
      <w:pPr>
        <w:spacing w:before="3" w:line="240" w:lineRule="auto"/>
        <w:ind w:right="13"/>
        <w:jc w:val="center"/>
        <w:outlineLvl w:val="9"/>
        <w:rPr>
          <w:rFonts w:ascii="宋体" w:hAnsi="宋体" w:eastAsia="宋体" w:cs="宋体"/>
          <w:b/>
          <w:bCs/>
          <w:color w:val="auto"/>
          <w:sz w:val="32"/>
          <w:szCs w:val="32"/>
          <w:highlight w:val="none"/>
        </w:rPr>
      </w:pPr>
      <w:bookmarkStart w:id="112" w:name="_Toc6855"/>
      <w:bookmarkStart w:id="113" w:name="_Toc538"/>
      <w:r>
        <w:rPr>
          <w:rFonts w:hint="eastAsia" w:ascii="宋体" w:hAnsi="宋体" w:eastAsia="宋体" w:cs="宋体"/>
          <w:b/>
          <w:bCs/>
          <w:color w:val="auto"/>
          <w:sz w:val="32"/>
          <w:szCs w:val="32"/>
          <w:highlight w:val="none"/>
        </w:rPr>
        <w:t>一、相关证明文件格式</w:t>
      </w:r>
      <w:bookmarkEnd w:id="112"/>
      <w:bookmarkEnd w:id="113"/>
    </w:p>
    <w:p>
      <w:pPr>
        <w:spacing w:before="3" w:line="240" w:lineRule="auto"/>
        <w:ind w:left="23" w:right="13" w:firstLine="482"/>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p>
    <w:p>
      <w:pPr>
        <w:spacing w:before="3" w:line="240" w:lineRule="auto"/>
        <w:ind w:left="23" w:right="13" w:firstLine="482"/>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法定代表人/单位负责人证明书</w:t>
      </w:r>
    </w:p>
    <w:p>
      <w:pPr>
        <w:spacing w:line="240" w:lineRule="auto"/>
        <w:rPr>
          <w:color w:val="auto"/>
          <w:highlight w:val="none"/>
        </w:rPr>
      </w:pPr>
    </w:p>
    <w:p>
      <w:pPr>
        <w:spacing w:before="75" w:line="240" w:lineRule="auto"/>
        <w:ind w:left="98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w:t>
      </w:r>
    </w:p>
    <w:p>
      <w:pPr>
        <w:spacing w:line="240" w:lineRule="auto"/>
        <w:ind w:left="98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pPr>
        <w:spacing w:before="305" w:line="240" w:lineRule="auto"/>
        <w:ind w:left="98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pPr>
        <w:tabs>
          <w:tab w:val="left" w:pos="569"/>
        </w:tabs>
        <w:spacing w:before="315" w:line="240" w:lineRule="auto"/>
        <w:ind w:left="442" w:firstLine="54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本人系</w:t>
      </w:r>
      <w:r>
        <w:rPr>
          <w:rFonts w:hint="eastAsia"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投标人名称) 的法定代表人/单位负责人。就参加贵公司组织的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(采购项目编号)投标活动，签署上述项目的投标文件及合同的执行、完成、服务和保修，签署合同和处理与之有关的一切事务。</w:t>
      </w:r>
    </w:p>
    <w:p>
      <w:pPr>
        <w:spacing w:before="75" w:line="240" w:lineRule="auto"/>
        <w:ind w:left="985"/>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特此证明。</w:t>
      </w: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before="75" w:line="240" w:lineRule="auto"/>
        <w:ind w:left="985"/>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(※此处请附法定代表人/单位负责人身份证明材料正反两面复印件※)</w:t>
      </w:r>
    </w:p>
    <w:p>
      <w:pPr>
        <w:spacing w:line="240" w:lineRule="auto"/>
        <w:rPr>
          <w:color w:val="auto"/>
          <w:sz w:val="24"/>
          <w:szCs w:val="24"/>
          <w:highlight w:val="none"/>
        </w:rPr>
      </w:pPr>
    </w:p>
    <w:p>
      <w:pPr>
        <w:spacing w:line="240" w:lineRule="auto"/>
        <w:rPr>
          <w:color w:val="auto"/>
          <w:sz w:val="24"/>
          <w:szCs w:val="24"/>
          <w:highlight w:val="none"/>
        </w:rPr>
      </w:pPr>
    </w:p>
    <w:p>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法定代表人/单位负责人(签字或加盖个人名章)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240" w:lineRule="auto"/>
        <w:rPr>
          <w:color w:val="auto"/>
          <w:sz w:val="24"/>
          <w:szCs w:val="24"/>
          <w:highlight w:val="none"/>
        </w:rPr>
      </w:pPr>
    </w:p>
    <w:p>
      <w:pPr>
        <w:spacing w:line="240" w:lineRule="auto"/>
        <w:rPr>
          <w:color w:val="auto"/>
          <w:sz w:val="24"/>
          <w:szCs w:val="24"/>
          <w:highlight w:val="none"/>
        </w:rPr>
      </w:pPr>
    </w:p>
    <w:p>
      <w:pPr>
        <w:spacing w:before="75" w:line="24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注意：1、法定代表人/单位负责人参加本项目投标的，仅须出具此证明书。</w:t>
      </w:r>
    </w:p>
    <w:p>
      <w:pPr>
        <w:spacing w:before="75" w:line="24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2、身份证明材料包括居民身份证或居民户口簿或军官证或护照等。</w:t>
      </w:r>
    </w:p>
    <w:p>
      <w:pPr>
        <w:spacing w:before="75" w:line="240" w:lineRule="auto"/>
        <w:rPr>
          <w:rFonts w:ascii="宋体" w:hAnsi="宋体" w:eastAsia="宋体" w:cs="宋体"/>
          <w:color w:val="auto"/>
          <w:sz w:val="23"/>
          <w:szCs w:val="23"/>
          <w:highlight w:val="none"/>
        </w:rPr>
      </w:pPr>
      <w:r>
        <w:rPr>
          <w:rFonts w:hint="eastAsia" w:ascii="宋体" w:hAnsi="宋体" w:eastAsia="宋体" w:cs="宋体"/>
          <w:b/>
          <w:bCs/>
          <w:color w:val="auto"/>
          <w:sz w:val="24"/>
          <w:szCs w:val="24"/>
          <w:highlight w:val="none"/>
        </w:rPr>
        <w:t>3、身份证明材料应同时提供其在有效期的材料，如居民身份证正、反面复印件</w:t>
      </w:r>
      <w:r>
        <w:rPr>
          <w:rFonts w:ascii="宋体" w:hAnsi="宋体" w:eastAsia="宋体" w:cs="宋体"/>
          <w:color w:val="auto"/>
          <w:position w:val="1"/>
          <w:sz w:val="24"/>
          <w:szCs w:val="24"/>
          <w:highlight w:val="none"/>
          <w14:textOutline w14:w="4356" w14:cap="sq" w14:cmpd="sng" w14:algn="ctr">
            <w14:solidFill>
              <w14:srgbClr w14:val="000000"/>
            </w14:solidFill>
            <w14:prstDash w14:val="solid"/>
            <w14:bevel/>
          </w14:textOutline>
        </w:rPr>
        <w:t>。</w:t>
      </w:r>
    </w:p>
    <w:p>
      <w:pPr>
        <w:spacing w:line="240" w:lineRule="auto"/>
        <w:rPr>
          <w:color w:val="auto"/>
          <w:highlight w:val="none"/>
        </w:rPr>
        <w:sectPr>
          <w:headerReference r:id="rId9" w:type="default"/>
          <w:footerReference r:id="rId10" w:type="default"/>
          <w:pgSz w:w="11905" w:h="16838"/>
          <w:pgMar w:top="1417" w:right="1417" w:bottom="1417" w:left="1417" w:header="0" w:footer="1134" w:gutter="0"/>
          <w:cols w:space="425" w:num="1"/>
        </w:sectPr>
      </w:pPr>
    </w:p>
    <w:p>
      <w:pPr>
        <w:spacing w:before="3" w:line="240" w:lineRule="auto"/>
        <w:ind w:right="13"/>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w:t>
      </w:r>
    </w:p>
    <w:p>
      <w:pPr>
        <w:spacing w:before="75" w:line="240" w:lineRule="auto"/>
        <w:ind w:left="2611"/>
        <w:rPr>
          <w:rFonts w:ascii="宋体" w:hAnsi="宋体" w:eastAsia="宋体" w:cs="宋体"/>
          <w:color w:val="auto"/>
          <w:sz w:val="23"/>
          <w:szCs w:val="23"/>
          <w:highlight w:val="none"/>
        </w:rPr>
      </w:pPr>
      <w:r>
        <w:rPr>
          <w:rFonts w:hint="eastAsia" w:ascii="宋体" w:hAnsi="宋体" w:eastAsia="宋体" w:cs="宋体"/>
          <w:b/>
          <w:bCs/>
          <w:color w:val="auto"/>
          <w:sz w:val="24"/>
          <w:szCs w:val="24"/>
          <w:highlight w:val="none"/>
        </w:rPr>
        <w:t>法定代表人/单位负责人授权书</w:t>
      </w:r>
    </w:p>
    <w:p>
      <w:pPr>
        <w:spacing w:line="240" w:lineRule="auto"/>
        <w:rPr>
          <w:color w:val="auto"/>
          <w:highlight w:val="none"/>
        </w:rPr>
      </w:pPr>
    </w:p>
    <w:p>
      <w:pPr>
        <w:spacing w:line="240" w:lineRule="auto"/>
        <w:rPr>
          <w:color w:val="auto"/>
          <w:highlight w:val="none"/>
        </w:rPr>
      </w:pPr>
    </w:p>
    <w:p>
      <w:pPr>
        <w:tabs>
          <w:tab w:val="left" w:pos="1588"/>
        </w:tabs>
        <w:spacing w:before="74" w:line="240" w:lineRule="auto"/>
        <w:ind w:left="14"/>
        <w:rPr>
          <w:rFonts w:ascii="宋体" w:hAnsi="宋体" w:eastAsia="宋体" w:cs="宋体"/>
          <w:color w:val="auto"/>
          <w:sz w:val="24"/>
          <w:szCs w:val="24"/>
          <w:highlight w:val="none"/>
        </w:rPr>
      </w:pPr>
      <w:r>
        <w:rPr>
          <w:rFonts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(招标代理机构名称)：</w:t>
      </w:r>
    </w:p>
    <w:p>
      <w:pPr>
        <w:spacing w:before="77" w:line="240" w:lineRule="auto"/>
        <w:ind w:left="23" w:firstLine="47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本授权声明：</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(法定代表人/单位负责人姓名、职务)授权</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(被授权人姓名、职务)为我方“</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”项目(招标编号：</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)投标活动的合法代表，以我方名义全权处理该项目有关投标、签订合同以及执行合同等一切事宜。</w:t>
      </w:r>
    </w:p>
    <w:p>
      <w:pPr>
        <w:spacing w:line="240" w:lineRule="auto"/>
        <w:ind w:left="493"/>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特此声明。</w:t>
      </w:r>
    </w:p>
    <w:p>
      <w:pPr>
        <w:spacing w:line="240" w:lineRule="auto"/>
        <w:rPr>
          <w:color w:val="auto"/>
          <w:highlight w:val="none"/>
        </w:rPr>
      </w:pPr>
    </w:p>
    <w:p>
      <w:pPr>
        <w:spacing w:line="240" w:lineRule="auto"/>
        <w:rPr>
          <w:color w:val="auto"/>
          <w:highlight w:val="none"/>
        </w:rPr>
      </w:pPr>
    </w:p>
    <w:p>
      <w:pPr>
        <w:spacing w:before="75" w:line="240" w:lineRule="auto"/>
        <w:ind w:left="492" w:right="871" w:firstLine="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(盖单位公章) </w:t>
      </w:r>
      <w:r>
        <w:rPr>
          <w:rFonts w:ascii="宋体" w:hAnsi="宋体" w:eastAsia="宋体" w:cs="宋体"/>
          <w:color w:val="auto"/>
          <w:sz w:val="24"/>
          <w:szCs w:val="24"/>
          <w:highlight w:val="none"/>
        </w:rPr>
        <w:t xml:space="preserve">          </w:t>
      </w:r>
    </w:p>
    <w:p>
      <w:pPr>
        <w:spacing w:before="75" w:line="240" w:lineRule="auto"/>
        <w:ind w:left="492" w:right="871" w:firstLine="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法定代表人/单位负责人(签字或者加盖个人名章) ：</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 xml:space="preserve"> </w:t>
      </w:r>
    </w:p>
    <w:p>
      <w:pPr>
        <w:spacing w:before="75" w:line="240" w:lineRule="auto"/>
        <w:ind w:left="492" w:right="871" w:firstLine="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授权代表(签字或加盖个人名章) ：</w:t>
      </w:r>
      <w:r>
        <w:rPr>
          <w:rFonts w:ascii="宋体" w:hAnsi="宋体" w:eastAsia="宋体" w:cs="宋体"/>
          <w:color w:val="auto"/>
          <w:sz w:val="24"/>
          <w:szCs w:val="24"/>
          <w:highlight w:val="none"/>
          <w:u w:val="single"/>
        </w:rPr>
        <w:t xml:space="preserve">                  </w:t>
      </w:r>
    </w:p>
    <w:p>
      <w:pPr>
        <w:spacing w:before="3" w:line="240" w:lineRule="auto"/>
        <w:ind w:left="23" w:right="13" w:firstLine="482"/>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before="3" w:line="240" w:lineRule="auto"/>
        <w:ind w:left="23" w:right="13"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注：1、供应商为法人单位时提供“法定代表人授权书”，供应商为其他组织时提供“单位负责人授权书”，供应商为自然人时提供“自然人身份证明材料”。</w:t>
      </w:r>
    </w:p>
    <w:p>
      <w:pPr>
        <w:spacing w:before="3" w:line="240" w:lineRule="auto"/>
        <w:ind w:left="23" w:right="13"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2、应附法定代表人/单位负责人身份证明材料复印件和授权代表身份证明材 料复印件(包括正反两面) 。</w:t>
      </w:r>
    </w:p>
    <w:p>
      <w:pPr>
        <w:spacing w:before="3" w:line="240" w:lineRule="auto"/>
        <w:ind w:left="23" w:right="13"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3、身份证明材料包括居民身份证或居民户口簿或军官证或护照等。</w:t>
      </w:r>
    </w:p>
    <w:p>
      <w:pPr>
        <w:spacing w:before="3" w:line="240" w:lineRule="auto"/>
        <w:ind w:left="23" w:right="13" w:firstLine="482"/>
        <w:rPr>
          <w:rFonts w:ascii="宋体" w:hAnsi="宋体" w:eastAsia="宋体" w:cs="宋体"/>
          <w:b/>
          <w:bCs/>
          <w:color w:val="auto"/>
          <w:sz w:val="23"/>
          <w:szCs w:val="23"/>
          <w:highlight w:val="none"/>
        </w:rPr>
      </w:pPr>
      <w:r>
        <w:rPr>
          <w:rFonts w:hint="eastAsia" w:ascii="宋体" w:hAnsi="宋体" w:eastAsia="宋体" w:cs="宋体"/>
          <w:b/>
          <w:bCs/>
          <w:color w:val="auto"/>
          <w:sz w:val="24"/>
          <w:szCs w:val="24"/>
          <w:highlight w:val="none"/>
        </w:rPr>
        <w:t>4、身份证明材料应同时提供其在有效期的材料，如居民身份证正、反面复印件。</w:t>
      </w:r>
    </w:p>
    <w:p>
      <w:pPr>
        <w:spacing w:before="3" w:line="240" w:lineRule="auto"/>
        <w:ind w:right="13"/>
        <w:jc w:val="center"/>
        <w:rPr>
          <w:color w:val="auto"/>
          <w:highlight w:val="none"/>
        </w:rPr>
        <w:sectPr>
          <w:headerReference r:id="rId11" w:type="default"/>
          <w:footerReference r:id="rId12" w:type="default"/>
          <w:pgSz w:w="11905" w:h="16838"/>
          <w:pgMar w:top="1417" w:right="1417" w:bottom="1417" w:left="1417" w:header="0" w:footer="1134" w:gutter="0"/>
          <w:cols w:space="425" w:num="1"/>
        </w:sectPr>
      </w:pPr>
    </w:p>
    <w:p>
      <w:pPr>
        <w:spacing w:before="3" w:line="240" w:lineRule="auto"/>
        <w:ind w:right="13"/>
        <w:jc w:val="center"/>
        <w:outlineLvl w:val="9"/>
        <w:rPr>
          <w:rFonts w:ascii="宋体" w:hAnsi="宋体" w:eastAsia="宋体" w:cs="宋体"/>
          <w:b/>
          <w:bCs/>
          <w:color w:val="auto"/>
          <w:sz w:val="32"/>
          <w:szCs w:val="32"/>
          <w:highlight w:val="none"/>
        </w:rPr>
      </w:pPr>
      <w:bookmarkStart w:id="114" w:name="_Toc8667"/>
      <w:bookmarkStart w:id="115" w:name="_Toc17596"/>
      <w:r>
        <w:rPr>
          <w:rFonts w:hint="eastAsia" w:ascii="宋体" w:hAnsi="宋体" w:eastAsia="宋体" w:cs="宋体"/>
          <w:b/>
          <w:bCs/>
          <w:color w:val="auto"/>
          <w:sz w:val="32"/>
          <w:szCs w:val="32"/>
          <w:highlight w:val="none"/>
        </w:rPr>
        <w:t>二、资格性承诺函 (实质性要求)</w:t>
      </w:r>
      <w:bookmarkEnd w:id="114"/>
      <w:bookmarkEnd w:id="115"/>
    </w:p>
    <w:p>
      <w:pPr>
        <w:tabs>
          <w:tab w:val="left" w:pos="1948"/>
        </w:tabs>
        <w:spacing w:line="240" w:lineRule="auto"/>
        <w:rPr>
          <w:rFonts w:ascii="宋体" w:hAnsi="宋体" w:eastAsia="宋体" w:cs="宋体"/>
          <w:color w:val="auto"/>
          <w:sz w:val="23"/>
          <w:szCs w:val="23"/>
          <w:highlight w:val="none"/>
          <w:u w:val="single"/>
        </w:rPr>
      </w:pPr>
    </w:p>
    <w:p>
      <w:pPr>
        <w:tabs>
          <w:tab w:val="left" w:pos="1948"/>
        </w:tabs>
        <w:spacing w:line="24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(招标代理机构名称)：</w:t>
      </w:r>
    </w:p>
    <w:p>
      <w:pPr>
        <w:spacing w:line="240" w:lineRule="auto"/>
        <w:ind w:firstLine="47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我单位作为本次采购项目的投标人，根据招标文件要求，现郑重承诺如下：具备《中华人民共和国政府采购法》第二十二条第一款和本项目规定的条件：</w:t>
      </w:r>
    </w:p>
    <w:p>
      <w:pPr>
        <w:spacing w:line="240" w:lineRule="auto"/>
        <w:ind w:firstLine="47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一) 具有独立承担民事责任的能力；</w:t>
      </w:r>
    </w:p>
    <w:p>
      <w:pPr>
        <w:spacing w:line="240" w:lineRule="auto"/>
        <w:ind w:firstLine="47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 具有良好的商业信誉和健全的财务会计制度；</w:t>
      </w:r>
    </w:p>
    <w:p>
      <w:pPr>
        <w:spacing w:line="240" w:lineRule="auto"/>
        <w:ind w:firstLine="47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 具有履行合同所必需的设备和专业技术能力；</w:t>
      </w:r>
    </w:p>
    <w:p>
      <w:pPr>
        <w:spacing w:line="240" w:lineRule="auto"/>
        <w:ind w:firstLine="47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 有依法缴纳税收和社会保障资金的良好记录；</w:t>
      </w:r>
    </w:p>
    <w:p>
      <w:pPr>
        <w:spacing w:line="240" w:lineRule="auto"/>
        <w:ind w:firstLine="47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 参加采购活动前三年内，在经营活动中没有重大违法记录；(公司成立不足三年</w:t>
      </w:r>
      <w:r>
        <w:rPr>
          <w:rFonts w:hint="eastAsia" w:ascii="宋体" w:hAnsi="宋体" w:eastAsia="宋体" w:cs="宋体"/>
          <w:color w:val="auto"/>
          <w:sz w:val="24"/>
          <w:szCs w:val="24"/>
          <w:highlight w:val="none"/>
          <w:lang w:eastAsia="zh-CN"/>
        </w:rPr>
        <w:t>的从</w:t>
      </w:r>
      <w:r>
        <w:rPr>
          <w:rFonts w:hint="eastAsia" w:ascii="宋体" w:hAnsi="宋体" w:eastAsia="宋体" w:cs="宋体"/>
          <w:color w:val="auto"/>
          <w:sz w:val="24"/>
          <w:szCs w:val="24"/>
          <w:highlight w:val="none"/>
        </w:rPr>
        <w:t>成立之日起算)</w:t>
      </w:r>
    </w:p>
    <w:p>
      <w:pPr>
        <w:spacing w:line="240" w:lineRule="auto"/>
        <w:ind w:firstLine="47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 法律、行政法规规定的其他条件；</w:t>
      </w:r>
    </w:p>
    <w:p>
      <w:pPr>
        <w:spacing w:line="240" w:lineRule="auto"/>
        <w:ind w:firstLine="47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(七) 根据国务院办公厅关于加快推进“多证合一”改革的指导意见(国办发〔2017〕41号)等政策要求，若资格要求涉及的登记、备案等有关事项和各类证照已实行多证合一导致我方无法提供该类证明材料的，我方承诺满足招标文件资格要求。(此条针对资格要求如涉及的登记、备案等有关事项和各类证照已实行多证合一导致投标人无法提供该类证明材料的，投标人提供该承诺)</w:t>
      </w:r>
      <w:r>
        <w:rPr>
          <w:rFonts w:hint="eastAsia" w:ascii="宋体" w:hAnsi="宋体" w:eastAsia="宋体" w:cs="宋体"/>
          <w:color w:val="auto"/>
          <w:sz w:val="24"/>
          <w:szCs w:val="24"/>
          <w:highlight w:val="none"/>
          <w:lang w:eastAsia="zh-CN"/>
        </w:rPr>
        <w:t>。</w:t>
      </w:r>
    </w:p>
    <w:p>
      <w:pPr>
        <w:spacing w:line="240" w:lineRule="auto"/>
        <w:ind w:firstLine="47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本单位对上述承诺的内容事项真实性负责。如经查实上述承诺的内容事项存在虚假，我单位愿意接受以提供虚假材料谋取中标追究法律责任。</w:t>
      </w:r>
    </w:p>
    <w:p>
      <w:pPr>
        <w:spacing w:before="1" w:line="240" w:lineRule="auto"/>
        <w:ind w:left="496"/>
        <w:rPr>
          <w:rFonts w:ascii="宋体" w:hAnsi="宋体" w:eastAsia="宋体" w:cs="宋体"/>
          <w:color w:val="auto"/>
          <w:sz w:val="24"/>
          <w:szCs w:val="24"/>
          <w:highlight w:val="none"/>
        </w:rPr>
      </w:pPr>
    </w:p>
    <w:p>
      <w:pPr>
        <w:spacing w:before="1" w:line="240" w:lineRule="auto"/>
        <w:ind w:left="496"/>
        <w:rPr>
          <w:rFonts w:ascii="宋体" w:hAnsi="宋体" w:eastAsia="宋体" w:cs="宋体"/>
          <w:color w:val="auto"/>
          <w:sz w:val="24"/>
          <w:szCs w:val="24"/>
          <w:highlight w:val="none"/>
        </w:rPr>
      </w:pPr>
    </w:p>
    <w:p>
      <w:pPr>
        <w:spacing w:before="1" w:line="240" w:lineRule="auto"/>
        <w:ind w:left="49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(盖单位公章) </w:t>
      </w:r>
    </w:p>
    <w:p>
      <w:pPr>
        <w:spacing w:before="77" w:line="240" w:lineRule="auto"/>
        <w:ind w:left="49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 ：</w:t>
      </w:r>
      <w:r>
        <w:rPr>
          <w:rFonts w:ascii="宋体" w:hAnsi="宋体" w:eastAsia="宋体" w:cs="宋体"/>
          <w:color w:val="auto"/>
          <w:sz w:val="24"/>
          <w:szCs w:val="24"/>
          <w:highlight w:val="none"/>
          <w:u w:val="single"/>
        </w:rPr>
        <w:t xml:space="preserve">        </w:t>
      </w:r>
    </w:p>
    <w:p>
      <w:pPr>
        <w:spacing w:before="78" w:line="240" w:lineRule="auto"/>
        <w:ind w:left="535"/>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240" w:lineRule="auto"/>
        <w:rPr>
          <w:color w:val="auto"/>
          <w:highlight w:val="none"/>
        </w:rPr>
        <w:sectPr>
          <w:headerReference r:id="rId13" w:type="default"/>
          <w:footerReference r:id="rId14" w:type="default"/>
          <w:pgSz w:w="11905" w:h="16838"/>
          <w:pgMar w:top="1417" w:right="1417" w:bottom="1417" w:left="1417" w:header="0" w:footer="1134" w:gutter="0"/>
          <w:cols w:space="425" w:num="1"/>
        </w:sectPr>
      </w:pPr>
    </w:p>
    <w:p>
      <w:pPr>
        <w:spacing w:before="41" w:line="240" w:lineRule="auto"/>
        <w:ind w:firstLine="0"/>
        <w:textAlignment w:val="center"/>
        <w:rPr>
          <w:color w:val="auto"/>
          <w:highlight w:val="none"/>
        </w:rPr>
      </w:pPr>
    </w:p>
    <w:p>
      <w:pPr>
        <w:numPr>
          <w:ilvl w:val="255"/>
          <w:numId w:val="0"/>
        </w:numPr>
        <w:spacing w:before="0" w:line="240" w:lineRule="auto"/>
        <w:ind w:right="0"/>
        <w:outlineLvl w:val="9"/>
        <w:rPr>
          <w:rFonts w:ascii="宋体" w:hAnsi="宋体" w:eastAsia="宋体" w:cs="宋体"/>
          <w:b/>
          <w:bCs/>
          <w:color w:val="auto"/>
          <w:sz w:val="32"/>
          <w:szCs w:val="32"/>
          <w:highlight w:val="none"/>
        </w:rPr>
      </w:pPr>
      <w:bookmarkStart w:id="116" w:name="_Toc13627"/>
      <w:bookmarkStart w:id="117" w:name="_Toc1481"/>
      <w:r>
        <w:rPr>
          <w:rFonts w:hint="eastAsia" w:ascii="宋体" w:hAnsi="宋体" w:eastAsia="宋体" w:cs="宋体"/>
          <w:b/>
          <w:bCs/>
          <w:color w:val="auto"/>
          <w:sz w:val="32"/>
          <w:szCs w:val="32"/>
          <w:highlight w:val="none"/>
        </w:rPr>
        <w:t>三、具有独立承担民事责任能力的证明材料</w:t>
      </w:r>
      <w:bookmarkEnd w:id="116"/>
      <w:bookmarkEnd w:id="117"/>
      <w:r>
        <w:rPr>
          <w:rFonts w:hint="eastAsia" w:ascii="宋体" w:hAnsi="宋体" w:eastAsia="宋体" w:cs="宋体"/>
          <w:b/>
          <w:bCs/>
          <w:color w:val="auto"/>
          <w:sz w:val="32"/>
          <w:szCs w:val="32"/>
          <w:highlight w:val="none"/>
        </w:rPr>
        <w:t xml:space="preserve"> </w:t>
      </w:r>
    </w:p>
    <w:p>
      <w:pPr>
        <w:spacing w:before="3" w:line="240" w:lineRule="auto"/>
        <w:ind w:right="13"/>
        <w:jc w:val="center"/>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rPr>
        <w:t>(根据招标文件第五章要求提供)</w:t>
      </w:r>
    </w:p>
    <w:p>
      <w:pPr>
        <w:spacing w:before="3" w:line="240" w:lineRule="auto"/>
        <w:ind w:right="13"/>
        <w:jc w:val="center"/>
        <w:rPr>
          <w:rFonts w:ascii="宋体" w:hAnsi="宋体" w:eastAsia="宋体" w:cs="宋体"/>
          <w:b/>
          <w:bCs/>
          <w:color w:val="auto"/>
          <w:sz w:val="32"/>
          <w:szCs w:val="32"/>
          <w:highlight w:val="none"/>
        </w:rPr>
      </w:pPr>
    </w:p>
    <w:p>
      <w:pPr>
        <w:spacing w:before="3" w:line="240" w:lineRule="auto"/>
        <w:ind w:right="13"/>
        <w:jc w:val="both"/>
        <w:outlineLvl w:val="9"/>
        <w:rPr>
          <w:rFonts w:ascii="宋体" w:hAnsi="宋体" w:eastAsia="宋体" w:cs="宋体"/>
          <w:b/>
          <w:bCs/>
          <w:color w:val="auto"/>
          <w:sz w:val="32"/>
          <w:szCs w:val="32"/>
          <w:highlight w:val="none"/>
        </w:rPr>
      </w:pPr>
      <w:bookmarkStart w:id="118" w:name="_Toc11241"/>
      <w:bookmarkStart w:id="119" w:name="_Toc21705"/>
      <w:r>
        <w:rPr>
          <w:rFonts w:hint="eastAsia" w:ascii="宋体" w:hAnsi="宋体" w:eastAsia="宋体" w:cs="宋体"/>
          <w:b/>
          <w:bCs/>
          <w:color w:val="auto"/>
          <w:sz w:val="32"/>
          <w:szCs w:val="32"/>
          <w:highlight w:val="none"/>
        </w:rPr>
        <w:t>四、具有商业信誉和健全的财务会计制度的证明材料</w:t>
      </w:r>
      <w:bookmarkEnd w:id="118"/>
      <w:bookmarkEnd w:id="119"/>
      <w:r>
        <w:rPr>
          <w:rFonts w:hint="eastAsia" w:ascii="宋体" w:hAnsi="宋体" w:eastAsia="宋体" w:cs="宋体"/>
          <w:b/>
          <w:bCs/>
          <w:color w:val="auto"/>
          <w:sz w:val="32"/>
          <w:szCs w:val="32"/>
          <w:highlight w:val="none"/>
        </w:rPr>
        <w:t xml:space="preserve"> </w:t>
      </w:r>
    </w:p>
    <w:p>
      <w:pPr>
        <w:spacing w:before="3" w:line="240" w:lineRule="auto"/>
        <w:ind w:right="13"/>
        <w:jc w:val="center"/>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rPr>
        <w:t>(根据招标文件第五章要求提供)</w:t>
      </w:r>
    </w:p>
    <w:p>
      <w:pPr>
        <w:spacing w:line="240" w:lineRule="auto"/>
        <w:rPr>
          <w:color w:val="auto"/>
          <w:highlight w:val="none"/>
        </w:rPr>
      </w:pPr>
    </w:p>
    <w:p>
      <w:pPr>
        <w:spacing w:before="3" w:line="240" w:lineRule="auto"/>
        <w:ind w:right="13"/>
        <w:jc w:val="center"/>
        <w:outlineLvl w:val="9"/>
        <w:rPr>
          <w:rFonts w:ascii="宋体" w:hAnsi="宋体" w:eastAsia="宋体" w:cs="宋体"/>
          <w:b/>
          <w:bCs/>
          <w:color w:val="auto"/>
          <w:sz w:val="32"/>
          <w:szCs w:val="32"/>
          <w:highlight w:val="none"/>
        </w:rPr>
      </w:pPr>
      <w:bookmarkStart w:id="120" w:name="_Toc272"/>
      <w:bookmarkStart w:id="121" w:name="_Toc21468"/>
      <w:r>
        <w:rPr>
          <w:rFonts w:hint="eastAsia" w:ascii="宋体" w:hAnsi="宋体" w:eastAsia="宋体" w:cs="宋体"/>
          <w:b/>
          <w:bCs/>
          <w:color w:val="auto"/>
          <w:sz w:val="32"/>
          <w:szCs w:val="32"/>
          <w:highlight w:val="none"/>
        </w:rPr>
        <w:t xml:space="preserve">五、提供具有履行合同所必需的设备和专业技术能力的证明材料 </w:t>
      </w:r>
      <w:r>
        <w:rPr>
          <w:rFonts w:hint="eastAsia" w:ascii="宋体" w:hAnsi="宋体" w:eastAsia="宋体" w:cs="宋体"/>
          <w:color w:val="auto"/>
          <w:sz w:val="24"/>
          <w:szCs w:val="24"/>
          <w:highlight w:val="none"/>
        </w:rPr>
        <w:t>(根据招标文件第五章要求提供)</w:t>
      </w:r>
      <w:bookmarkEnd w:id="120"/>
      <w:bookmarkEnd w:id="121"/>
    </w:p>
    <w:p>
      <w:pPr>
        <w:spacing w:line="240" w:lineRule="auto"/>
        <w:rPr>
          <w:color w:val="auto"/>
          <w:highlight w:val="none"/>
        </w:rPr>
      </w:pPr>
    </w:p>
    <w:p>
      <w:pPr>
        <w:spacing w:before="3" w:line="240" w:lineRule="auto"/>
        <w:ind w:right="13"/>
        <w:jc w:val="both"/>
        <w:outlineLvl w:val="9"/>
        <w:rPr>
          <w:rFonts w:ascii="宋体" w:hAnsi="宋体" w:eastAsia="宋体" w:cs="宋体"/>
          <w:b/>
          <w:bCs/>
          <w:color w:val="auto"/>
          <w:sz w:val="32"/>
          <w:szCs w:val="32"/>
          <w:highlight w:val="none"/>
        </w:rPr>
      </w:pPr>
      <w:bookmarkStart w:id="122" w:name="_Toc3675"/>
      <w:bookmarkStart w:id="123" w:name="_Toc13755"/>
      <w:r>
        <w:rPr>
          <w:rFonts w:hint="eastAsia" w:ascii="宋体" w:hAnsi="宋体" w:eastAsia="宋体" w:cs="宋体"/>
          <w:b/>
          <w:bCs/>
          <w:color w:val="auto"/>
          <w:sz w:val="32"/>
          <w:szCs w:val="32"/>
          <w:highlight w:val="none"/>
        </w:rPr>
        <w:t>六、有依法缴纳税收和社会保障资金的良好记录的证明材料</w:t>
      </w:r>
      <w:bookmarkEnd w:id="122"/>
      <w:bookmarkEnd w:id="123"/>
    </w:p>
    <w:p>
      <w:pPr>
        <w:spacing w:before="3" w:line="240" w:lineRule="auto"/>
        <w:ind w:right="13"/>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(根据招标文件第五章要求提供)</w:t>
      </w:r>
    </w:p>
    <w:p>
      <w:pPr>
        <w:pStyle w:val="2"/>
        <w:spacing w:line="240" w:lineRule="auto"/>
        <w:rPr>
          <w:color w:val="auto"/>
          <w:highlight w:val="none"/>
        </w:rPr>
      </w:pPr>
    </w:p>
    <w:p>
      <w:pPr>
        <w:spacing w:before="3" w:line="240" w:lineRule="auto"/>
        <w:ind w:right="13"/>
        <w:jc w:val="both"/>
        <w:outlineLvl w:val="9"/>
        <w:rPr>
          <w:rFonts w:ascii="宋体" w:hAnsi="宋体" w:eastAsia="宋体" w:cs="宋体"/>
          <w:b/>
          <w:bCs/>
          <w:color w:val="auto"/>
          <w:sz w:val="32"/>
          <w:szCs w:val="32"/>
          <w:highlight w:val="none"/>
        </w:rPr>
      </w:pPr>
      <w:bookmarkStart w:id="124" w:name="_Toc22346"/>
      <w:bookmarkStart w:id="125" w:name="_Toc18660"/>
      <w:r>
        <w:rPr>
          <w:rFonts w:hint="eastAsia" w:ascii="宋体" w:hAnsi="宋体" w:eastAsia="宋体" w:cs="宋体"/>
          <w:b/>
          <w:bCs/>
          <w:color w:val="auto"/>
          <w:sz w:val="32"/>
          <w:szCs w:val="32"/>
          <w:highlight w:val="none"/>
        </w:rPr>
        <w:t>七、参加本次采购活动前三年内，在经营活动中没有重大违法记录的证明材料</w:t>
      </w:r>
      <w:bookmarkEnd w:id="124"/>
      <w:bookmarkEnd w:id="125"/>
      <w:r>
        <w:rPr>
          <w:rFonts w:hint="eastAsia" w:ascii="宋体" w:hAnsi="宋体" w:eastAsia="宋体" w:cs="宋体"/>
          <w:b/>
          <w:bCs/>
          <w:color w:val="auto"/>
          <w:sz w:val="32"/>
          <w:szCs w:val="32"/>
          <w:highlight w:val="none"/>
        </w:rPr>
        <w:t xml:space="preserve"> </w:t>
      </w:r>
    </w:p>
    <w:p>
      <w:pPr>
        <w:spacing w:before="3" w:line="240" w:lineRule="auto"/>
        <w:ind w:right="13"/>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(根据招标文件第五章要求提供)</w:t>
      </w:r>
    </w:p>
    <w:p>
      <w:pPr>
        <w:pStyle w:val="2"/>
        <w:spacing w:line="240" w:lineRule="auto"/>
        <w:rPr>
          <w:color w:val="auto"/>
          <w:highlight w:val="none"/>
        </w:rPr>
      </w:pPr>
    </w:p>
    <w:p>
      <w:pPr>
        <w:spacing w:before="3" w:line="240" w:lineRule="auto"/>
        <w:ind w:right="13"/>
        <w:jc w:val="both"/>
        <w:outlineLvl w:val="9"/>
        <w:rPr>
          <w:rFonts w:ascii="宋体" w:hAnsi="宋体" w:eastAsia="宋体" w:cs="宋体"/>
          <w:b/>
          <w:bCs/>
          <w:color w:val="auto"/>
          <w:sz w:val="32"/>
          <w:szCs w:val="32"/>
          <w:highlight w:val="none"/>
        </w:rPr>
      </w:pPr>
      <w:bookmarkStart w:id="126" w:name="_Toc21320"/>
      <w:bookmarkStart w:id="127" w:name="_Toc29820"/>
      <w:r>
        <w:rPr>
          <w:rFonts w:hint="eastAsia" w:ascii="宋体" w:hAnsi="宋体" w:eastAsia="宋体" w:cs="宋体"/>
          <w:b/>
          <w:bCs/>
          <w:color w:val="auto"/>
          <w:sz w:val="32"/>
          <w:szCs w:val="32"/>
          <w:highlight w:val="none"/>
        </w:rPr>
        <w:t>八、具备法律、行政法规规定的其他条件的承诺函</w:t>
      </w:r>
      <w:bookmarkEnd w:id="126"/>
      <w:bookmarkEnd w:id="127"/>
      <w:r>
        <w:rPr>
          <w:rFonts w:hint="eastAsia" w:ascii="宋体" w:hAnsi="宋体" w:eastAsia="宋体" w:cs="宋体"/>
          <w:b/>
          <w:bCs/>
          <w:color w:val="auto"/>
          <w:sz w:val="32"/>
          <w:szCs w:val="32"/>
          <w:highlight w:val="none"/>
        </w:rPr>
        <w:t xml:space="preserve"> </w:t>
      </w:r>
    </w:p>
    <w:p>
      <w:pPr>
        <w:spacing w:before="3" w:line="240" w:lineRule="auto"/>
        <w:ind w:right="13"/>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(根据招标文件第五章要求提供)</w:t>
      </w:r>
    </w:p>
    <w:p>
      <w:pPr>
        <w:spacing w:line="240" w:lineRule="auto"/>
        <w:rPr>
          <w:color w:val="auto"/>
          <w:highlight w:val="none"/>
        </w:rPr>
      </w:pPr>
    </w:p>
    <w:p>
      <w:pPr>
        <w:spacing w:before="3" w:line="240" w:lineRule="auto"/>
        <w:ind w:right="13"/>
        <w:jc w:val="both"/>
        <w:outlineLvl w:val="9"/>
        <w:rPr>
          <w:color w:val="auto"/>
          <w:highlight w:val="none"/>
        </w:rPr>
      </w:pPr>
      <w:bookmarkStart w:id="128" w:name="_Toc5524"/>
      <w:bookmarkStart w:id="129" w:name="_Toc24048"/>
      <w:r>
        <w:rPr>
          <w:rFonts w:hint="eastAsia" w:ascii="宋体" w:hAnsi="宋体" w:eastAsia="宋体" w:cs="宋体"/>
          <w:b/>
          <w:bCs/>
          <w:color w:val="auto"/>
          <w:sz w:val="32"/>
          <w:szCs w:val="32"/>
          <w:highlight w:val="none"/>
        </w:rPr>
        <w:t>九、第五章规定的其他相关证明材料 (格式自拟) ……</w:t>
      </w:r>
      <w:bookmarkEnd w:id="128"/>
      <w:bookmarkEnd w:id="129"/>
      <w:r>
        <w:rPr>
          <w:color w:val="auto"/>
          <w:highlight w:val="none"/>
        </w:rPr>
        <w:br w:type="page"/>
      </w:r>
    </w:p>
    <w:p>
      <w:pPr>
        <w:spacing w:before="59" w:line="240" w:lineRule="auto"/>
        <w:ind w:left="2601"/>
        <w:outlineLvl w:val="9"/>
        <w:rPr>
          <w:rFonts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其他</w:t>
      </w:r>
      <w:bookmarkStart w:id="130" w:name="_Toc8237"/>
      <w:bookmarkStart w:id="131" w:name="_Toc26162"/>
      <w:r>
        <w:rPr>
          <w:rFonts w:hint="eastAsia" w:ascii="宋体" w:hAnsi="宋体" w:eastAsia="宋体" w:cs="宋体"/>
          <w:b/>
          <w:bCs/>
          <w:color w:val="auto"/>
          <w:sz w:val="32"/>
          <w:szCs w:val="32"/>
          <w:highlight w:val="none"/>
        </w:rPr>
        <w:t>响应性投标文件封面</w:t>
      </w:r>
      <w:bookmarkEnd w:id="130"/>
      <w:bookmarkEnd w:id="131"/>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tbl>
      <w:tblPr>
        <w:tblStyle w:val="23"/>
        <w:tblW w:w="1640" w:type="dxa"/>
        <w:tblInd w:w="6543"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640"/>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76" w:hRule="atLeast"/>
        </w:trPr>
        <w:tc>
          <w:tcPr>
            <w:tcW w:w="1640" w:type="dxa"/>
          </w:tcPr>
          <w:p>
            <w:pPr>
              <w:spacing w:before="58" w:line="240" w:lineRule="auto"/>
              <w:ind w:left="206"/>
              <w:rPr>
                <w:rFonts w:ascii="宋体" w:hAnsi="宋体" w:eastAsia="宋体" w:cs="宋体"/>
                <w:color w:val="auto"/>
                <w:sz w:val="35"/>
                <w:szCs w:val="35"/>
                <w:highlight w:val="none"/>
              </w:rPr>
            </w:pPr>
            <w:r>
              <w:rPr>
                <w:rFonts w:hint="eastAsia" w:ascii="宋体" w:hAnsi="宋体" w:eastAsia="宋体" w:cs="宋体"/>
                <w:b/>
                <w:bCs/>
                <w:color w:val="auto"/>
                <w:sz w:val="32"/>
                <w:szCs w:val="32"/>
                <w:highlight w:val="none"/>
              </w:rPr>
              <w:t>正/副 本</w:t>
            </w:r>
          </w:p>
        </w:tc>
      </w:tr>
    </w:tbl>
    <w:p>
      <w:pPr>
        <w:spacing w:line="240" w:lineRule="auto"/>
        <w:rPr>
          <w:color w:val="auto"/>
          <w:highlight w:val="none"/>
        </w:rPr>
      </w:pPr>
    </w:p>
    <w:p>
      <w:pPr>
        <w:spacing w:before="3" w:line="240" w:lineRule="auto"/>
        <w:ind w:right="13"/>
        <w:jc w:val="center"/>
        <w:rPr>
          <w:rFonts w:ascii="宋体" w:hAnsi="宋体" w:eastAsia="宋体" w:cs="宋体"/>
          <w:b/>
          <w:bCs/>
          <w:color w:val="auto"/>
          <w:sz w:val="44"/>
          <w:szCs w:val="44"/>
          <w:highlight w:val="none"/>
        </w:rPr>
      </w:pPr>
    </w:p>
    <w:p>
      <w:pPr>
        <w:spacing w:before="3" w:line="240" w:lineRule="auto"/>
        <w:ind w:right="13"/>
        <w:jc w:val="center"/>
        <w:outlineLvl w:val="1"/>
        <w:rPr>
          <w:rFonts w:ascii="宋体" w:hAnsi="宋体" w:eastAsia="宋体" w:cs="宋体"/>
          <w:b/>
          <w:bCs/>
          <w:color w:val="auto"/>
          <w:sz w:val="44"/>
          <w:szCs w:val="44"/>
          <w:highlight w:val="none"/>
        </w:rPr>
      </w:pPr>
      <w:bookmarkStart w:id="132" w:name="_Toc21452"/>
      <w:bookmarkStart w:id="133" w:name="_Toc4716"/>
      <w:r>
        <w:rPr>
          <w:rFonts w:hint="eastAsia" w:ascii="宋体" w:hAnsi="宋体" w:eastAsia="宋体" w:cs="宋体"/>
          <w:b/>
          <w:bCs/>
          <w:color w:val="auto"/>
          <w:sz w:val="44"/>
          <w:szCs w:val="44"/>
          <w:highlight w:val="none"/>
        </w:rPr>
        <w:t>第二部分：其他响应性投标文件</w:t>
      </w:r>
      <w:bookmarkEnd w:id="132"/>
      <w:bookmarkEnd w:id="133"/>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pStyle w:val="2"/>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before="3" w:line="240" w:lineRule="auto"/>
        <w:ind w:left="23" w:right="13" w:firstLine="482"/>
        <w:jc w:val="both"/>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采购项目名称：</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pPr>
        <w:spacing w:before="3" w:line="240" w:lineRule="auto"/>
        <w:ind w:left="23" w:right="13" w:firstLine="482"/>
        <w:jc w:val="both"/>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招标</w:t>
      </w:r>
      <w:r>
        <w:rPr>
          <w:rFonts w:hint="eastAsia" w:ascii="宋体" w:hAnsi="宋体" w:eastAsia="宋体" w:cs="宋体"/>
          <w:b/>
          <w:bCs/>
          <w:color w:val="auto"/>
          <w:sz w:val="32"/>
          <w:szCs w:val="32"/>
          <w:highlight w:val="none"/>
        </w:rPr>
        <w:t>文件编号：</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pPr>
        <w:spacing w:before="3" w:line="240" w:lineRule="auto"/>
        <w:ind w:left="23" w:right="13" w:firstLine="482"/>
        <w:jc w:val="both"/>
        <w:rPr>
          <w:rFonts w:ascii="宋体" w:hAnsi="宋体" w:eastAsia="宋体" w:cs="宋体"/>
          <w:b/>
          <w:bCs/>
          <w:color w:val="auto"/>
          <w:spacing w:val="18"/>
          <w:sz w:val="32"/>
          <w:szCs w:val="32"/>
          <w:highlight w:val="none"/>
        </w:rPr>
      </w:pPr>
      <w:r>
        <w:rPr>
          <w:rFonts w:hint="eastAsia" w:ascii="宋体" w:hAnsi="宋体" w:eastAsia="宋体" w:cs="宋体"/>
          <w:b/>
          <w:bCs/>
          <w:color w:val="auto"/>
          <w:sz w:val="32"/>
          <w:szCs w:val="32"/>
          <w:highlight w:val="none"/>
        </w:rPr>
        <w:t>投标人名称(盖单位公章) ：</w:t>
      </w:r>
      <w:r>
        <w:rPr>
          <w:rFonts w:hint="eastAsia" w:ascii="宋体" w:hAnsi="宋体" w:eastAsia="宋体" w:cs="宋体"/>
          <w:b/>
          <w:bCs/>
          <w:color w:val="auto"/>
          <w:spacing w:val="18"/>
          <w:sz w:val="32"/>
          <w:szCs w:val="32"/>
          <w:highlight w:val="none"/>
          <w:u w:val="single"/>
        </w:rPr>
        <w:t xml:space="preserve">           </w:t>
      </w:r>
      <w:r>
        <w:rPr>
          <w:rFonts w:hint="eastAsia" w:ascii="宋体" w:hAnsi="宋体" w:eastAsia="宋体" w:cs="宋体"/>
          <w:b/>
          <w:bCs/>
          <w:color w:val="auto"/>
          <w:spacing w:val="18"/>
          <w:sz w:val="32"/>
          <w:szCs w:val="32"/>
          <w:highlight w:val="none"/>
        </w:rPr>
        <w:t xml:space="preserve">              </w:t>
      </w:r>
    </w:p>
    <w:p>
      <w:pPr>
        <w:spacing w:before="3" w:line="240" w:lineRule="auto"/>
        <w:ind w:left="23" w:right="13" w:firstLine="482"/>
        <w:jc w:val="both"/>
        <w:rPr>
          <w:rFonts w:ascii="宋体" w:hAnsi="宋体" w:eastAsia="宋体" w:cs="宋体"/>
          <w:b/>
          <w:bCs/>
          <w:color w:val="auto"/>
          <w:spacing w:val="18"/>
          <w:sz w:val="32"/>
          <w:szCs w:val="32"/>
          <w:highlight w:val="none"/>
        </w:rPr>
      </w:pPr>
      <w:r>
        <w:rPr>
          <w:rFonts w:hint="eastAsia" w:ascii="宋体" w:hAnsi="宋体" w:eastAsia="宋体" w:cs="宋体"/>
          <w:b/>
          <w:bCs/>
          <w:color w:val="auto"/>
          <w:spacing w:val="18"/>
          <w:sz w:val="32"/>
          <w:szCs w:val="32"/>
          <w:highlight w:val="none"/>
        </w:rPr>
        <w:t xml:space="preserve">                                  </w:t>
      </w:r>
    </w:p>
    <w:p>
      <w:pPr>
        <w:spacing w:before="3" w:line="240" w:lineRule="auto"/>
        <w:ind w:left="23" w:right="13" w:firstLine="482"/>
        <w:jc w:val="center"/>
        <w:rPr>
          <w:rFonts w:ascii="宋体" w:hAnsi="宋体" w:eastAsia="宋体" w:cs="宋体"/>
          <w:b/>
          <w:bCs/>
          <w:color w:val="auto"/>
          <w:spacing w:val="18"/>
          <w:sz w:val="32"/>
          <w:szCs w:val="32"/>
          <w:highlight w:val="none"/>
        </w:rPr>
      </w:pPr>
    </w:p>
    <w:p>
      <w:pPr>
        <w:spacing w:before="3" w:line="240" w:lineRule="auto"/>
        <w:ind w:left="23" w:right="13" w:firstLine="482"/>
        <w:jc w:val="center"/>
        <w:rPr>
          <w:rFonts w:ascii="宋体" w:hAnsi="宋体" w:eastAsia="宋体" w:cs="宋体"/>
          <w:b/>
          <w:bCs/>
          <w:color w:val="auto"/>
          <w:spacing w:val="18"/>
          <w:sz w:val="32"/>
          <w:szCs w:val="32"/>
          <w:highlight w:val="none"/>
        </w:rPr>
      </w:pPr>
    </w:p>
    <w:p>
      <w:pPr>
        <w:spacing w:before="3" w:line="240" w:lineRule="auto"/>
        <w:ind w:left="23" w:right="13" w:firstLine="1057" w:firstLineChars="329"/>
        <w:jc w:val="both"/>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日    期 ：</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日</w:t>
      </w:r>
    </w:p>
    <w:p>
      <w:pPr>
        <w:spacing w:line="240" w:lineRule="auto"/>
        <w:rPr>
          <w:color w:val="auto"/>
          <w:highlight w:val="none"/>
        </w:rPr>
      </w:pPr>
    </w:p>
    <w:p>
      <w:pPr>
        <w:pStyle w:val="2"/>
        <w:spacing w:line="240" w:lineRule="auto"/>
        <w:rPr>
          <w:color w:val="auto"/>
          <w:highlight w:val="none"/>
        </w:rPr>
      </w:pPr>
    </w:p>
    <w:p>
      <w:pPr>
        <w:spacing w:line="240" w:lineRule="auto"/>
        <w:rPr>
          <w:color w:val="auto"/>
          <w:highlight w:val="none"/>
        </w:rPr>
      </w:pPr>
    </w:p>
    <w:p>
      <w:pPr>
        <w:pStyle w:val="2"/>
        <w:spacing w:line="240" w:lineRule="auto"/>
        <w:rPr>
          <w:color w:val="auto"/>
          <w:highlight w:val="none"/>
        </w:rPr>
      </w:pPr>
    </w:p>
    <w:p>
      <w:pPr>
        <w:spacing w:line="240" w:lineRule="auto"/>
        <w:rPr>
          <w:color w:val="auto"/>
          <w:highlight w:val="none"/>
        </w:rPr>
      </w:pPr>
    </w:p>
    <w:p>
      <w:pPr>
        <w:pStyle w:val="2"/>
        <w:spacing w:line="240" w:lineRule="auto"/>
        <w:rPr>
          <w:color w:val="auto"/>
          <w:highlight w:val="none"/>
        </w:rPr>
      </w:pPr>
    </w:p>
    <w:p>
      <w:pPr>
        <w:spacing w:line="240" w:lineRule="auto"/>
        <w:rPr>
          <w:color w:val="auto"/>
          <w:highlight w:val="none"/>
        </w:rPr>
      </w:pPr>
    </w:p>
    <w:p>
      <w:pPr>
        <w:pStyle w:val="2"/>
        <w:spacing w:line="240" w:lineRule="auto"/>
        <w:rPr>
          <w:color w:val="auto"/>
          <w:highlight w:val="none"/>
        </w:rPr>
      </w:pPr>
    </w:p>
    <w:p>
      <w:pPr>
        <w:pStyle w:val="2"/>
        <w:spacing w:line="240" w:lineRule="auto"/>
        <w:rPr>
          <w:color w:val="auto"/>
          <w:highlight w:val="none"/>
        </w:rPr>
      </w:pPr>
    </w:p>
    <w:p>
      <w:pPr>
        <w:spacing w:line="240" w:lineRule="auto"/>
        <w:rPr>
          <w:color w:val="auto"/>
          <w:highlight w:val="none"/>
        </w:rPr>
        <w:sectPr>
          <w:headerReference r:id="rId15" w:type="default"/>
          <w:footerReference r:id="rId16" w:type="default"/>
          <w:pgSz w:w="11905" w:h="16838"/>
          <w:pgMar w:top="1417" w:right="1417" w:bottom="1417" w:left="1417" w:header="0" w:footer="1134" w:gutter="0"/>
          <w:cols w:space="425" w:num="1"/>
        </w:sectPr>
      </w:pPr>
    </w:p>
    <w:p>
      <w:pPr>
        <w:spacing w:before="3" w:line="240" w:lineRule="auto"/>
        <w:ind w:right="13"/>
        <w:jc w:val="center"/>
        <w:outlineLvl w:val="9"/>
        <w:rPr>
          <w:rFonts w:ascii="宋体" w:hAnsi="宋体" w:eastAsia="宋体" w:cs="宋体"/>
          <w:b/>
          <w:bCs/>
          <w:color w:val="auto"/>
          <w:sz w:val="32"/>
          <w:szCs w:val="32"/>
          <w:highlight w:val="none"/>
        </w:rPr>
      </w:pPr>
      <w:bookmarkStart w:id="134" w:name="_Toc10013"/>
      <w:bookmarkStart w:id="135" w:name="_Toc25280"/>
    </w:p>
    <w:p>
      <w:pPr>
        <w:spacing w:before="0" w:line="240" w:lineRule="auto"/>
        <w:ind w:right="0"/>
        <w:jc w:val="left"/>
        <w:outlineLvl w:val="9"/>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pPr>
        <w:spacing w:before="3" w:line="240" w:lineRule="auto"/>
        <w:ind w:right="13"/>
        <w:jc w:val="center"/>
        <w:outlineLvl w:val="9"/>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一、投 标 函 (实质性要求)</w:t>
      </w:r>
      <w:bookmarkEnd w:id="134"/>
      <w:bookmarkEnd w:id="135"/>
    </w:p>
    <w:p>
      <w:pPr>
        <w:spacing w:line="240" w:lineRule="auto"/>
        <w:ind w:left="14"/>
        <w:rPr>
          <w:rFonts w:ascii="宋体" w:hAnsi="宋体" w:eastAsia="宋体" w:cs="宋体"/>
          <w:color w:val="auto"/>
          <w:spacing w:val="6"/>
          <w:sz w:val="23"/>
          <w:szCs w:val="23"/>
          <w:highlight w:val="none"/>
        </w:rPr>
      </w:pPr>
    </w:p>
    <w:p>
      <w:pPr>
        <w:spacing w:line="240" w:lineRule="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_________________</w:t>
      </w:r>
      <w:r>
        <w:rPr>
          <w:rFonts w:hint="eastAsia" w:ascii="宋体" w:hAnsi="宋体" w:eastAsia="宋体" w:cs="宋体"/>
          <w:color w:val="auto"/>
          <w:spacing w:val="6"/>
          <w:sz w:val="24"/>
          <w:szCs w:val="24"/>
          <w:highlight w:val="none"/>
        </w:rPr>
        <w:t>(招标代理机构名称)：</w:t>
      </w:r>
    </w:p>
    <w:p>
      <w:pPr>
        <w:spacing w:line="240" w:lineRule="auto"/>
        <w:ind w:left="24" w:right="13" w:firstLine="471"/>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我方全面研究了“</w:t>
      </w:r>
      <w:r>
        <w:rPr>
          <w:rFonts w:ascii="宋体" w:hAnsi="宋体" w:eastAsia="宋体" w:cs="宋体"/>
          <w:color w:val="auto"/>
          <w:spacing w:val="-1"/>
          <w:sz w:val="24"/>
          <w:szCs w:val="24"/>
          <w:highlight w:val="none"/>
        </w:rPr>
        <w:t xml:space="preserve">_________________ </w:t>
      </w:r>
      <w:r>
        <w:rPr>
          <w:rFonts w:hint="eastAsia" w:ascii="宋体" w:hAnsi="宋体" w:eastAsia="宋体" w:cs="宋体"/>
          <w:color w:val="auto"/>
          <w:spacing w:val="6"/>
          <w:sz w:val="24"/>
          <w:szCs w:val="24"/>
          <w:highlight w:val="none"/>
        </w:rPr>
        <w:t>”项目(招标编号：</w:t>
      </w:r>
      <w:r>
        <w:rPr>
          <w:rFonts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6"/>
          <w:sz w:val="24"/>
          <w:szCs w:val="24"/>
          <w:highlight w:val="none"/>
        </w:rPr>
        <w:t>)招标文件，决定参加贵单位组织的本项目投标。我方授权</w:t>
      </w:r>
      <w:r>
        <w:rPr>
          <w:rFonts w:ascii="宋体" w:hAnsi="宋体" w:eastAsia="宋体" w:cs="宋体"/>
          <w:color w:val="auto"/>
          <w:spacing w:val="3"/>
          <w:sz w:val="24"/>
          <w:szCs w:val="24"/>
          <w:highlight w:val="none"/>
        </w:rPr>
        <w:t xml:space="preserve">_________________ </w:t>
      </w:r>
      <w:r>
        <w:rPr>
          <w:rFonts w:hint="eastAsia" w:ascii="宋体" w:hAnsi="宋体" w:eastAsia="宋体" w:cs="宋体"/>
          <w:color w:val="auto"/>
          <w:spacing w:val="6"/>
          <w:sz w:val="24"/>
          <w:szCs w:val="24"/>
          <w:highlight w:val="none"/>
        </w:rPr>
        <w:t>(姓名、职务) 代表我方</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(投标单位的名称)全权处理本项目投标的有关事宜。</w:t>
      </w:r>
    </w:p>
    <w:p>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一、我方自愿按照招标文件规定的各项要求向招标人提供所需服务，</w:t>
      </w:r>
      <w:r>
        <w:rPr>
          <w:rFonts w:hint="eastAsia" w:ascii="宋体" w:hAnsi="宋体" w:eastAsia="宋体" w:cs="宋体"/>
          <w:b/>
          <w:bCs/>
          <w:color w:val="auto"/>
          <w:spacing w:val="6"/>
          <w:sz w:val="24"/>
          <w:szCs w:val="24"/>
          <w:highlight w:val="none"/>
        </w:rPr>
        <w:t>投标报价以《开标一览表》为准</w:t>
      </w:r>
      <w:r>
        <w:rPr>
          <w:rFonts w:hint="eastAsia" w:ascii="宋体" w:hAnsi="宋体" w:eastAsia="宋体" w:cs="宋体"/>
          <w:color w:val="auto"/>
          <w:spacing w:val="6"/>
          <w:sz w:val="24"/>
          <w:szCs w:val="24"/>
          <w:highlight w:val="none"/>
        </w:rPr>
        <w:t>。</w:t>
      </w:r>
    </w:p>
    <w:p>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二、一旦我方中标，我方将严格履行采购合同规定的责任和义务。</w:t>
      </w:r>
    </w:p>
    <w:p>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三、我方为本项目提交的资格性投标文件正本1份副本2份，其他响应性投标文件正本1份副本2份，用于开标唱标的“开标一览表”一份，电子文档1份。</w:t>
      </w:r>
    </w:p>
    <w:p>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四、我方已知晓全部招标文件的内容，包括修改文件（如有）以及全部相关资料和有关附件，并对上述文件均无异议。</w:t>
      </w:r>
    </w:p>
    <w:p>
      <w:pPr>
        <w:spacing w:line="240" w:lineRule="auto"/>
        <w:ind w:left="24" w:right="13" w:firstLine="471"/>
        <w:rPr>
          <w:rFonts w:ascii="宋体" w:hAnsi="宋体" w:eastAsia="宋体" w:cs="宋体"/>
          <w:color w:val="auto"/>
          <w:spacing w:val="6"/>
          <w:sz w:val="24"/>
          <w:szCs w:val="24"/>
          <w:highlight w:val="none"/>
        </w:rPr>
      </w:pPr>
      <w:bookmarkStart w:id="136" w:name="_Toc2829"/>
      <w:bookmarkStart w:id="137" w:name="_Toc1308"/>
      <w:r>
        <w:rPr>
          <w:rFonts w:hint="eastAsia" w:ascii="宋体" w:hAnsi="宋体" w:eastAsia="宋体" w:cs="宋体"/>
          <w:color w:val="auto"/>
          <w:spacing w:val="6"/>
          <w:sz w:val="24"/>
          <w:szCs w:val="24"/>
          <w:highlight w:val="none"/>
        </w:rPr>
        <w:t>五、我方同意本次招标的投标有效期为投标截止之日起90天。</w:t>
      </w:r>
      <w:bookmarkEnd w:id="136"/>
      <w:bookmarkEnd w:id="137"/>
    </w:p>
    <w:p>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六、我方愿意提供贵单位可能另外要求的，与投标有关的文件资料，并保证我方已提供和将要提供的文件资料是真实、准确的。</w:t>
      </w:r>
    </w:p>
    <w:p>
      <w:pPr>
        <w:spacing w:line="240" w:lineRule="auto"/>
        <w:ind w:left="24" w:right="13" w:firstLine="471"/>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七、我方完全理解招标人不一定将合同授予最低报价的投标人的行为。</w:t>
      </w:r>
    </w:p>
    <w:p>
      <w:pPr>
        <w:spacing w:line="240" w:lineRule="auto"/>
        <w:rPr>
          <w:color w:val="auto"/>
          <w:sz w:val="24"/>
          <w:szCs w:val="24"/>
          <w:highlight w:val="none"/>
        </w:rPr>
      </w:pPr>
    </w:p>
    <w:p>
      <w:pPr>
        <w:spacing w:line="240" w:lineRule="auto"/>
        <w:rPr>
          <w:color w:val="auto"/>
          <w:sz w:val="24"/>
          <w:szCs w:val="24"/>
          <w:highlight w:val="none"/>
        </w:rPr>
      </w:pPr>
    </w:p>
    <w:p>
      <w:pPr>
        <w:spacing w:line="240" w:lineRule="auto"/>
        <w:rPr>
          <w:color w:val="auto"/>
          <w:sz w:val="24"/>
          <w:szCs w:val="24"/>
          <w:highlight w:val="none"/>
        </w:rPr>
      </w:pPr>
    </w:p>
    <w:p>
      <w:pPr>
        <w:spacing w:before="75" w:line="240" w:lineRule="auto"/>
        <w:ind w:left="496"/>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投标人名称：</w:t>
      </w:r>
      <w:r>
        <w:rPr>
          <w:rFonts w:ascii="宋体" w:hAnsi="宋体" w:eastAsia="宋体" w:cs="宋体"/>
          <w:color w:val="auto"/>
          <w:spacing w:val="-1"/>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pacing w:val="6"/>
          <w:sz w:val="24"/>
          <w:szCs w:val="24"/>
          <w:highlight w:val="none"/>
        </w:rPr>
        <w:t>(盖单位公章)</w:t>
      </w:r>
    </w:p>
    <w:p>
      <w:pPr>
        <w:spacing w:before="77" w:line="240" w:lineRule="auto"/>
        <w:ind w:left="493" w:right="410"/>
        <w:rPr>
          <w:rFonts w:ascii="宋体" w:hAnsi="宋体" w:eastAsia="宋体" w:cs="宋体"/>
          <w:color w:val="auto"/>
          <w:spacing w:val="4"/>
          <w:sz w:val="24"/>
          <w:szCs w:val="24"/>
          <w:highlight w:val="none"/>
        </w:rPr>
      </w:pPr>
      <w:r>
        <w:rPr>
          <w:rFonts w:hint="eastAsia" w:ascii="宋体" w:hAnsi="宋体" w:eastAsia="宋体" w:cs="宋体"/>
          <w:color w:val="auto"/>
          <w:spacing w:val="6"/>
          <w:sz w:val="24"/>
          <w:szCs w:val="24"/>
          <w:highlight w:val="none"/>
        </w:rPr>
        <w:t>法定代表人/单位负责人或授权代表(签字或加盖个人名章)：</w:t>
      </w:r>
      <w:r>
        <w:rPr>
          <w:rFonts w:hint="eastAsia" w:ascii="宋体" w:hAnsi="宋体" w:eastAsia="宋体" w:cs="宋体"/>
          <w:color w:val="auto"/>
          <w:spacing w:val="6"/>
          <w:sz w:val="24"/>
          <w:szCs w:val="24"/>
          <w:highlight w:val="none"/>
          <w:u w:val="single"/>
        </w:rPr>
        <w:t xml:space="preserve">     </w:t>
      </w:r>
      <w:r>
        <w:rPr>
          <w:rFonts w:ascii="宋体" w:hAnsi="宋体" w:eastAsia="宋体" w:cs="宋体"/>
          <w:color w:val="auto"/>
          <w:spacing w:val="4"/>
          <w:sz w:val="24"/>
          <w:szCs w:val="24"/>
          <w:highlight w:val="none"/>
        </w:rPr>
        <w:t xml:space="preserve"> </w:t>
      </w:r>
    </w:p>
    <w:p>
      <w:pPr>
        <w:spacing w:before="77" w:line="240" w:lineRule="auto"/>
        <w:ind w:left="493" w:right="410"/>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通讯地址：</w:t>
      </w:r>
      <w:r>
        <w:rPr>
          <w:rFonts w:ascii="宋体" w:hAnsi="宋体" w:eastAsia="宋体" w:cs="宋体"/>
          <w:color w:val="auto"/>
          <w:sz w:val="24"/>
          <w:szCs w:val="24"/>
          <w:highlight w:val="none"/>
          <w:u w:val="single"/>
        </w:rPr>
        <w:t xml:space="preserve">                  </w:t>
      </w:r>
    </w:p>
    <w:p>
      <w:pPr>
        <w:spacing w:before="1" w:line="240" w:lineRule="auto"/>
        <w:ind w:left="511"/>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邮政编码</w:t>
      </w:r>
      <w:r>
        <w:rPr>
          <w:rFonts w:ascii="宋体" w:hAnsi="宋体" w:eastAsia="宋体" w:cs="宋体"/>
          <w:color w:val="auto"/>
          <w:spacing w:val="2"/>
          <w:sz w:val="24"/>
          <w:szCs w:val="24"/>
          <w:highlight w:val="none"/>
        </w:rPr>
        <w:t>：</w:t>
      </w:r>
      <w:r>
        <w:rPr>
          <w:rFonts w:ascii="宋体" w:hAnsi="宋体" w:eastAsia="宋体" w:cs="宋体"/>
          <w:color w:val="auto"/>
          <w:sz w:val="24"/>
          <w:szCs w:val="24"/>
          <w:highlight w:val="none"/>
          <w:u w:val="single"/>
        </w:rPr>
        <w:t xml:space="preserve">                  </w:t>
      </w:r>
    </w:p>
    <w:p>
      <w:pPr>
        <w:spacing w:before="76" w:line="240" w:lineRule="auto"/>
        <w:ind w:left="494"/>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联系电话：</w:t>
      </w:r>
      <w:r>
        <w:rPr>
          <w:rFonts w:ascii="宋体" w:hAnsi="宋体" w:eastAsia="宋体" w:cs="宋体"/>
          <w:color w:val="auto"/>
          <w:sz w:val="24"/>
          <w:szCs w:val="24"/>
          <w:highlight w:val="none"/>
          <w:u w:val="single"/>
        </w:rPr>
        <w:t xml:space="preserve">                  </w:t>
      </w:r>
    </w:p>
    <w:p>
      <w:pPr>
        <w:spacing w:before="74" w:line="240" w:lineRule="auto"/>
        <w:ind w:left="491"/>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传    真 ：</w:t>
      </w:r>
      <w:r>
        <w:rPr>
          <w:rFonts w:ascii="宋体" w:hAnsi="宋体" w:eastAsia="宋体" w:cs="宋体"/>
          <w:color w:val="auto"/>
          <w:sz w:val="24"/>
          <w:szCs w:val="24"/>
          <w:highlight w:val="none"/>
          <w:u w:val="single"/>
        </w:rPr>
        <w:t xml:space="preserve">                  </w:t>
      </w:r>
    </w:p>
    <w:p>
      <w:pPr>
        <w:spacing w:before="78" w:line="240" w:lineRule="auto"/>
        <w:ind w:left="535"/>
        <w:rPr>
          <w:rFonts w:ascii="宋体" w:hAnsi="宋体" w:eastAsia="宋体" w:cs="宋体"/>
          <w:color w:val="auto"/>
          <w:sz w:val="23"/>
          <w:szCs w:val="23"/>
          <w:highlight w:val="none"/>
        </w:rPr>
      </w:pPr>
      <w:r>
        <w:rPr>
          <w:rFonts w:hint="eastAsia" w:ascii="宋体" w:hAnsi="宋体" w:eastAsia="宋体" w:cs="宋体"/>
          <w:color w:val="auto"/>
          <w:spacing w:val="6"/>
          <w:sz w:val="24"/>
          <w:szCs w:val="24"/>
          <w:highlight w:val="none"/>
        </w:rPr>
        <w:t>日    期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pacing w:val="6"/>
          <w:sz w:val="24"/>
          <w:szCs w:val="24"/>
          <w:highlight w:val="none"/>
        </w:rPr>
        <w:t>年</w:t>
      </w:r>
      <w:r>
        <w:rPr>
          <w:rFonts w:ascii="宋体" w:hAnsi="宋体" w:eastAsia="宋体" w:cs="宋体"/>
          <w:color w:val="auto"/>
          <w:sz w:val="24"/>
          <w:szCs w:val="24"/>
          <w:highlight w:val="none"/>
          <w:u w:val="single"/>
        </w:rPr>
        <w:t xml:space="preserve">   </w:t>
      </w:r>
      <w:r>
        <w:rPr>
          <w:rFonts w:hint="eastAsia" w:ascii="宋体" w:hAnsi="宋体" w:eastAsia="宋体" w:cs="宋体"/>
          <w:color w:val="auto"/>
          <w:spacing w:val="6"/>
          <w:sz w:val="24"/>
          <w:szCs w:val="24"/>
          <w:highlight w:val="none"/>
        </w:rPr>
        <w:t>月</w:t>
      </w:r>
      <w:r>
        <w:rPr>
          <w:rFonts w:ascii="宋体" w:hAnsi="宋体" w:eastAsia="宋体" w:cs="宋体"/>
          <w:color w:val="auto"/>
          <w:sz w:val="24"/>
          <w:szCs w:val="24"/>
          <w:highlight w:val="none"/>
          <w:u w:val="single"/>
        </w:rPr>
        <w:t xml:space="preserve">   </w:t>
      </w:r>
      <w:r>
        <w:rPr>
          <w:rFonts w:hint="eastAsia" w:ascii="宋体" w:hAnsi="宋体" w:eastAsia="宋体" w:cs="宋体"/>
          <w:color w:val="auto"/>
          <w:spacing w:val="6"/>
          <w:sz w:val="24"/>
          <w:szCs w:val="24"/>
          <w:highlight w:val="none"/>
        </w:rPr>
        <w:t>日</w:t>
      </w:r>
    </w:p>
    <w:p>
      <w:pPr>
        <w:spacing w:line="240" w:lineRule="auto"/>
        <w:rPr>
          <w:color w:val="auto"/>
          <w:highlight w:val="none"/>
        </w:rPr>
        <w:sectPr>
          <w:headerReference r:id="rId17" w:type="default"/>
          <w:footerReference r:id="rId18" w:type="default"/>
          <w:type w:val="continuous"/>
          <w:pgSz w:w="11905" w:h="16838"/>
          <w:pgMar w:top="1417" w:right="1417" w:bottom="1417" w:left="1417" w:header="0" w:footer="1134" w:gutter="0"/>
          <w:cols w:space="425" w:num="1"/>
        </w:sectPr>
      </w:pPr>
    </w:p>
    <w:p>
      <w:pPr>
        <w:spacing w:before="3" w:line="240" w:lineRule="auto"/>
        <w:ind w:right="13"/>
        <w:jc w:val="center"/>
        <w:outlineLvl w:val="9"/>
        <w:rPr>
          <w:rFonts w:ascii="宋体" w:hAnsi="宋体" w:eastAsia="宋体" w:cs="宋体"/>
          <w:b/>
          <w:bCs/>
          <w:color w:val="auto"/>
          <w:sz w:val="32"/>
          <w:szCs w:val="32"/>
          <w:highlight w:val="none"/>
        </w:rPr>
      </w:pPr>
      <w:bookmarkStart w:id="138" w:name="_Toc27869"/>
      <w:bookmarkStart w:id="139" w:name="_Toc3141"/>
      <w:r>
        <w:rPr>
          <w:rFonts w:hint="eastAsia" w:ascii="宋体" w:hAnsi="宋体" w:eastAsia="宋体" w:cs="宋体"/>
          <w:b/>
          <w:bCs/>
          <w:color w:val="auto"/>
          <w:sz w:val="32"/>
          <w:szCs w:val="32"/>
          <w:highlight w:val="none"/>
        </w:rPr>
        <w:t>二、开标一览表</w:t>
      </w:r>
      <w:bookmarkEnd w:id="138"/>
      <w:bookmarkEnd w:id="139"/>
    </w:p>
    <w:p>
      <w:pPr>
        <w:spacing w:before="136" w:line="240" w:lineRule="auto"/>
        <w:ind w:left="594"/>
        <w:rPr>
          <w:rFonts w:ascii="宋体" w:hAnsi="宋体" w:eastAsia="宋体" w:cs="宋体"/>
          <w:color w:val="auto"/>
          <w:spacing w:val="-2"/>
          <w:sz w:val="23"/>
          <w:szCs w:val="23"/>
          <w:highlight w:val="none"/>
        </w:rPr>
      </w:pPr>
    </w:p>
    <w:tbl>
      <w:tblPr>
        <w:tblStyle w:val="18"/>
        <w:tblW w:w="8649" w:type="dxa"/>
        <w:jc w:val="center"/>
        <w:tblLayout w:type="fixed"/>
        <w:tblCellMar>
          <w:top w:w="0" w:type="dxa"/>
          <w:left w:w="108" w:type="dxa"/>
          <w:bottom w:w="0" w:type="dxa"/>
          <w:right w:w="108" w:type="dxa"/>
        </w:tblCellMar>
      </w:tblPr>
      <w:tblGrid>
        <w:gridCol w:w="1587"/>
        <w:gridCol w:w="7062"/>
      </w:tblGrid>
      <w:tr>
        <w:tblPrEx>
          <w:tblCellMar>
            <w:top w:w="0" w:type="dxa"/>
            <w:left w:w="108" w:type="dxa"/>
            <w:bottom w:w="0" w:type="dxa"/>
            <w:right w:w="108" w:type="dxa"/>
          </w:tblCellMar>
        </w:tblPrEx>
        <w:trPr>
          <w:cantSplit/>
          <w:trHeight w:val="800" w:hRule="atLeast"/>
          <w:jc w:val="center"/>
        </w:trPr>
        <w:tc>
          <w:tcPr>
            <w:tcW w:w="1587" w:type="dxa"/>
            <w:tcBorders>
              <w:top w:val="single" w:color="000000" w:sz="4" w:space="0"/>
              <w:left w:val="single" w:color="000000" w:sz="4" w:space="0"/>
              <w:bottom w:val="single" w:color="000000" w:sz="4" w:space="0"/>
              <w:right w:val="single" w:color="000000" w:sz="4" w:space="0"/>
            </w:tcBorders>
            <w:vAlign w:val="center"/>
          </w:tcPr>
          <w:p>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项目名称</w:t>
            </w:r>
          </w:p>
        </w:tc>
        <w:tc>
          <w:tcPr>
            <w:tcW w:w="7062" w:type="dxa"/>
            <w:tcBorders>
              <w:top w:val="single" w:color="000000" w:sz="4" w:space="0"/>
              <w:left w:val="single" w:color="000000" w:sz="4" w:space="0"/>
              <w:bottom w:val="single" w:color="000000" w:sz="4" w:space="0"/>
              <w:right w:val="single" w:color="000000" w:sz="4" w:space="0"/>
            </w:tcBorders>
            <w:vAlign w:val="center"/>
          </w:tcPr>
          <w:p>
            <w:pPr>
              <w:spacing w:line="240" w:lineRule="auto"/>
              <w:ind w:right="13"/>
              <w:jc w:val="center"/>
              <w:rPr>
                <w:rFonts w:ascii="宋体" w:hAnsi="宋体" w:eastAsia="宋体" w:cs="宋体"/>
                <w:color w:val="auto"/>
                <w:spacing w:val="6"/>
                <w:sz w:val="24"/>
                <w:szCs w:val="24"/>
                <w:highlight w:val="none"/>
              </w:rPr>
            </w:pPr>
          </w:p>
        </w:tc>
      </w:tr>
      <w:tr>
        <w:tblPrEx>
          <w:tblCellMar>
            <w:top w:w="0" w:type="dxa"/>
            <w:left w:w="108" w:type="dxa"/>
            <w:bottom w:w="0" w:type="dxa"/>
            <w:right w:w="108" w:type="dxa"/>
          </w:tblCellMar>
        </w:tblPrEx>
        <w:trPr>
          <w:cantSplit/>
          <w:trHeight w:val="800" w:hRule="atLeast"/>
          <w:jc w:val="center"/>
        </w:trPr>
        <w:tc>
          <w:tcPr>
            <w:tcW w:w="1587" w:type="dxa"/>
            <w:tcBorders>
              <w:top w:val="single" w:color="000000" w:sz="4" w:space="0"/>
              <w:left w:val="single" w:color="000000" w:sz="4" w:space="0"/>
              <w:bottom w:val="single" w:color="000000" w:sz="4" w:space="0"/>
              <w:right w:val="single" w:color="000000" w:sz="4" w:space="0"/>
            </w:tcBorders>
            <w:vAlign w:val="center"/>
          </w:tcPr>
          <w:p>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项目编号</w:t>
            </w:r>
          </w:p>
        </w:tc>
        <w:tc>
          <w:tcPr>
            <w:tcW w:w="7062" w:type="dxa"/>
            <w:tcBorders>
              <w:top w:val="single" w:color="000000" w:sz="4" w:space="0"/>
              <w:left w:val="single" w:color="000000" w:sz="4" w:space="0"/>
              <w:bottom w:val="single" w:color="000000" w:sz="4" w:space="0"/>
              <w:right w:val="single" w:color="000000" w:sz="4" w:space="0"/>
            </w:tcBorders>
            <w:vAlign w:val="center"/>
          </w:tcPr>
          <w:p>
            <w:pPr>
              <w:spacing w:line="240" w:lineRule="auto"/>
              <w:ind w:right="13"/>
              <w:jc w:val="center"/>
              <w:rPr>
                <w:rFonts w:ascii="宋体" w:hAnsi="宋体" w:eastAsia="宋体" w:cs="宋体"/>
                <w:color w:val="auto"/>
                <w:spacing w:val="6"/>
                <w:sz w:val="24"/>
                <w:szCs w:val="24"/>
                <w:highlight w:val="none"/>
              </w:rPr>
            </w:pPr>
          </w:p>
        </w:tc>
      </w:tr>
      <w:tr>
        <w:tblPrEx>
          <w:tblCellMar>
            <w:top w:w="0" w:type="dxa"/>
            <w:left w:w="108" w:type="dxa"/>
            <w:bottom w:w="0" w:type="dxa"/>
            <w:right w:w="108" w:type="dxa"/>
          </w:tblCellMar>
        </w:tblPrEx>
        <w:trPr>
          <w:cantSplit/>
          <w:trHeight w:val="706" w:hRule="atLeast"/>
          <w:jc w:val="center"/>
        </w:trPr>
        <w:tc>
          <w:tcPr>
            <w:tcW w:w="1587" w:type="dxa"/>
            <w:tcBorders>
              <w:top w:val="single" w:color="000000" w:sz="4" w:space="0"/>
              <w:left w:val="single" w:color="000000" w:sz="4" w:space="0"/>
              <w:bottom w:val="single" w:color="000000" w:sz="4" w:space="0"/>
              <w:right w:val="single" w:color="000000" w:sz="4" w:space="0"/>
            </w:tcBorders>
            <w:vAlign w:val="center"/>
          </w:tcPr>
          <w:p>
            <w:pPr>
              <w:spacing w:line="240" w:lineRule="auto"/>
              <w:ind w:right="13"/>
              <w:jc w:val="center"/>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rPr>
              <w:t>投标</w:t>
            </w:r>
            <w:r>
              <w:rPr>
                <w:rFonts w:hint="eastAsia" w:ascii="宋体" w:hAnsi="宋体" w:eastAsia="宋体" w:cs="宋体"/>
                <w:color w:val="auto"/>
                <w:spacing w:val="6"/>
                <w:sz w:val="24"/>
                <w:szCs w:val="24"/>
                <w:highlight w:val="none"/>
                <w:lang w:val="en-US" w:eastAsia="zh-CN"/>
              </w:rPr>
              <w:t>报价</w:t>
            </w:r>
          </w:p>
        </w:tc>
        <w:tc>
          <w:tcPr>
            <w:tcW w:w="7062" w:type="dxa"/>
            <w:tcBorders>
              <w:top w:val="single" w:color="000000" w:sz="4" w:space="0"/>
              <w:left w:val="single" w:color="000000" w:sz="4" w:space="0"/>
              <w:bottom w:val="single" w:color="000000" w:sz="4" w:space="0"/>
              <w:right w:val="single" w:color="000000" w:sz="4" w:space="0"/>
            </w:tcBorders>
            <w:vAlign w:val="center"/>
          </w:tcPr>
          <w:p>
            <w:pPr>
              <w:spacing w:line="240" w:lineRule="auto"/>
              <w:ind w:right="13"/>
              <w:jc w:val="both"/>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小写：         </w:t>
            </w:r>
            <w:r>
              <w:rPr>
                <w:rFonts w:hint="eastAsia" w:ascii="宋体" w:hAnsi="宋体" w:eastAsia="宋体" w:cs="宋体"/>
                <w:color w:val="auto"/>
                <w:spacing w:val="6"/>
                <w:sz w:val="24"/>
                <w:szCs w:val="24"/>
                <w:highlight w:val="none"/>
                <w:lang w:val="en-US" w:eastAsia="zh-CN"/>
              </w:rPr>
              <w:t>元/套</w:t>
            </w:r>
            <w:r>
              <w:rPr>
                <w:rFonts w:hint="eastAsia" w:ascii="宋体" w:hAnsi="宋体" w:eastAsia="宋体" w:cs="宋体"/>
                <w:color w:val="auto"/>
                <w:spacing w:val="6"/>
                <w:sz w:val="24"/>
                <w:szCs w:val="24"/>
                <w:highlight w:val="none"/>
              </w:rPr>
              <w:t xml:space="preserve">         </w:t>
            </w:r>
          </w:p>
          <w:p>
            <w:pPr>
              <w:spacing w:line="240" w:lineRule="auto"/>
              <w:ind w:right="13"/>
              <w:jc w:val="both"/>
              <w:rPr>
                <w:rFonts w:hint="default"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大写：</w:t>
            </w:r>
            <w:r>
              <w:rPr>
                <w:rFonts w:hint="eastAsia" w:ascii="宋体" w:hAnsi="宋体" w:eastAsia="宋体" w:cs="宋体"/>
                <w:color w:val="auto"/>
                <w:spacing w:val="6"/>
                <w:sz w:val="24"/>
                <w:szCs w:val="24"/>
                <w:highlight w:val="none"/>
                <w:lang w:val="en-US" w:eastAsia="zh-CN"/>
              </w:rPr>
              <w:t xml:space="preserve">               元整/套</w:t>
            </w:r>
          </w:p>
        </w:tc>
      </w:tr>
      <w:tr>
        <w:tblPrEx>
          <w:tblCellMar>
            <w:top w:w="0" w:type="dxa"/>
            <w:left w:w="108" w:type="dxa"/>
            <w:bottom w:w="0" w:type="dxa"/>
            <w:right w:w="108" w:type="dxa"/>
          </w:tblCellMar>
        </w:tblPrEx>
        <w:trPr>
          <w:cantSplit/>
          <w:trHeight w:val="676" w:hRule="atLeast"/>
          <w:jc w:val="center"/>
        </w:trPr>
        <w:tc>
          <w:tcPr>
            <w:tcW w:w="8649"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ind w:right="13"/>
              <w:jc w:val="both"/>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备注：</w:t>
            </w:r>
          </w:p>
        </w:tc>
      </w:tr>
    </w:tbl>
    <w:p>
      <w:pPr>
        <w:spacing w:line="240" w:lineRule="auto"/>
        <w:rPr>
          <w:rFonts w:ascii="宋体" w:hAnsi="宋体" w:eastAsia="宋体" w:cs="宋体"/>
          <w:color w:val="auto"/>
          <w:spacing w:val="-2"/>
          <w:sz w:val="23"/>
          <w:szCs w:val="23"/>
          <w:highlight w:val="none"/>
        </w:rPr>
      </w:pPr>
    </w:p>
    <w:p>
      <w:pPr>
        <w:pStyle w:val="2"/>
        <w:spacing w:line="240" w:lineRule="auto"/>
        <w:rPr>
          <w:rFonts w:ascii="宋体" w:hAnsi="宋体" w:eastAsia="宋体" w:cs="宋体"/>
          <w:color w:val="auto"/>
          <w:spacing w:val="-2"/>
          <w:sz w:val="23"/>
          <w:szCs w:val="23"/>
          <w:highlight w:val="none"/>
        </w:rPr>
      </w:pPr>
    </w:p>
    <w:p>
      <w:pPr>
        <w:spacing w:before="89" w:line="240" w:lineRule="auto"/>
        <w:ind w:left="588"/>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注：报价应是最终招标人验收合格后的总价，包括完成本项目的一切费用。</w:t>
      </w:r>
    </w:p>
    <w:p>
      <w:pPr>
        <w:spacing w:before="76" w:line="240" w:lineRule="auto"/>
        <w:ind w:left="494" w:right="589" w:firstLine="1"/>
        <w:rPr>
          <w:rFonts w:ascii="宋体" w:hAnsi="宋体" w:eastAsia="宋体" w:cs="宋体"/>
          <w:color w:val="auto"/>
          <w:sz w:val="24"/>
          <w:szCs w:val="24"/>
          <w:highlight w:val="none"/>
        </w:rPr>
      </w:pPr>
    </w:p>
    <w:p>
      <w:pPr>
        <w:spacing w:before="76" w:line="240" w:lineRule="auto"/>
        <w:ind w:left="494" w:right="589" w:firstLine="1"/>
        <w:rPr>
          <w:rFonts w:ascii="宋体" w:hAnsi="宋体" w:eastAsia="宋体" w:cs="宋体"/>
          <w:color w:val="auto"/>
          <w:sz w:val="24"/>
          <w:szCs w:val="24"/>
          <w:highlight w:val="none"/>
        </w:rPr>
      </w:pPr>
    </w:p>
    <w:p>
      <w:pPr>
        <w:spacing w:before="76" w:line="240" w:lineRule="auto"/>
        <w:ind w:left="494" w:right="589" w:firstLine="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ascii="宋体" w:hAnsi="宋体" w:eastAsia="宋体" w:cs="宋体"/>
          <w:color w:val="auto"/>
          <w:spacing w:val="-1"/>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w:t>
      </w:r>
    </w:p>
    <w:p>
      <w:pPr>
        <w:spacing w:before="77" w:line="240" w:lineRule="auto"/>
        <w:ind w:left="49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 ：</w:t>
      </w:r>
      <w:r>
        <w:rPr>
          <w:rFonts w:ascii="宋体" w:hAnsi="宋体" w:eastAsia="宋体" w:cs="宋体"/>
          <w:color w:val="auto"/>
          <w:sz w:val="24"/>
          <w:szCs w:val="24"/>
          <w:highlight w:val="none"/>
          <w:u w:val="single"/>
        </w:rPr>
        <w:t xml:space="preserve">        </w:t>
      </w:r>
    </w:p>
    <w:p>
      <w:pPr>
        <w:spacing w:before="78" w:line="240" w:lineRule="auto"/>
        <w:ind w:left="535"/>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before="78" w:line="240" w:lineRule="auto"/>
        <w:ind w:left="1313"/>
        <w:rPr>
          <w:rFonts w:ascii="宋体" w:hAnsi="宋体" w:eastAsia="宋体" w:cs="宋体"/>
          <w:color w:val="auto"/>
          <w:sz w:val="23"/>
          <w:szCs w:val="23"/>
          <w:highlight w:val="none"/>
        </w:rPr>
      </w:pPr>
    </w:p>
    <w:p>
      <w:pPr>
        <w:spacing w:line="240" w:lineRule="auto"/>
        <w:rPr>
          <w:rFonts w:ascii="宋体" w:hAnsi="宋体" w:eastAsia="宋体" w:cs="宋体"/>
          <w:color w:val="auto"/>
          <w:spacing w:val="-2"/>
          <w:sz w:val="23"/>
          <w:szCs w:val="23"/>
          <w:highlight w:val="none"/>
        </w:rPr>
      </w:pPr>
    </w:p>
    <w:p>
      <w:pPr>
        <w:pStyle w:val="2"/>
        <w:spacing w:line="240" w:lineRule="auto"/>
        <w:rPr>
          <w:rFonts w:ascii="宋体" w:hAnsi="宋体" w:eastAsia="宋体" w:cs="宋体"/>
          <w:color w:val="auto"/>
          <w:spacing w:val="-2"/>
          <w:sz w:val="23"/>
          <w:szCs w:val="23"/>
          <w:highlight w:val="none"/>
        </w:rPr>
      </w:pPr>
    </w:p>
    <w:p>
      <w:pPr>
        <w:spacing w:line="240" w:lineRule="auto"/>
        <w:rPr>
          <w:rFonts w:ascii="宋体" w:hAnsi="宋体" w:eastAsia="宋体" w:cs="宋体"/>
          <w:color w:val="auto"/>
          <w:spacing w:val="-2"/>
          <w:sz w:val="23"/>
          <w:szCs w:val="23"/>
          <w:highlight w:val="none"/>
        </w:rPr>
      </w:pPr>
    </w:p>
    <w:p>
      <w:pPr>
        <w:spacing w:line="240" w:lineRule="auto"/>
        <w:rPr>
          <w:rFonts w:ascii="宋体" w:hAnsi="宋体" w:eastAsia="宋体" w:cs="宋体"/>
          <w:color w:val="auto"/>
          <w:spacing w:val="-2"/>
          <w:sz w:val="23"/>
          <w:szCs w:val="23"/>
          <w:highlight w:val="none"/>
        </w:rPr>
      </w:pPr>
    </w:p>
    <w:p>
      <w:pPr>
        <w:spacing w:line="240" w:lineRule="auto"/>
        <w:rPr>
          <w:rFonts w:ascii="宋体" w:hAnsi="宋体" w:eastAsia="宋体" w:cs="宋体"/>
          <w:color w:val="auto"/>
          <w:spacing w:val="-2"/>
          <w:sz w:val="23"/>
          <w:szCs w:val="23"/>
          <w:highlight w:val="none"/>
        </w:rPr>
      </w:pPr>
    </w:p>
    <w:p>
      <w:pPr>
        <w:spacing w:line="240" w:lineRule="auto"/>
        <w:rPr>
          <w:rFonts w:ascii="宋体" w:hAnsi="宋体" w:eastAsia="宋体" w:cs="宋体"/>
          <w:color w:val="auto"/>
          <w:spacing w:val="-2"/>
          <w:sz w:val="23"/>
          <w:szCs w:val="23"/>
          <w:highlight w:val="none"/>
        </w:rPr>
      </w:pPr>
    </w:p>
    <w:p>
      <w:pPr>
        <w:spacing w:line="240" w:lineRule="auto"/>
        <w:rPr>
          <w:rFonts w:ascii="宋体" w:hAnsi="宋体" w:eastAsia="宋体" w:cs="宋体"/>
          <w:color w:val="auto"/>
          <w:spacing w:val="-2"/>
          <w:sz w:val="23"/>
          <w:szCs w:val="23"/>
          <w:highlight w:val="none"/>
        </w:rPr>
      </w:pPr>
    </w:p>
    <w:p>
      <w:pPr>
        <w:spacing w:line="240" w:lineRule="auto"/>
        <w:rPr>
          <w:rFonts w:ascii="宋体" w:hAnsi="宋体" w:eastAsia="宋体" w:cs="宋体"/>
          <w:color w:val="auto"/>
          <w:spacing w:val="-2"/>
          <w:sz w:val="23"/>
          <w:szCs w:val="23"/>
          <w:highlight w:val="none"/>
        </w:rPr>
      </w:pPr>
    </w:p>
    <w:p>
      <w:pPr>
        <w:spacing w:line="240" w:lineRule="auto"/>
        <w:rPr>
          <w:rFonts w:ascii="宋体" w:hAnsi="宋体" w:eastAsia="宋体" w:cs="宋体"/>
          <w:color w:val="auto"/>
          <w:spacing w:val="-2"/>
          <w:sz w:val="23"/>
          <w:szCs w:val="23"/>
          <w:highlight w:val="none"/>
        </w:rPr>
      </w:pP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sectPr>
          <w:headerReference r:id="rId19" w:type="default"/>
          <w:footerReference r:id="rId20" w:type="default"/>
          <w:pgSz w:w="11905" w:h="16838"/>
          <w:pgMar w:top="1417" w:right="1417" w:bottom="1417" w:left="1417" w:header="0" w:footer="1134" w:gutter="0"/>
          <w:cols w:space="425" w:num="1"/>
        </w:sectPr>
      </w:pPr>
      <w:r>
        <w:rPr>
          <w:color w:val="auto"/>
          <w:highlight w:val="none"/>
        </w:rPr>
        <w:br w:type="page"/>
      </w:r>
    </w:p>
    <w:p>
      <w:pPr>
        <w:spacing w:before="3" w:line="240" w:lineRule="auto"/>
        <w:ind w:right="13"/>
        <w:jc w:val="center"/>
        <w:outlineLvl w:val="9"/>
        <w:rPr>
          <w:rFonts w:hint="eastAsia" w:ascii="宋体" w:hAnsi="宋体" w:eastAsia="宋体" w:cs="宋体"/>
          <w:b/>
          <w:bCs/>
          <w:color w:val="auto"/>
          <w:sz w:val="32"/>
          <w:szCs w:val="32"/>
          <w:highlight w:val="none"/>
          <w:lang w:eastAsia="zh-CN"/>
        </w:rPr>
      </w:pPr>
      <w:bookmarkStart w:id="140" w:name="_Toc4952"/>
      <w:bookmarkStart w:id="141" w:name="_Toc2115"/>
      <w:r>
        <w:rPr>
          <w:rFonts w:hint="eastAsia" w:ascii="宋体" w:hAnsi="宋体" w:eastAsia="宋体" w:cs="宋体"/>
          <w:b/>
          <w:bCs/>
          <w:color w:val="auto"/>
          <w:sz w:val="32"/>
          <w:szCs w:val="32"/>
          <w:highlight w:val="none"/>
          <w:lang w:eastAsia="zh-CN"/>
        </w:rPr>
        <w:t>三</w:t>
      </w:r>
      <w:r>
        <w:rPr>
          <w:rFonts w:hint="eastAsia" w:ascii="宋体" w:hAnsi="宋体" w:eastAsia="宋体" w:cs="宋体"/>
          <w:b/>
          <w:bCs/>
          <w:color w:val="auto"/>
          <w:sz w:val="32"/>
          <w:szCs w:val="32"/>
          <w:highlight w:val="none"/>
        </w:rPr>
        <w:t>、中小企业声明函/监狱企业相关证明材料/残疾人福利性 单位声明函</w:t>
      </w:r>
    </w:p>
    <w:p>
      <w:pPr>
        <w:spacing w:before="3" w:line="240" w:lineRule="auto"/>
        <w:ind w:right="13"/>
        <w:jc w:val="center"/>
        <w:outlineLvl w:val="9"/>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3</w:t>
      </w:r>
      <w:r>
        <w:rPr>
          <w:rFonts w:hint="eastAsia" w:ascii="宋体" w:hAnsi="宋体" w:eastAsia="宋体" w:cs="宋体"/>
          <w:b/>
          <w:bCs/>
          <w:color w:val="auto"/>
          <w:sz w:val="32"/>
          <w:szCs w:val="32"/>
          <w:highlight w:val="none"/>
        </w:rPr>
        <w:t>-1 中小企业声明函（货物类）</w:t>
      </w:r>
    </w:p>
    <w:p>
      <w:pPr>
        <w:spacing w:line="24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中小企业声明函（货物） 本公司（联合体）郑重声明，根据《政府采购促进中小 企业发展管理办法》（财库﹝2020﹞46 号）的规定，本公司 （联合体）参加</w:t>
      </w:r>
      <w:r>
        <w:rPr>
          <w:rFonts w:ascii="宋体" w:hAnsi="宋体" w:eastAsia="宋体" w:cs="宋体"/>
          <w:color w:val="auto"/>
          <w:sz w:val="24"/>
          <w:szCs w:val="24"/>
          <w:highlight w:val="none"/>
          <w:u w:val="single"/>
        </w:rPr>
        <w:t>（单位名称）</w:t>
      </w:r>
      <w:r>
        <w:rPr>
          <w:rFonts w:ascii="宋体" w:hAnsi="宋体" w:eastAsia="宋体" w:cs="宋体"/>
          <w:color w:val="auto"/>
          <w:sz w:val="24"/>
          <w:szCs w:val="24"/>
          <w:highlight w:val="none"/>
        </w:rPr>
        <w:t>的</w:t>
      </w:r>
      <w:r>
        <w:rPr>
          <w:rFonts w:ascii="宋体" w:hAnsi="宋体" w:eastAsia="宋体" w:cs="宋体"/>
          <w:color w:val="auto"/>
          <w:sz w:val="24"/>
          <w:szCs w:val="24"/>
          <w:highlight w:val="none"/>
          <w:u w:val="single"/>
        </w:rPr>
        <w:t>（项目名称）</w:t>
      </w:r>
      <w:r>
        <w:rPr>
          <w:rFonts w:ascii="宋体" w:hAnsi="宋体" w:eastAsia="宋体" w:cs="宋体"/>
          <w:color w:val="auto"/>
          <w:sz w:val="24"/>
          <w:szCs w:val="24"/>
          <w:highlight w:val="none"/>
        </w:rPr>
        <w:t xml:space="preserve">采购活动，提供的货物全部由符合政策要求的中小企业制造。相关企业 （含联合体中的中小企业、签订分包意向协议的中小企业） 的具体情况如下： </w:t>
      </w:r>
    </w:p>
    <w:p>
      <w:pPr>
        <w:numPr>
          <w:ilvl w:val="0"/>
          <w:numId w:val="4"/>
        </w:numPr>
        <w:spacing w:line="24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u w:val="single"/>
        </w:rPr>
        <w:t>（标的名称）</w:t>
      </w:r>
      <w:r>
        <w:rPr>
          <w:rFonts w:ascii="宋体" w:hAnsi="宋体" w:eastAsia="宋体" w:cs="宋体"/>
          <w:color w:val="auto"/>
          <w:sz w:val="24"/>
          <w:szCs w:val="24"/>
          <w:highlight w:val="none"/>
        </w:rPr>
        <w:t xml:space="preserve"> ，属于（</w:t>
      </w:r>
      <w:r>
        <w:rPr>
          <w:rFonts w:ascii="宋体" w:hAnsi="宋体" w:eastAsia="宋体" w:cs="宋体"/>
          <w:color w:val="auto"/>
          <w:sz w:val="24"/>
          <w:szCs w:val="24"/>
          <w:highlight w:val="none"/>
          <w:u w:val="single"/>
        </w:rPr>
        <w:t xml:space="preserve">采购文件中明确的所属行业） </w:t>
      </w:r>
      <w:r>
        <w:rPr>
          <w:rFonts w:ascii="宋体" w:hAnsi="宋体" w:eastAsia="宋体" w:cs="宋体"/>
          <w:color w:val="auto"/>
          <w:sz w:val="24"/>
          <w:szCs w:val="24"/>
          <w:highlight w:val="none"/>
        </w:rPr>
        <w:t>行业；制造商为</w:t>
      </w:r>
      <w:r>
        <w:rPr>
          <w:rFonts w:ascii="宋体" w:hAnsi="宋体" w:eastAsia="宋体" w:cs="宋体"/>
          <w:color w:val="auto"/>
          <w:sz w:val="24"/>
          <w:szCs w:val="24"/>
          <w:highlight w:val="none"/>
          <w:u w:val="single"/>
        </w:rPr>
        <w:t>（企业名称）</w:t>
      </w:r>
      <w:r>
        <w:rPr>
          <w:rFonts w:ascii="宋体" w:hAnsi="宋体" w:eastAsia="宋体" w:cs="宋体"/>
          <w:color w:val="auto"/>
          <w:sz w:val="24"/>
          <w:szCs w:val="24"/>
          <w:highlight w:val="none"/>
        </w:rPr>
        <w:t>，从业人员</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人，营业收入为</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万元，资产总额为</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万元，属于</w:t>
      </w:r>
      <w:r>
        <w:rPr>
          <w:rFonts w:ascii="宋体" w:hAnsi="宋体" w:eastAsia="宋体" w:cs="宋体"/>
          <w:color w:val="auto"/>
          <w:sz w:val="24"/>
          <w:szCs w:val="24"/>
          <w:highlight w:val="none"/>
          <w:u w:val="single"/>
        </w:rPr>
        <w:t>（中型企业、小 型企业、微型企业）</w:t>
      </w:r>
      <w:r>
        <w:rPr>
          <w:rFonts w:ascii="宋体" w:hAnsi="宋体" w:eastAsia="宋体" w:cs="宋体"/>
          <w:color w:val="auto"/>
          <w:sz w:val="24"/>
          <w:szCs w:val="24"/>
          <w:highlight w:val="none"/>
        </w:rPr>
        <w:t xml:space="preserve">； </w:t>
      </w:r>
    </w:p>
    <w:p>
      <w:pPr>
        <w:numPr>
          <w:ilvl w:val="0"/>
          <w:numId w:val="4"/>
        </w:numPr>
        <w:spacing w:line="24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u w:val="single"/>
        </w:rPr>
        <w:t>（标的名称）</w:t>
      </w:r>
      <w:r>
        <w:rPr>
          <w:rFonts w:ascii="宋体" w:hAnsi="宋体" w:eastAsia="宋体" w:cs="宋体"/>
          <w:color w:val="auto"/>
          <w:sz w:val="24"/>
          <w:szCs w:val="24"/>
          <w:highlight w:val="none"/>
        </w:rPr>
        <w:t xml:space="preserve"> ，属于</w:t>
      </w:r>
      <w:r>
        <w:rPr>
          <w:rFonts w:ascii="宋体" w:hAnsi="宋体" w:eastAsia="宋体" w:cs="宋体"/>
          <w:color w:val="auto"/>
          <w:sz w:val="24"/>
          <w:szCs w:val="24"/>
          <w:highlight w:val="none"/>
          <w:u w:val="single"/>
        </w:rPr>
        <w:t>（采购文件中明确的所属行业）</w:t>
      </w:r>
      <w:r>
        <w:rPr>
          <w:rFonts w:ascii="宋体" w:hAnsi="宋体" w:eastAsia="宋体" w:cs="宋体"/>
          <w:color w:val="auto"/>
          <w:sz w:val="24"/>
          <w:szCs w:val="24"/>
          <w:highlight w:val="none"/>
        </w:rPr>
        <w:t xml:space="preserve"> 行业；制造商为（</w:t>
      </w:r>
      <w:r>
        <w:rPr>
          <w:rFonts w:ascii="宋体" w:hAnsi="宋体" w:eastAsia="宋体" w:cs="宋体"/>
          <w:color w:val="auto"/>
          <w:sz w:val="24"/>
          <w:szCs w:val="24"/>
          <w:highlight w:val="none"/>
          <w:u w:val="single"/>
        </w:rPr>
        <w:t>企业名称）</w:t>
      </w:r>
      <w:r>
        <w:rPr>
          <w:rFonts w:ascii="宋体" w:hAnsi="宋体" w:eastAsia="宋体" w:cs="宋体"/>
          <w:color w:val="auto"/>
          <w:sz w:val="24"/>
          <w:szCs w:val="24"/>
          <w:highlight w:val="none"/>
        </w:rPr>
        <w:t>，从业人员</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人，营业收入为</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万元，资产总额为</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万元，属于</w:t>
      </w:r>
      <w:r>
        <w:rPr>
          <w:rFonts w:ascii="宋体" w:hAnsi="宋体" w:eastAsia="宋体" w:cs="宋体"/>
          <w:color w:val="auto"/>
          <w:sz w:val="24"/>
          <w:szCs w:val="24"/>
          <w:highlight w:val="none"/>
          <w:u w:val="single"/>
        </w:rPr>
        <w:t>（中型企业、小型 企业、微型企业）</w:t>
      </w:r>
      <w:r>
        <w:rPr>
          <w:rFonts w:ascii="宋体" w:hAnsi="宋体" w:eastAsia="宋体" w:cs="宋体"/>
          <w:color w:val="auto"/>
          <w:sz w:val="24"/>
          <w:szCs w:val="24"/>
          <w:highlight w:val="none"/>
        </w:rPr>
        <w:t xml:space="preserve">； </w:t>
      </w:r>
    </w:p>
    <w:p>
      <w:pPr>
        <w:spacing w:line="24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p>
      <w:pPr>
        <w:spacing w:line="240" w:lineRule="auto"/>
        <w:ind w:firstLine="480" w:firstLineChars="200"/>
        <w:rPr>
          <w:color w:val="auto"/>
          <w:highlight w:val="none"/>
        </w:rPr>
      </w:pPr>
      <w:r>
        <w:rPr>
          <w:rFonts w:ascii="宋体" w:hAnsi="宋体" w:eastAsia="宋体" w:cs="宋体"/>
          <w:color w:val="auto"/>
          <w:sz w:val="24"/>
          <w:szCs w:val="24"/>
          <w:highlight w:val="none"/>
        </w:rPr>
        <w:t xml:space="preserve"> 以上企业，不属于大企业的分支机构，不存在控股股东为大企业的情形，也不存在与大企业的负责人为同一人的情形。 本企业对上述声明内容的真实性负责。如有虚假，将依法承担相应责任。</w:t>
      </w:r>
    </w:p>
    <w:p>
      <w:pPr>
        <w:spacing w:before="76" w:line="240" w:lineRule="auto"/>
        <w:ind w:left="494" w:right="589" w:firstLine="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w:t>
      </w:r>
      <w:r>
        <w:rPr>
          <w:rFonts w:ascii="宋体" w:hAnsi="宋体" w:eastAsia="宋体" w:cs="宋体"/>
          <w:color w:val="auto"/>
          <w:spacing w:val="-1"/>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w:t>
      </w:r>
    </w:p>
    <w:p>
      <w:pPr>
        <w:spacing w:before="78" w:line="240" w:lineRule="auto"/>
        <w:ind w:left="535"/>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240" w:lineRule="auto"/>
        <w:rPr>
          <w:color w:val="auto"/>
          <w:highlight w:val="none"/>
        </w:rPr>
      </w:pPr>
    </w:p>
    <w:p>
      <w:pPr>
        <w:spacing w:before="3" w:line="240" w:lineRule="auto"/>
        <w:ind w:left="23" w:right="13" w:firstLine="482"/>
        <w:rPr>
          <w:rFonts w:ascii="宋体" w:hAnsi="宋体" w:eastAsia="宋体" w:cs="宋体"/>
          <w:b/>
          <w:bCs/>
          <w:color w:val="auto"/>
          <w:sz w:val="23"/>
          <w:szCs w:val="23"/>
          <w:highlight w:val="none"/>
        </w:rPr>
      </w:pPr>
    </w:p>
    <w:p>
      <w:pPr>
        <w:spacing w:before="3" w:line="240" w:lineRule="auto"/>
        <w:ind w:left="23" w:right="13" w:firstLine="482"/>
        <w:rPr>
          <w:rFonts w:ascii="宋体" w:hAnsi="宋体" w:eastAsia="宋体" w:cs="宋体"/>
          <w:b/>
          <w:bCs/>
          <w:color w:val="auto"/>
          <w:sz w:val="23"/>
          <w:szCs w:val="23"/>
          <w:highlight w:val="none"/>
        </w:rPr>
      </w:pPr>
    </w:p>
    <w:p>
      <w:pPr>
        <w:spacing w:before="3" w:line="240" w:lineRule="auto"/>
        <w:ind w:left="23" w:right="13"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注：1.从业人员、营业收入、资产总额填报上一年度数据，无上一年度数据的新成立企业可不填报。</w:t>
      </w:r>
    </w:p>
    <w:p>
      <w:pPr>
        <w:spacing w:before="3" w:line="240" w:lineRule="auto"/>
        <w:ind w:left="23" w:right="13" w:firstLine="482"/>
        <w:rPr>
          <w:rFonts w:ascii="宋体" w:hAnsi="宋体" w:eastAsia="宋体" w:cs="宋体"/>
          <w:b/>
          <w:bCs/>
          <w:color w:val="auto"/>
          <w:sz w:val="23"/>
          <w:szCs w:val="23"/>
          <w:highlight w:val="none"/>
        </w:rPr>
      </w:pPr>
      <w:r>
        <w:rPr>
          <w:rFonts w:hint="eastAsia" w:ascii="宋体" w:hAnsi="宋体" w:eastAsia="宋体" w:cs="宋体"/>
          <w:b/>
          <w:bCs/>
          <w:color w:val="auto"/>
          <w:sz w:val="24"/>
          <w:szCs w:val="24"/>
          <w:highlight w:val="none"/>
        </w:rPr>
        <w:t>2.本项目标的名称、所属行业详见第二章投标人须知附表。</w:t>
      </w:r>
    </w:p>
    <w:p>
      <w:pPr>
        <w:spacing w:line="240" w:lineRule="auto"/>
        <w:rPr>
          <w:color w:val="auto"/>
          <w:highlight w:val="none"/>
        </w:rPr>
        <w:sectPr>
          <w:headerReference r:id="rId21" w:type="default"/>
          <w:footerReference r:id="rId22" w:type="default"/>
          <w:pgSz w:w="11905" w:h="16838"/>
          <w:pgMar w:top="1417" w:right="1417" w:bottom="1417" w:left="1417" w:header="0" w:footer="1134" w:gutter="0"/>
          <w:cols w:space="425" w:num="1"/>
        </w:sectPr>
      </w:pPr>
    </w:p>
    <w:p>
      <w:pPr>
        <w:spacing w:before="3" w:line="240" w:lineRule="auto"/>
        <w:ind w:right="13"/>
        <w:jc w:val="center"/>
        <w:outlineLvl w:val="9"/>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3</w:t>
      </w:r>
      <w:r>
        <w:rPr>
          <w:rFonts w:hint="eastAsia" w:ascii="宋体" w:hAnsi="宋体" w:eastAsia="宋体" w:cs="宋体"/>
          <w:b/>
          <w:bCs/>
          <w:color w:val="auto"/>
          <w:sz w:val="32"/>
          <w:szCs w:val="32"/>
          <w:highlight w:val="none"/>
        </w:rPr>
        <w:t>-2 监狱企业相关证明材料</w:t>
      </w:r>
    </w:p>
    <w:p>
      <w:pPr>
        <w:spacing w:line="240" w:lineRule="auto"/>
        <w:ind w:left="23" w:firstLine="482"/>
        <w:rPr>
          <w:rFonts w:ascii="宋体" w:hAnsi="宋体" w:eastAsia="宋体" w:cs="宋体"/>
          <w:color w:val="auto"/>
          <w:sz w:val="23"/>
          <w:szCs w:val="23"/>
          <w:highlight w:val="none"/>
        </w:rPr>
      </w:pPr>
    </w:p>
    <w:p>
      <w:pPr>
        <w:spacing w:line="240" w:lineRule="auto"/>
        <w:ind w:left="23" w:firstLine="482"/>
        <w:rPr>
          <w:rFonts w:ascii="宋体" w:hAnsi="宋体" w:eastAsia="宋体" w:cs="宋体"/>
          <w:color w:val="auto"/>
          <w:sz w:val="23"/>
          <w:szCs w:val="23"/>
          <w:highlight w:val="none"/>
        </w:rPr>
      </w:pPr>
    </w:p>
    <w:p>
      <w:pPr>
        <w:spacing w:line="240" w:lineRule="auto"/>
        <w:ind w:left="2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spacing w:line="240" w:lineRule="auto"/>
        <w:ind w:left="2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根据《财政部司法部关于政府采购支持监狱企业发展有关问题的通知》财库〔2014〕68号文的规定，监狱企业参加采购活动时，应当提供由省级以上监狱管理局、戒毒管理局（含新疆生产建设兵团）出具的属于监狱企业的证明文件。</w:t>
      </w:r>
    </w:p>
    <w:p>
      <w:pPr>
        <w:spacing w:line="240" w:lineRule="auto"/>
        <w:ind w:left="2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在采购活动中，监狱企业视同小型、微型企业，享受预留份额、评审中价格扣除等政府采购促进中小企业发展的政府采购政策。</w:t>
      </w:r>
    </w:p>
    <w:p>
      <w:pPr>
        <w:spacing w:line="240" w:lineRule="auto"/>
        <w:ind w:left="2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3.如未提供监狱企业相关证明材料的，则不能享受采购文件规定的价格扣除，但不影响供应商文件的有效性。</w:t>
      </w:r>
    </w:p>
    <w:p>
      <w:pPr>
        <w:spacing w:line="240" w:lineRule="auto"/>
        <w:ind w:left="23" w:firstLine="482"/>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4.非监狱企业参加本次采购活动，无需提供本证明材料。</w:t>
      </w:r>
    </w:p>
    <w:p>
      <w:pPr>
        <w:spacing w:line="240" w:lineRule="auto"/>
        <w:rPr>
          <w:color w:val="auto"/>
          <w:highlight w:val="none"/>
        </w:rPr>
        <w:sectPr>
          <w:headerReference r:id="rId23" w:type="default"/>
          <w:footerReference r:id="rId24" w:type="default"/>
          <w:pgSz w:w="11905" w:h="16838"/>
          <w:pgMar w:top="1417" w:right="1417" w:bottom="1417" w:left="1417" w:header="0" w:footer="1134" w:gutter="0"/>
          <w:cols w:space="425" w:num="1"/>
        </w:sectPr>
      </w:pPr>
    </w:p>
    <w:p>
      <w:pPr>
        <w:spacing w:before="3" w:line="240" w:lineRule="auto"/>
        <w:ind w:right="13"/>
        <w:jc w:val="center"/>
        <w:outlineLvl w:val="9"/>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3</w:t>
      </w:r>
      <w:r>
        <w:rPr>
          <w:rFonts w:hint="eastAsia" w:ascii="宋体" w:hAnsi="宋体" w:eastAsia="宋体" w:cs="宋体"/>
          <w:b/>
          <w:bCs/>
          <w:color w:val="auto"/>
          <w:sz w:val="32"/>
          <w:szCs w:val="32"/>
          <w:highlight w:val="none"/>
        </w:rPr>
        <w:t>-3 残疾人福利性单位声明函</w:t>
      </w: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240" w:lineRule="auto"/>
        <w:ind w:firstLine="504" w:firstLineChars="200"/>
        <w:rPr>
          <w:rFonts w:ascii="宋体" w:hAnsi="宋体" w:eastAsia="宋体" w:cs="宋体"/>
          <w:color w:val="auto"/>
          <w:sz w:val="23"/>
          <w:szCs w:val="23"/>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pPr>
        <w:spacing w:line="240" w:lineRule="auto"/>
        <w:ind w:left="23" w:firstLine="482"/>
        <w:jc w:val="right"/>
        <w:rPr>
          <w:rFonts w:ascii="宋体" w:hAnsi="宋体" w:eastAsia="宋体" w:cs="宋体"/>
          <w:color w:val="auto"/>
          <w:sz w:val="23"/>
          <w:szCs w:val="23"/>
          <w:highlight w:val="none"/>
        </w:rPr>
      </w:pP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line="240" w:lineRule="auto"/>
        <w:jc w:val="right"/>
        <w:rPr>
          <w:rFonts w:ascii="宋体" w:hAnsi="宋体" w:eastAsia="宋体" w:cs="宋体"/>
          <w:color w:val="auto"/>
          <w:sz w:val="24"/>
          <w:highlight w:val="none"/>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（盖单位公章）</w:t>
      </w:r>
    </w:p>
    <w:p>
      <w:pPr>
        <w:spacing w:line="240" w:lineRule="auto"/>
        <w:jc w:val="center"/>
        <w:rPr>
          <w:rFonts w:ascii="宋体" w:hAnsi="宋体" w:eastAsia="宋体" w:cs="宋体"/>
          <w:b/>
          <w:bCs/>
          <w:color w:val="auto"/>
          <w:sz w:val="24"/>
          <w:highlight w:val="none"/>
        </w:rPr>
      </w:pPr>
      <w:r>
        <w:rPr>
          <w:rFonts w:hint="eastAsia" w:ascii="宋体" w:hAnsi="宋体" w:eastAsia="宋体" w:cs="宋体"/>
          <w:color w:val="auto"/>
          <w:sz w:val="24"/>
          <w:highlight w:val="none"/>
        </w:rPr>
        <w:t xml:space="preserve">                           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spacing w:line="240" w:lineRule="auto"/>
        <w:rPr>
          <w:color w:val="auto"/>
          <w:highlight w:val="none"/>
        </w:rPr>
        <w:sectPr>
          <w:headerReference r:id="rId25" w:type="default"/>
          <w:footerReference r:id="rId26" w:type="default"/>
          <w:pgSz w:w="11905" w:h="16838"/>
          <w:pgMar w:top="1417" w:right="1417" w:bottom="1417" w:left="1417" w:header="0" w:footer="1134" w:gutter="0"/>
          <w:cols w:space="425" w:num="1"/>
        </w:sectPr>
      </w:pPr>
    </w:p>
    <w:p>
      <w:pPr>
        <w:spacing w:before="3" w:line="240" w:lineRule="auto"/>
        <w:ind w:right="13"/>
        <w:jc w:val="center"/>
        <w:outlineLvl w:val="9"/>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t>四</w:t>
      </w:r>
      <w:r>
        <w:rPr>
          <w:rFonts w:hint="eastAsia" w:ascii="宋体" w:hAnsi="宋体" w:eastAsia="宋体" w:cs="宋体"/>
          <w:b/>
          <w:bCs/>
          <w:color w:val="auto"/>
          <w:sz w:val="32"/>
          <w:szCs w:val="32"/>
          <w:highlight w:val="none"/>
        </w:rPr>
        <w:t>、商务应答表</w:t>
      </w:r>
      <w:bookmarkEnd w:id="140"/>
      <w:bookmarkEnd w:id="141"/>
    </w:p>
    <w:p>
      <w:pPr>
        <w:spacing w:line="240" w:lineRule="auto"/>
        <w:rPr>
          <w:color w:val="auto"/>
          <w:highlight w:val="none"/>
        </w:rPr>
      </w:pPr>
    </w:p>
    <w:p>
      <w:pPr>
        <w:spacing w:before="75" w:line="240" w:lineRule="auto"/>
        <w:rPr>
          <w:rFonts w:ascii="宋体" w:hAnsi="宋体" w:eastAsia="宋体" w:cs="宋体"/>
          <w:color w:val="auto"/>
          <w:sz w:val="23"/>
          <w:szCs w:val="23"/>
          <w:highlight w:val="none"/>
          <w:u w:val="single"/>
        </w:rPr>
      </w:pPr>
      <w:r>
        <w:rPr>
          <w:rFonts w:hint="eastAsia" w:ascii="宋体" w:hAnsi="宋体" w:eastAsia="宋体" w:cs="宋体"/>
          <w:color w:val="auto"/>
          <w:spacing w:val="6"/>
          <w:sz w:val="24"/>
          <w:szCs w:val="24"/>
          <w:highlight w:val="none"/>
        </w:rPr>
        <w:t>项目名称：</w:t>
      </w:r>
      <w:r>
        <w:rPr>
          <w:rFonts w:ascii="宋体" w:hAnsi="宋体" w:eastAsia="宋体" w:cs="宋体"/>
          <w:color w:val="auto"/>
          <w:spacing w:val="-2"/>
          <w:sz w:val="24"/>
          <w:szCs w:val="24"/>
          <w:highlight w:val="none"/>
          <w:u w:val="single"/>
        </w:rPr>
        <w:t xml:space="preserve">           </w:t>
      </w:r>
      <w:r>
        <w:rPr>
          <w:rFonts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6"/>
          <w:sz w:val="24"/>
          <w:szCs w:val="24"/>
          <w:highlight w:val="none"/>
        </w:rPr>
        <w:t>招标编号：</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3"/>
          <w:szCs w:val="23"/>
          <w:highlight w:val="none"/>
        </w:rPr>
        <w:t xml:space="preserve">  </w:t>
      </w:r>
    </w:p>
    <w:tbl>
      <w:tblPr>
        <w:tblStyle w:val="23"/>
        <w:tblW w:w="86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0"/>
        <w:gridCol w:w="2049"/>
        <w:gridCol w:w="2859"/>
        <w:gridCol w:w="29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30" w:type="dxa"/>
          </w:tcPr>
          <w:p>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序号</w:t>
            </w:r>
          </w:p>
        </w:tc>
        <w:tc>
          <w:tcPr>
            <w:tcW w:w="2049" w:type="dxa"/>
          </w:tcPr>
          <w:p>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招标文件要求</w:t>
            </w:r>
          </w:p>
        </w:tc>
        <w:tc>
          <w:tcPr>
            <w:tcW w:w="2859" w:type="dxa"/>
          </w:tcPr>
          <w:p>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投标文件要求</w:t>
            </w:r>
          </w:p>
        </w:tc>
        <w:tc>
          <w:tcPr>
            <w:tcW w:w="2979" w:type="dxa"/>
          </w:tcPr>
          <w:p>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偏离及其影响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30" w:type="dxa"/>
          </w:tcPr>
          <w:p>
            <w:pPr>
              <w:spacing w:line="240" w:lineRule="auto"/>
              <w:rPr>
                <w:color w:val="auto"/>
                <w:sz w:val="24"/>
                <w:szCs w:val="24"/>
                <w:highlight w:val="none"/>
              </w:rPr>
            </w:pPr>
          </w:p>
        </w:tc>
        <w:tc>
          <w:tcPr>
            <w:tcW w:w="2049" w:type="dxa"/>
          </w:tcPr>
          <w:p>
            <w:pPr>
              <w:spacing w:line="240" w:lineRule="auto"/>
              <w:rPr>
                <w:color w:val="auto"/>
                <w:sz w:val="24"/>
                <w:szCs w:val="24"/>
                <w:highlight w:val="none"/>
              </w:rPr>
            </w:pPr>
          </w:p>
        </w:tc>
        <w:tc>
          <w:tcPr>
            <w:tcW w:w="2859" w:type="dxa"/>
          </w:tcPr>
          <w:p>
            <w:pPr>
              <w:spacing w:line="240" w:lineRule="auto"/>
              <w:rPr>
                <w:color w:val="auto"/>
                <w:sz w:val="24"/>
                <w:szCs w:val="24"/>
                <w:highlight w:val="none"/>
              </w:rPr>
            </w:pPr>
          </w:p>
        </w:tc>
        <w:tc>
          <w:tcPr>
            <w:tcW w:w="2979" w:type="dxa"/>
          </w:tcPr>
          <w:p>
            <w:pPr>
              <w:spacing w:line="240" w:lineRule="auto"/>
              <w:rPr>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30" w:type="dxa"/>
          </w:tcPr>
          <w:p>
            <w:pPr>
              <w:spacing w:line="240" w:lineRule="auto"/>
              <w:rPr>
                <w:color w:val="auto"/>
                <w:sz w:val="24"/>
                <w:szCs w:val="24"/>
                <w:highlight w:val="none"/>
              </w:rPr>
            </w:pPr>
          </w:p>
        </w:tc>
        <w:tc>
          <w:tcPr>
            <w:tcW w:w="2049" w:type="dxa"/>
          </w:tcPr>
          <w:p>
            <w:pPr>
              <w:spacing w:line="240" w:lineRule="auto"/>
              <w:rPr>
                <w:color w:val="auto"/>
                <w:sz w:val="24"/>
                <w:szCs w:val="24"/>
                <w:highlight w:val="none"/>
              </w:rPr>
            </w:pPr>
          </w:p>
        </w:tc>
        <w:tc>
          <w:tcPr>
            <w:tcW w:w="2859" w:type="dxa"/>
          </w:tcPr>
          <w:p>
            <w:pPr>
              <w:spacing w:line="240" w:lineRule="auto"/>
              <w:rPr>
                <w:color w:val="auto"/>
                <w:sz w:val="24"/>
                <w:szCs w:val="24"/>
                <w:highlight w:val="none"/>
              </w:rPr>
            </w:pPr>
          </w:p>
        </w:tc>
        <w:tc>
          <w:tcPr>
            <w:tcW w:w="2979" w:type="dxa"/>
          </w:tcPr>
          <w:p>
            <w:pPr>
              <w:spacing w:line="240" w:lineRule="auto"/>
              <w:rPr>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30" w:type="dxa"/>
          </w:tcPr>
          <w:p>
            <w:pPr>
              <w:spacing w:line="240" w:lineRule="auto"/>
              <w:rPr>
                <w:color w:val="auto"/>
                <w:sz w:val="24"/>
                <w:szCs w:val="24"/>
                <w:highlight w:val="none"/>
              </w:rPr>
            </w:pPr>
          </w:p>
        </w:tc>
        <w:tc>
          <w:tcPr>
            <w:tcW w:w="2049" w:type="dxa"/>
          </w:tcPr>
          <w:p>
            <w:pPr>
              <w:spacing w:line="240" w:lineRule="auto"/>
              <w:rPr>
                <w:color w:val="auto"/>
                <w:sz w:val="24"/>
                <w:szCs w:val="24"/>
                <w:highlight w:val="none"/>
              </w:rPr>
            </w:pPr>
          </w:p>
        </w:tc>
        <w:tc>
          <w:tcPr>
            <w:tcW w:w="2859" w:type="dxa"/>
          </w:tcPr>
          <w:p>
            <w:pPr>
              <w:spacing w:line="240" w:lineRule="auto"/>
              <w:rPr>
                <w:color w:val="auto"/>
                <w:sz w:val="24"/>
                <w:szCs w:val="24"/>
                <w:highlight w:val="none"/>
              </w:rPr>
            </w:pPr>
          </w:p>
        </w:tc>
        <w:tc>
          <w:tcPr>
            <w:tcW w:w="2979" w:type="dxa"/>
          </w:tcPr>
          <w:p>
            <w:pPr>
              <w:spacing w:line="240" w:lineRule="auto"/>
              <w:rPr>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30" w:type="dxa"/>
          </w:tcPr>
          <w:p>
            <w:pPr>
              <w:spacing w:line="240" w:lineRule="auto"/>
              <w:rPr>
                <w:color w:val="auto"/>
                <w:sz w:val="24"/>
                <w:szCs w:val="24"/>
                <w:highlight w:val="none"/>
              </w:rPr>
            </w:pPr>
          </w:p>
        </w:tc>
        <w:tc>
          <w:tcPr>
            <w:tcW w:w="2049" w:type="dxa"/>
          </w:tcPr>
          <w:p>
            <w:pPr>
              <w:spacing w:line="240" w:lineRule="auto"/>
              <w:rPr>
                <w:color w:val="auto"/>
                <w:sz w:val="24"/>
                <w:szCs w:val="24"/>
                <w:highlight w:val="none"/>
              </w:rPr>
            </w:pPr>
          </w:p>
        </w:tc>
        <w:tc>
          <w:tcPr>
            <w:tcW w:w="2859" w:type="dxa"/>
          </w:tcPr>
          <w:p>
            <w:pPr>
              <w:spacing w:line="240" w:lineRule="auto"/>
              <w:rPr>
                <w:color w:val="auto"/>
                <w:sz w:val="24"/>
                <w:szCs w:val="24"/>
                <w:highlight w:val="none"/>
              </w:rPr>
            </w:pPr>
          </w:p>
        </w:tc>
        <w:tc>
          <w:tcPr>
            <w:tcW w:w="2979" w:type="dxa"/>
          </w:tcPr>
          <w:p>
            <w:pPr>
              <w:spacing w:line="240" w:lineRule="auto"/>
              <w:rPr>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30" w:type="dxa"/>
          </w:tcPr>
          <w:p>
            <w:pPr>
              <w:spacing w:line="240" w:lineRule="auto"/>
              <w:rPr>
                <w:color w:val="auto"/>
                <w:sz w:val="24"/>
                <w:szCs w:val="24"/>
                <w:highlight w:val="none"/>
              </w:rPr>
            </w:pPr>
          </w:p>
        </w:tc>
        <w:tc>
          <w:tcPr>
            <w:tcW w:w="2049" w:type="dxa"/>
          </w:tcPr>
          <w:p>
            <w:pPr>
              <w:spacing w:line="240" w:lineRule="auto"/>
              <w:rPr>
                <w:color w:val="auto"/>
                <w:sz w:val="24"/>
                <w:szCs w:val="24"/>
                <w:highlight w:val="none"/>
              </w:rPr>
            </w:pPr>
          </w:p>
        </w:tc>
        <w:tc>
          <w:tcPr>
            <w:tcW w:w="2859" w:type="dxa"/>
          </w:tcPr>
          <w:p>
            <w:pPr>
              <w:spacing w:line="240" w:lineRule="auto"/>
              <w:rPr>
                <w:color w:val="auto"/>
                <w:sz w:val="24"/>
                <w:szCs w:val="24"/>
                <w:highlight w:val="none"/>
              </w:rPr>
            </w:pPr>
          </w:p>
        </w:tc>
        <w:tc>
          <w:tcPr>
            <w:tcW w:w="2979" w:type="dxa"/>
          </w:tcPr>
          <w:p>
            <w:pPr>
              <w:spacing w:line="240" w:lineRule="auto"/>
              <w:rPr>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30" w:type="dxa"/>
          </w:tcPr>
          <w:p>
            <w:pPr>
              <w:spacing w:line="240" w:lineRule="auto"/>
              <w:rPr>
                <w:color w:val="auto"/>
                <w:sz w:val="24"/>
                <w:szCs w:val="24"/>
                <w:highlight w:val="none"/>
              </w:rPr>
            </w:pPr>
          </w:p>
        </w:tc>
        <w:tc>
          <w:tcPr>
            <w:tcW w:w="2049" w:type="dxa"/>
          </w:tcPr>
          <w:p>
            <w:pPr>
              <w:spacing w:line="240" w:lineRule="auto"/>
              <w:rPr>
                <w:color w:val="auto"/>
                <w:sz w:val="24"/>
                <w:szCs w:val="24"/>
                <w:highlight w:val="none"/>
              </w:rPr>
            </w:pPr>
          </w:p>
        </w:tc>
        <w:tc>
          <w:tcPr>
            <w:tcW w:w="2859" w:type="dxa"/>
          </w:tcPr>
          <w:p>
            <w:pPr>
              <w:spacing w:line="240" w:lineRule="auto"/>
              <w:rPr>
                <w:color w:val="auto"/>
                <w:sz w:val="24"/>
                <w:szCs w:val="24"/>
                <w:highlight w:val="none"/>
              </w:rPr>
            </w:pPr>
          </w:p>
        </w:tc>
        <w:tc>
          <w:tcPr>
            <w:tcW w:w="2979" w:type="dxa"/>
          </w:tcPr>
          <w:p>
            <w:pPr>
              <w:spacing w:line="240" w:lineRule="auto"/>
              <w:rPr>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30" w:type="dxa"/>
          </w:tcPr>
          <w:p>
            <w:pPr>
              <w:spacing w:line="240" w:lineRule="auto"/>
              <w:rPr>
                <w:color w:val="auto"/>
                <w:sz w:val="24"/>
                <w:szCs w:val="24"/>
                <w:highlight w:val="none"/>
              </w:rPr>
            </w:pPr>
          </w:p>
        </w:tc>
        <w:tc>
          <w:tcPr>
            <w:tcW w:w="2049" w:type="dxa"/>
          </w:tcPr>
          <w:p>
            <w:pPr>
              <w:spacing w:line="240" w:lineRule="auto"/>
              <w:rPr>
                <w:color w:val="auto"/>
                <w:sz w:val="24"/>
                <w:szCs w:val="24"/>
                <w:highlight w:val="none"/>
              </w:rPr>
            </w:pPr>
          </w:p>
        </w:tc>
        <w:tc>
          <w:tcPr>
            <w:tcW w:w="2859" w:type="dxa"/>
          </w:tcPr>
          <w:p>
            <w:pPr>
              <w:spacing w:line="240" w:lineRule="auto"/>
              <w:rPr>
                <w:color w:val="auto"/>
                <w:sz w:val="24"/>
                <w:szCs w:val="24"/>
                <w:highlight w:val="none"/>
              </w:rPr>
            </w:pPr>
          </w:p>
        </w:tc>
        <w:tc>
          <w:tcPr>
            <w:tcW w:w="2979" w:type="dxa"/>
          </w:tcPr>
          <w:p>
            <w:pPr>
              <w:spacing w:line="240" w:lineRule="auto"/>
              <w:rPr>
                <w:color w:val="auto"/>
                <w:sz w:val="24"/>
                <w:szCs w:val="24"/>
                <w:highlight w:val="none"/>
              </w:rPr>
            </w:pPr>
          </w:p>
        </w:tc>
      </w:tr>
    </w:tbl>
    <w:p>
      <w:pPr>
        <w:spacing w:before="75" w:line="240" w:lineRule="auto"/>
        <w:ind w:left="493"/>
        <w:rPr>
          <w:rFonts w:ascii="宋体" w:hAnsi="宋体" w:eastAsia="宋体" w:cs="宋体"/>
          <w:b/>
          <w:bCs/>
          <w:color w:val="auto"/>
          <w:sz w:val="24"/>
          <w:szCs w:val="24"/>
          <w:highlight w:val="none"/>
        </w:rPr>
      </w:pPr>
      <w:r>
        <w:rPr>
          <w:rFonts w:hint="eastAsia" w:ascii="宋体" w:hAnsi="宋体" w:eastAsia="宋体" w:cs="宋体"/>
          <w:b/>
          <w:bCs/>
          <w:color w:val="auto"/>
          <w:spacing w:val="9"/>
          <w:sz w:val="24"/>
          <w:szCs w:val="24"/>
          <w:highlight w:val="none"/>
        </w:rPr>
        <w:t>注：供应商的投标应答如和第六章全部商务要求没有偏离可以不予填写（视为完全响应），如有任何正负偏离请于明确此表格。</w:t>
      </w:r>
    </w:p>
    <w:p>
      <w:pPr>
        <w:spacing w:line="240" w:lineRule="auto"/>
        <w:rPr>
          <w:color w:val="auto"/>
          <w:sz w:val="24"/>
          <w:szCs w:val="24"/>
          <w:highlight w:val="none"/>
        </w:rPr>
      </w:pPr>
    </w:p>
    <w:p>
      <w:pPr>
        <w:spacing w:before="76" w:line="240" w:lineRule="auto"/>
        <w:ind w:left="494" w:right="589" w:firstLine="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ascii="宋体" w:hAnsi="宋体" w:eastAsia="宋体" w:cs="宋体"/>
          <w:color w:val="auto"/>
          <w:spacing w:val="-1"/>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w:t>
      </w:r>
    </w:p>
    <w:p>
      <w:pPr>
        <w:spacing w:before="77" w:line="240" w:lineRule="auto"/>
        <w:ind w:left="49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 ：</w:t>
      </w:r>
      <w:r>
        <w:rPr>
          <w:rFonts w:ascii="宋体" w:hAnsi="宋体" w:eastAsia="宋体" w:cs="宋体"/>
          <w:color w:val="auto"/>
          <w:sz w:val="24"/>
          <w:szCs w:val="24"/>
          <w:highlight w:val="none"/>
          <w:u w:val="single"/>
        </w:rPr>
        <w:t xml:space="preserve">        </w:t>
      </w:r>
    </w:p>
    <w:p>
      <w:pPr>
        <w:spacing w:before="78" w:line="240" w:lineRule="auto"/>
        <w:ind w:left="535"/>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240" w:lineRule="auto"/>
        <w:rPr>
          <w:color w:val="auto"/>
          <w:highlight w:val="none"/>
        </w:rPr>
        <w:sectPr>
          <w:headerReference r:id="rId27" w:type="default"/>
          <w:footerReference r:id="rId28" w:type="default"/>
          <w:pgSz w:w="11905" w:h="16838"/>
          <w:pgMar w:top="1417" w:right="1417" w:bottom="1417" w:left="1417" w:header="0" w:footer="1134" w:gutter="0"/>
          <w:cols w:space="0" w:num="1"/>
        </w:sectPr>
      </w:pPr>
    </w:p>
    <w:p>
      <w:pPr>
        <w:spacing w:line="240" w:lineRule="auto"/>
        <w:rPr>
          <w:color w:val="auto"/>
          <w:sz w:val="2"/>
          <w:highlight w:val="none"/>
        </w:rPr>
      </w:pPr>
      <w:r>
        <w:rPr>
          <w:color w:val="auto"/>
          <w:sz w:val="2"/>
          <w:szCs w:val="2"/>
          <w:highlight w:val="none"/>
        </w:rPr>
        <w:br w:type="column"/>
      </w:r>
    </w:p>
    <w:p>
      <w:pPr>
        <w:spacing w:before="3" w:line="240" w:lineRule="auto"/>
        <w:ind w:right="13"/>
        <w:jc w:val="center"/>
        <w:outlineLvl w:val="9"/>
        <w:rPr>
          <w:rFonts w:ascii="宋体" w:hAnsi="宋体" w:eastAsia="宋体" w:cs="宋体"/>
          <w:b/>
          <w:bCs/>
          <w:color w:val="auto"/>
          <w:sz w:val="32"/>
          <w:szCs w:val="32"/>
          <w:highlight w:val="none"/>
        </w:rPr>
      </w:pPr>
      <w:bookmarkStart w:id="142" w:name="_Toc11418"/>
      <w:bookmarkStart w:id="143" w:name="_Toc5386"/>
      <w:r>
        <w:rPr>
          <w:rFonts w:hint="eastAsia" w:ascii="宋体" w:hAnsi="宋体" w:eastAsia="宋体" w:cs="宋体"/>
          <w:b/>
          <w:bCs/>
          <w:color w:val="auto"/>
          <w:sz w:val="32"/>
          <w:szCs w:val="32"/>
          <w:highlight w:val="none"/>
          <w:lang w:eastAsia="zh-CN"/>
        </w:rPr>
        <w:t>五</w:t>
      </w:r>
      <w:r>
        <w:rPr>
          <w:rFonts w:hint="eastAsia" w:ascii="宋体" w:hAnsi="宋体" w:eastAsia="宋体" w:cs="宋体"/>
          <w:b/>
          <w:bCs/>
          <w:color w:val="auto"/>
          <w:sz w:val="32"/>
          <w:szCs w:val="32"/>
          <w:highlight w:val="none"/>
        </w:rPr>
        <w:t>、投标人基本情况表</w:t>
      </w:r>
      <w:bookmarkEnd w:id="142"/>
      <w:bookmarkEnd w:id="143"/>
    </w:p>
    <w:p>
      <w:pPr>
        <w:spacing w:line="240" w:lineRule="auto"/>
        <w:rPr>
          <w:color w:val="auto"/>
          <w:highlight w:val="none"/>
        </w:rPr>
      </w:pPr>
    </w:p>
    <w:tbl>
      <w:tblPr>
        <w:tblStyle w:val="23"/>
        <w:tblW w:w="821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536"/>
        <w:gridCol w:w="952"/>
        <w:gridCol w:w="1233"/>
        <w:gridCol w:w="1241"/>
        <w:gridCol w:w="1314"/>
        <w:gridCol w:w="157"/>
        <w:gridCol w:w="689"/>
        <w:gridCol w:w="109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536" w:type="dxa"/>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投标人名称</w:t>
            </w:r>
          </w:p>
        </w:tc>
        <w:tc>
          <w:tcPr>
            <w:tcW w:w="6682" w:type="dxa"/>
            <w:gridSpan w:val="7"/>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1536" w:type="dxa"/>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注册地址</w:t>
            </w:r>
          </w:p>
        </w:tc>
        <w:tc>
          <w:tcPr>
            <w:tcW w:w="3426" w:type="dxa"/>
            <w:gridSpan w:val="3"/>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p>
        </w:tc>
        <w:tc>
          <w:tcPr>
            <w:tcW w:w="1314" w:type="dxa"/>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邮政编码</w:t>
            </w:r>
          </w:p>
        </w:tc>
        <w:tc>
          <w:tcPr>
            <w:tcW w:w="1942" w:type="dxa"/>
            <w:gridSpan w:val="3"/>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1536" w:type="dxa"/>
            <w:vMerge w:val="restart"/>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联系方式</w:t>
            </w:r>
          </w:p>
        </w:tc>
        <w:tc>
          <w:tcPr>
            <w:tcW w:w="952" w:type="dxa"/>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联系人</w:t>
            </w:r>
          </w:p>
        </w:tc>
        <w:tc>
          <w:tcPr>
            <w:tcW w:w="2474" w:type="dxa"/>
            <w:gridSpan w:val="2"/>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p>
        </w:tc>
        <w:tc>
          <w:tcPr>
            <w:tcW w:w="1314" w:type="dxa"/>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电话</w:t>
            </w:r>
          </w:p>
        </w:tc>
        <w:tc>
          <w:tcPr>
            <w:tcW w:w="1942" w:type="dxa"/>
            <w:gridSpan w:val="3"/>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1536" w:type="dxa"/>
            <w:vMerge w:val="continue"/>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p>
        </w:tc>
        <w:tc>
          <w:tcPr>
            <w:tcW w:w="952" w:type="dxa"/>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传真</w:t>
            </w:r>
          </w:p>
        </w:tc>
        <w:tc>
          <w:tcPr>
            <w:tcW w:w="2474" w:type="dxa"/>
            <w:gridSpan w:val="2"/>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p>
        </w:tc>
        <w:tc>
          <w:tcPr>
            <w:tcW w:w="1314" w:type="dxa"/>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网址</w:t>
            </w:r>
          </w:p>
        </w:tc>
        <w:tc>
          <w:tcPr>
            <w:tcW w:w="1942" w:type="dxa"/>
            <w:gridSpan w:val="3"/>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1536" w:type="dxa"/>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组织结构</w:t>
            </w:r>
          </w:p>
        </w:tc>
        <w:tc>
          <w:tcPr>
            <w:tcW w:w="6682" w:type="dxa"/>
            <w:gridSpan w:val="7"/>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536" w:type="dxa"/>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法定代表人</w:t>
            </w:r>
          </w:p>
          <w:p>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(负责人)</w:t>
            </w:r>
          </w:p>
        </w:tc>
        <w:tc>
          <w:tcPr>
            <w:tcW w:w="952" w:type="dxa"/>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姓名</w:t>
            </w:r>
          </w:p>
        </w:tc>
        <w:tc>
          <w:tcPr>
            <w:tcW w:w="1233" w:type="dxa"/>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p>
        </w:tc>
        <w:tc>
          <w:tcPr>
            <w:tcW w:w="1241" w:type="dxa"/>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技术职称</w:t>
            </w:r>
          </w:p>
        </w:tc>
        <w:tc>
          <w:tcPr>
            <w:tcW w:w="1314" w:type="dxa"/>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p>
        </w:tc>
        <w:tc>
          <w:tcPr>
            <w:tcW w:w="846" w:type="dxa"/>
            <w:gridSpan w:val="2"/>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电话</w:t>
            </w:r>
          </w:p>
        </w:tc>
        <w:tc>
          <w:tcPr>
            <w:tcW w:w="1096" w:type="dxa"/>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1536" w:type="dxa"/>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技术负责人</w:t>
            </w:r>
          </w:p>
        </w:tc>
        <w:tc>
          <w:tcPr>
            <w:tcW w:w="952" w:type="dxa"/>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姓名</w:t>
            </w:r>
          </w:p>
        </w:tc>
        <w:tc>
          <w:tcPr>
            <w:tcW w:w="1233" w:type="dxa"/>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p>
        </w:tc>
        <w:tc>
          <w:tcPr>
            <w:tcW w:w="1241" w:type="dxa"/>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技术职称</w:t>
            </w:r>
          </w:p>
        </w:tc>
        <w:tc>
          <w:tcPr>
            <w:tcW w:w="1314" w:type="dxa"/>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p>
        </w:tc>
        <w:tc>
          <w:tcPr>
            <w:tcW w:w="846" w:type="dxa"/>
            <w:gridSpan w:val="2"/>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电话</w:t>
            </w:r>
          </w:p>
        </w:tc>
        <w:tc>
          <w:tcPr>
            <w:tcW w:w="1096" w:type="dxa"/>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1536" w:type="dxa"/>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成立时间</w:t>
            </w:r>
          </w:p>
        </w:tc>
        <w:tc>
          <w:tcPr>
            <w:tcW w:w="2185" w:type="dxa"/>
            <w:gridSpan w:val="2"/>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p>
        </w:tc>
        <w:tc>
          <w:tcPr>
            <w:tcW w:w="4497" w:type="dxa"/>
            <w:gridSpan w:val="5"/>
            <w:tcBorders>
              <w:tl2br w:val="nil"/>
              <w:tr2bl w:val="nil"/>
            </w:tcBorders>
            <w:vAlign w:val="center"/>
          </w:tcPr>
          <w:p>
            <w:pPr>
              <w:spacing w:line="240" w:lineRule="auto"/>
              <w:ind w:right="13"/>
              <w:jc w:val="both"/>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员工总人数：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536" w:type="dxa"/>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企业资质等</w:t>
            </w:r>
          </w:p>
          <w:p>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级</w:t>
            </w:r>
          </w:p>
        </w:tc>
        <w:tc>
          <w:tcPr>
            <w:tcW w:w="2185" w:type="dxa"/>
            <w:gridSpan w:val="2"/>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p>
        </w:tc>
        <w:tc>
          <w:tcPr>
            <w:tcW w:w="1241" w:type="dxa"/>
            <w:vMerge w:val="restart"/>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p>
          <w:p>
            <w:pPr>
              <w:spacing w:line="240" w:lineRule="auto"/>
              <w:ind w:right="13"/>
              <w:jc w:val="center"/>
              <w:rPr>
                <w:rFonts w:ascii="宋体" w:hAnsi="宋体" w:eastAsia="宋体" w:cs="宋体"/>
                <w:color w:val="auto"/>
                <w:spacing w:val="6"/>
                <w:sz w:val="24"/>
                <w:szCs w:val="24"/>
                <w:highlight w:val="none"/>
              </w:rPr>
            </w:pPr>
          </w:p>
          <w:p>
            <w:pPr>
              <w:spacing w:line="240" w:lineRule="auto"/>
              <w:ind w:right="13"/>
              <w:jc w:val="center"/>
              <w:rPr>
                <w:rFonts w:ascii="宋体" w:hAnsi="宋体" w:eastAsia="宋体" w:cs="宋体"/>
                <w:color w:val="auto"/>
                <w:spacing w:val="6"/>
                <w:sz w:val="24"/>
                <w:szCs w:val="24"/>
                <w:highlight w:val="none"/>
              </w:rPr>
            </w:pPr>
          </w:p>
          <w:p>
            <w:pPr>
              <w:spacing w:line="240" w:lineRule="auto"/>
              <w:ind w:right="13"/>
              <w:jc w:val="center"/>
              <w:rPr>
                <w:rFonts w:ascii="宋体" w:hAnsi="宋体" w:eastAsia="宋体" w:cs="宋体"/>
                <w:color w:val="auto"/>
                <w:spacing w:val="6"/>
                <w:sz w:val="24"/>
                <w:szCs w:val="24"/>
                <w:highlight w:val="none"/>
              </w:rPr>
            </w:pPr>
          </w:p>
          <w:p>
            <w:pPr>
              <w:spacing w:line="240" w:lineRule="auto"/>
              <w:ind w:right="13"/>
              <w:jc w:val="center"/>
              <w:rPr>
                <w:rFonts w:ascii="宋体" w:hAnsi="宋体" w:eastAsia="宋体" w:cs="宋体"/>
                <w:color w:val="auto"/>
                <w:spacing w:val="6"/>
                <w:sz w:val="24"/>
                <w:szCs w:val="24"/>
                <w:highlight w:val="none"/>
              </w:rPr>
            </w:pPr>
          </w:p>
          <w:p>
            <w:pPr>
              <w:spacing w:line="240" w:lineRule="auto"/>
              <w:ind w:right="13"/>
              <w:jc w:val="center"/>
              <w:rPr>
                <w:rFonts w:ascii="宋体" w:hAnsi="宋体" w:eastAsia="宋体" w:cs="宋体"/>
                <w:color w:val="auto"/>
                <w:spacing w:val="6"/>
                <w:sz w:val="24"/>
                <w:szCs w:val="24"/>
                <w:highlight w:val="none"/>
              </w:rPr>
            </w:pPr>
          </w:p>
          <w:p>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其中</w:t>
            </w:r>
          </w:p>
        </w:tc>
        <w:tc>
          <w:tcPr>
            <w:tcW w:w="1471" w:type="dxa"/>
            <w:gridSpan w:val="2"/>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项目经理</w:t>
            </w:r>
          </w:p>
        </w:tc>
        <w:tc>
          <w:tcPr>
            <w:tcW w:w="1785" w:type="dxa"/>
            <w:gridSpan w:val="2"/>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1536" w:type="dxa"/>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营业执照号</w:t>
            </w:r>
          </w:p>
        </w:tc>
        <w:tc>
          <w:tcPr>
            <w:tcW w:w="2185" w:type="dxa"/>
            <w:gridSpan w:val="2"/>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p>
        </w:tc>
        <w:tc>
          <w:tcPr>
            <w:tcW w:w="1241" w:type="dxa"/>
            <w:vMerge w:val="continue"/>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p>
        </w:tc>
        <w:tc>
          <w:tcPr>
            <w:tcW w:w="1471" w:type="dxa"/>
            <w:gridSpan w:val="2"/>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高级职称人</w:t>
            </w:r>
          </w:p>
          <w:p>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员</w:t>
            </w:r>
          </w:p>
        </w:tc>
        <w:tc>
          <w:tcPr>
            <w:tcW w:w="1785" w:type="dxa"/>
            <w:gridSpan w:val="2"/>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1536" w:type="dxa"/>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注册资金</w:t>
            </w:r>
          </w:p>
        </w:tc>
        <w:tc>
          <w:tcPr>
            <w:tcW w:w="2185" w:type="dxa"/>
            <w:gridSpan w:val="2"/>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p>
        </w:tc>
        <w:tc>
          <w:tcPr>
            <w:tcW w:w="1241" w:type="dxa"/>
            <w:vMerge w:val="continue"/>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p>
        </w:tc>
        <w:tc>
          <w:tcPr>
            <w:tcW w:w="1471" w:type="dxa"/>
            <w:gridSpan w:val="2"/>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中级职称人</w:t>
            </w:r>
          </w:p>
          <w:p>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员</w:t>
            </w:r>
          </w:p>
        </w:tc>
        <w:tc>
          <w:tcPr>
            <w:tcW w:w="1785" w:type="dxa"/>
            <w:gridSpan w:val="2"/>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1536" w:type="dxa"/>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开户银行</w:t>
            </w:r>
          </w:p>
        </w:tc>
        <w:tc>
          <w:tcPr>
            <w:tcW w:w="2185" w:type="dxa"/>
            <w:gridSpan w:val="2"/>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p>
        </w:tc>
        <w:tc>
          <w:tcPr>
            <w:tcW w:w="1241" w:type="dxa"/>
            <w:vMerge w:val="continue"/>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p>
        </w:tc>
        <w:tc>
          <w:tcPr>
            <w:tcW w:w="1471" w:type="dxa"/>
            <w:gridSpan w:val="2"/>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初级职称人 员</w:t>
            </w:r>
          </w:p>
        </w:tc>
        <w:tc>
          <w:tcPr>
            <w:tcW w:w="1785" w:type="dxa"/>
            <w:gridSpan w:val="2"/>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1536" w:type="dxa"/>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账号</w:t>
            </w:r>
          </w:p>
        </w:tc>
        <w:tc>
          <w:tcPr>
            <w:tcW w:w="2185" w:type="dxa"/>
            <w:gridSpan w:val="2"/>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p>
        </w:tc>
        <w:tc>
          <w:tcPr>
            <w:tcW w:w="1241" w:type="dxa"/>
            <w:vMerge w:val="continue"/>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p>
        </w:tc>
        <w:tc>
          <w:tcPr>
            <w:tcW w:w="1471" w:type="dxa"/>
            <w:gridSpan w:val="2"/>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技工</w:t>
            </w:r>
          </w:p>
        </w:tc>
        <w:tc>
          <w:tcPr>
            <w:tcW w:w="1785" w:type="dxa"/>
            <w:gridSpan w:val="2"/>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149" w:hRule="atLeast"/>
          <w:jc w:val="center"/>
        </w:trPr>
        <w:tc>
          <w:tcPr>
            <w:tcW w:w="1536" w:type="dxa"/>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p>
          <w:p>
            <w:pPr>
              <w:spacing w:line="240" w:lineRule="auto"/>
              <w:ind w:right="13"/>
              <w:jc w:val="center"/>
              <w:rPr>
                <w:rFonts w:ascii="宋体" w:hAnsi="宋体" w:eastAsia="宋体" w:cs="宋体"/>
                <w:color w:val="auto"/>
                <w:spacing w:val="6"/>
                <w:sz w:val="24"/>
                <w:szCs w:val="24"/>
                <w:highlight w:val="none"/>
              </w:rPr>
            </w:pPr>
          </w:p>
          <w:p>
            <w:pPr>
              <w:spacing w:line="240" w:lineRule="auto"/>
              <w:ind w:right="13"/>
              <w:jc w:val="center"/>
              <w:rPr>
                <w:rFonts w:ascii="宋体" w:hAnsi="宋体" w:eastAsia="宋体" w:cs="宋体"/>
                <w:color w:val="auto"/>
                <w:spacing w:val="6"/>
                <w:sz w:val="24"/>
                <w:szCs w:val="24"/>
                <w:highlight w:val="none"/>
              </w:rPr>
            </w:pPr>
          </w:p>
          <w:p>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经营范围</w:t>
            </w:r>
          </w:p>
        </w:tc>
        <w:tc>
          <w:tcPr>
            <w:tcW w:w="6682" w:type="dxa"/>
            <w:gridSpan w:val="7"/>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17" w:hRule="atLeast"/>
          <w:jc w:val="center"/>
        </w:trPr>
        <w:tc>
          <w:tcPr>
            <w:tcW w:w="1536" w:type="dxa"/>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备注</w:t>
            </w:r>
          </w:p>
        </w:tc>
        <w:tc>
          <w:tcPr>
            <w:tcW w:w="6682" w:type="dxa"/>
            <w:gridSpan w:val="7"/>
            <w:tcBorders>
              <w:tl2br w:val="nil"/>
              <w:tr2bl w:val="nil"/>
            </w:tcBorders>
            <w:vAlign w:val="center"/>
          </w:tcPr>
          <w:p>
            <w:pPr>
              <w:spacing w:line="240" w:lineRule="auto"/>
              <w:ind w:right="13"/>
              <w:jc w:val="center"/>
              <w:rPr>
                <w:rFonts w:ascii="宋体" w:hAnsi="宋体" w:eastAsia="宋体" w:cs="宋体"/>
                <w:color w:val="auto"/>
                <w:spacing w:val="6"/>
                <w:sz w:val="24"/>
                <w:szCs w:val="24"/>
                <w:highlight w:val="none"/>
              </w:rPr>
            </w:pPr>
          </w:p>
        </w:tc>
      </w:tr>
    </w:tbl>
    <w:p>
      <w:pPr>
        <w:spacing w:before="75" w:line="240" w:lineRule="auto"/>
        <w:ind w:left="493"/>
        <w:rPr>
          <w:rFonts w:ascii="宋体" w:hAnsi="宋体" w:eastAsia="宋体" w:cs="宋体"/>
          <w:b/>
          <w:bCs/>
          <w:color w:val="auto"/>
          <w:spacing w:val="9"/>
          <w:sz w:val="24"/>
          <w:szCs w:val="24"/>
          <w:highlight w:val="none"/>
        </w:rPr>
      </w:pPr>
      <w:r>
        <w:rPr>
          <w:rFonts w:hint="eastAsia" w:ascii="宋体" w:hAnsi="宋体" w:eastAsia="宋体" w:cs="宋体"/>
          <w:b/>
          <w:bCs/>
          <w:color w:val="auto"/>
          <w:spacing w:val="9"/>
          <w:sz w:val="24"/>
          <w:szCs w:val="24"/>
          <w:highlight w:val="none"/>
        </w:rPr>
        <w:t xml:space="preserve">注：此表格中需要填写的若无涉及可不填写此项或“/”。 </w:t>
      </w:r>
    </w:p>
    <w:p>
      <w:pPr>
        <w:spacing w:before="76" w:line="240" w:lineRule="auto"/>
        <w:ind w:left="494" w:right="589" w:firstLine="1"/>
        <w:rPr>
          <w:rFonts w:ascii="宋体" w:hAnsi="宋体" w:eastAsia="宋体" w:cs="宋体"/>
          <w:color w:val="auto"/>
          <w:sz w:val="24"/>
          <w:szCs w:val="24"/>
          <w:highlight w:val="none"/>
        </w:rPr>
      </w:pPr>
    </w:p>
    <w:p>
      <w:pPr>
        <w:spacing w:before="76" w:line="240" w:lineRule="auto"/>
        <w:ind w:left="494" w:right="589" w:firstLine="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ascii="宋体" w:hAnsi="宋体" w:eastAsia="宋体" w:cs="宋体"/>
          <w:color w:val="auto"/>
          <w:spacing w:val="-1"/>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w:t>
      </w:r>
    </w:p>
    <w:p>
      <w:pPr>
        <w:spacing w:before="77" w:line="240" w:lineRule="auto"/>
        <w:ind w:left="49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 ：</w:t>
      </w:r>
      <w:r>
        <w:rPr>
          <w:rFonts w:ascii="宋体" w:hAnsi="宋体" w:eastAsia="宋体" w:cs="宋体"/>
          <w:color w:val="auto"/>
          <w:sz w:val="24"/>
          <w:szCs w:val="24"/>
          <w:highlight w:val="none"/>
          <w:u w:val="single"/>
        </w:rPr>
        <w:t xml:space="preserve">        </w:t>
      </w:r>
    </w:p>
    <w:p>
      <w:pPr>
        <w:spacing w:before="78" w:line="240" w:lineRule="auto"/>
        <w:ind w:left="535"/>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before="0" w:line="240" w:lineRule="auto"/>
        <w:ind w:left="0"/>
        <w:rPr>
          <w:rFonts w:ascii="宋体" w:hAnsi="宋体" w:eastAsia="宋体" w:cs="宋体"/>
          <w:color w:val="auto"/>
          <w:sz w:val="23"/>
          <w:szCs w:val="23"/>
          <w:highlight w:val="none"/>
        </w:rPr>
      </w:pPr>
      <w:r>
        <w:rPr>
          <w:rFonts w:hint="eastAsia" w:ascii="宋体" w:hAnsi="宋体" w:eastAsia="宋体" w:cs="宋体"/>
          <w:color w:val="auto"/>
          <w:sz w:val="23"/>
          <w:szCs w:val="23"/>
          <w:highlight w:val="none"/>
        </w:rPr>
        <w:br w:type="page"/>
      </w:r>
    </w:p>
    <w:p>
      <w:pPr>
        <w:spacing w:before="3" w:line="240" w:lineRule="auto"/>
        <w:ind w:right="13"/>
        <w:jc w:val="center"/>
        <w:outlineLvl w:val="9"/>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t>六</w:t>
      </w:r>
      <w:r>
        <w:rPr>
          <w:rFonts w:hint="eastAsia" w:ascii="宋体" w:hAnsi="宋体" w:eastAsia="宋体" w:cs="宋体"/>
          <w:b/>
          <w:bCs/>
          <w:color w:val="auto"/>
          <w:sz w:val="32"/>
          <w:szCs w:val="32"/>
          <w:highlight w:val="none"/>
        </w:rPr>
        <w:t>、投标人类似项目业绩一览表</w:t>
      </w:r>
    </w:p>
    <w:p>
      <w:pPr>
        <w:spacing w:line="240" w:lineRule="auto"/>
        <w:rPr>
          <w:color w:val="auto"/>
          <w:highlight w:val="none"/>
        </w:rPr>
      </w:pPr>
    </w:p>
    <w:p>
      <w:pPr>
        <w:spacing w:line="240" w:lineRule="auto"/>
        <w:rPr>
          <w:color w:val="auto"/>
          <w:highlight w:val="none"/>
        </w:rPr>
      </w:pPr>
    </w:p>
    <w:tbl>
      <w:tblPr>
        <w:tblStyle w:val="23"/>
        <w:tblW w:w="858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1419"/>
        <w:gridCol w:w="20"/>
        <w:gridCol w:w="1300"/>
        <w:gridCol w:w="20"/>
        <w:gridCol w:w="1161"/>
        <w:gridCol w:w="1265"/>
        <w:gridCol w:w="1912"/>
        <w:gridCol w:w="7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jc w:val="center"/>
        </w:trPr>
        <w:tc>
          <w:tcPr>
            <w:tcW w:w="724" w:type="dxa"/>
            <w:tcBorders>
              <w:right w:val="single" w:color="000000" w:sz="4" w:space="0"/>
            </w:tcBorders>
            <w:vAlign w:val="center"/>
          </w:tcPr>
          <w:p>
            <w:pPr>
              <w:spacing w:line="240" w:lineRule="auto"/>
              <w:ind w:right="13"/>
              <w:jc w:val="center"/>
              <w:rPr>
                <w:rFonts w:ascii="宋体" w:hAnsi="宋体" w:eastAsia="宋体" w:cs="宋体"/>
                <w:color w:val="auto"/>
                <w:spacing w:val="6"/>
                <w:sz w:val="23"/>
                <w:szCs w:val="23"/>
                <w:highlight w:val="none"/>
              </w:rPr>
            </w:pPr>
            <w:r>
              <w:rPr>
                <w:rFonts w:hint="eastAsia" w:ascii="宋体" w:hAnsi="宋体" w:eastAsia="宋体" w:cs="宋体"/>
                <w:color w:val="auto"/>
                <w:spacing w:val="6"/>
                <w:sz w:val="23"/>
                <w:szCs w:val="23"/>
                <w:highlight w:val="none"/>
              </w:rPr>
              <w:t>年份</w:t>
            </w:r>
          </w:p>
        </w:tc>
        <w:tc>
          <w:tcPr>
            <w:tcW w:w="1419" w:type="dxa"/>
            <w:tcBorders>
              <w:left w:val="single" w:color="000000" w:sz="4" w:space="0"/>
              <w:right w:val="single" w:color="000000" w:sz="4" w:space="0"/>
            </w:tcBorders>
            <w:vAlign w:val="center"/>
          </w:tcPr>
          <w:p>
            <w:pPr>
              <w:spacing w:line="240" w:lineRule="auto"/>
              <w:ind w:right="13"/>
              <w:jc w:val="center"/>
              <w:rPr>
                <w:rFonts w:ascii="宋体" w:hAnsi="宋体" w:eastAsia="宋体" w:cs="宋体"/>
                <w:color w:val="auto"/>
                <w:spacing w:val="6"/>
                <w:sz w:val="23"/>
                <w:szCs w:val="23"/>
                <w:highlight w:val="none"/>
              </w:rPr>
            </w:pPr>
            <w:r>
              <w:rPr>
                <w:rFonts w:hint="eastAsia" w:ascii="宋体" w:hAnsi="宋体" w:eastAsia="宋体" w:cs="宋体"/>
                <w:color w:val="auto"/>
                <w:spacing w:val="6"/>
                <w:sz w:val="23"/>
                <w:szCs w:val="23"/>
                <w:highlight w:val="none"/>
              </w:rPr>
              <w:t>用户名称</w:t>
            </w:r>
          </w:p>
        </w:tc>
        <w:tc>
          <w:tcPr>
            <w:tcW w:w="1320" w:type="dxa"/>
            <w:gridSpan w:val="2"/>
            <w:tcBorders>
              <w:left w:val="single" w:color="000000" w:sz="4" w:space="0"/>
              <w:right w:val="single" w:color="000000" w:sz="4" w:space="0"/>
            </w:tcBorders>
            <w:vAlign w:val="center"/>
          </w:tcPr>
          <w:p>
            <w:pPr>
              <w:spacing w:line="240" w:lineRule="auto"/>
              <w:ind w:right="13"/>
              <w:jc w:val="center"/>
              <w:rPr>
                <w:rFonts w:ascii="宋体" w:hAnsi="宋体" w:eastAsia="宋体" w:cs="宋体"/>
                <w:color w:val="auto"/>
                <w:spacing w:val="6"/>
                <w:sz w:val="23"/>
                <w:szCs w:val="23"/>
                <w:highlight w:val="none"/>
              </w:rPr>
            </w:pPr>
            <w:r>
              <w:rPr>
                <w:rFonts w:hint="eastAsia" w:ascii="宋体" w:hAnsi="宋体" w:eastAsia="宋体" w:cs="宋体"/>
                <w:color w:val="auto"/>
                <w:spacing w:val="6"/>
                <w:sz w:val="23"/>
                <w:szCs w:val="23"/>
                <w:highlight w:val="none"/>
              </w:rPr>
              <w:t>项目名称</w:t>
            </w:r>
          </w:p>
        </w:tc>
        <w:tc>
          <w:tcPr>
            <w:tcW w:w="1181" w:type="dxa"/>
            <w:gridSpan w:val="2"/>
            <w:tcBorders>
              <w:left w:val="single" w:color="000000" w:sz="4" w:space="0"/>
              <w:right w:val="single" w:color="000000" w:sz="4" w:space="0"/>
            </w:tcBorders>
            <w:vAlign w:val="center"/>
          </w:tcPr>
          <w:p>
            <w:pPr>
              <w:spacing w:line="240" w:lineRule="auto"/>
              <w:ind w:right="13"/>
              <w:jc w:val="center"/>
              <w:rPr>
                <w:rFonts w:ascii="宋体" w:hAnsi="宋体" w:eastAsia="宋体" w:cs="宋体"/>
                <w:color w:val="auto"/>
                <w:spacing w:val="6"/>
                <w:sz w:val="23"/>
                <w:szCs w:val="23"/>
                <w:highlight w:val="none"/>
              </w:rPr>
            </w:pPr>
            <w:r>
              <w:rPr>
                <w:rFonts w:hint="eastAsia" w:ascii="宋体" w:hAnsi="宋体" w:eastAsia="宋体" w:cs="宋体"/>
                <w:color w:val="auto"/>
                <w:spacing w:val="6"/>
                <w:sz w:val="23"/>
                <w:szCs w:val="23"/>
                <w:highlight w:val="none"/>
              </w:rPr>
              <w:t>完成时间</w:t>
            </w:r>
          </w:p>
        </w:tc>
        <w:tc>
          <w:tcPr>
            <w:tcW w:w="1265" w:type="dxa"/>
            <w:tcBorders>
              <w:left w:val="single" w:color="000000" w:sz="4" w:space="0"/>
              <w:right w:val="single" w:color="000000" w:sz="4" w:space="0"/>
            </w:tcBorders>
            <w:vAlign w:val="center"/>
          </w:tcPr>
          <w:p>
            <w:pPr>
              <w:spacing w:line="240" w:lineRule="auto"/>
              <w:ind w:right="13"/>
              <w:jc w:val="center"/>
              <w:rPr>
                <w:rFonts w:ascii="宋体" w:hAnsi="宋体" w:eastAsia="宋体" w:cs="宋体"/>
                <w:color w:val="auto"/>
                <w:spacing w:val="6"/>
                <w:sz w:val="23"/>
                <w:szCs w:val="23"/>
                <w:highlight w:val="none"/>
              </w:rPr>
            </w:pPr>
            <w:r>
              <w:rPr>
                <w:rFonts w:hint="eastAsia" w:ascii="宋体" w:hAnsi="宋体" w:eastAsia="宋体" w:cs="宋体"/>
                <w:color w:val="auto"/>
                <w:spacing w:val="6"/>
                <w:sz w:val="23"/>
                <w:szCs w:val="23"/>
                <w:highlight w:val="none"/>
              </w:rPr>
              <w:t>合同金额</w:t>
            </w:r>
          </w:p>
        </w:tc>
        <w:tc>
          <w:tcPr>
            <w:tcW w:w="1912" w:type="dxa"/>
            <w:tcBorders>
              <w:left w:val="single" w:color="000000" w:sz="4" w:space="0"/>
            </w:tcBorders>
            <w:vAlign w:val="center"/>
          </w:tcPr>
          <w:p>
            <w:pPr>
              <w:spacing w:line="240" w:lineRule="auto"/>
              <w:ind w:right="13"/>
              <w:jc w:val="center"/>
              <w:rPr>
                <w:rFonts w:ascii="宋体" w:hAnsi="宋体" w:eastAsia="宋体" w:cs="宋体"/>
                <w:color w:val="auto"/>
                <w:spacing w:val="6"/>
                <w:sz w:val="23"/>
                <w:szCs w:val="23"/>
                <w:highlight w:val="none"/>
              </w:rPr>
            </w:pPr>
            <w:r>
              <w:rPr>
                <w:rFonts w:hint="eastAsia" w:ascii="宋体" w:hAnsi="宋体" w:eastAsia="宋体" w:cs="宋体"/>
                <w:color w:val="auto"/>
                <w:spacing w:val="6"/>
                <w:sz w:val="23"/>
                <w:szCs w:val="23"/>
                <w:highlight w:val="none"/>
              </w:rPr>
              <w:t>是否通过验收</w:t>
            </w:r>
          </w:p>
        </w:tc>
        <w:tc>
          <w:tcPr>
            <w:tcW w:w="760" w:type="dxa"/>
            <w:vAlign w:val="center"/>
          </w:tcPr>
          <w:p>
            <w:pPr>
              <w:spacing w:line="240" w:lineRule="auto"/>
              <w:ind w:right="13"/>
              <w:jc w:val="center"/>
              <w:rPr>
                <w:rFonts w:ascii="宋体" w:hAnsi="宋体" w:eastAsia="宋体" w:cs="宋体"/>
                <w:color w:val="auto"/>
                <w:spacing w:val="6"/>
                <w:sz w:val="23"/>
                <w:szCs w:val="23"/>
                <w:highlight w:val="none"/>
              </w:rPr>
            </w:pPr>
            <w:r>
              <w:rPr>
                <w:rFonts w:hint="eastAsia" w:ascii="宋体" w:hAnsi="宋体" w:eastAsia="宋体" w:cs="宋体"/>
                <w:color w:val="auto"/>
                <w:spacing w:val="6"/>
                <w:sz w:val="23"/>
                <w:szCs w:val="23"/>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724" w:type="dxa"/>
            <w:tcBorders>
              <w:right w:val="single" w:color="000000" w:sz="4" w:space="0"/>
            </w:tcBorders>
          </w:tcPr>
          <w:p>
            <w:pPr>
              <w:spacing w:line="240" w:lineRule="auto"/>
              <w:rPr>
                <w:color w:val="auto"/>
                <w:highlight w:val="none"/>
              </w:rPr>
            </w:pPr>
          </w:p>
        </w:tc>
        <w:tc>
          <w:tcPr>
            <w:tcW w:w="1419" w:type="dxa"/>
            <w:tcBorders>
              <w:left w:val="single" w:color="000000" w:sz="4" w:space="0"/>
              <w:right w:val="single" w:color="000000" w:sz="4" w:space="0"/>
            </w:tcBorders>
          </w:tcPr>
          <w:p>
            <w:pPr>
              <w:spacing w:line="240" w:lineRule="auto"/>
              <w:rPr>
                <w:color w:val="auto"/>
                <w:highlight w:val="none"/>
              </w:rPr>
            </w:pPr>
          </w:p>
        </w:tc>
        <w:tc>
          <w:tcPr>
            <w:tcW w:w="1320" w:type="dxa"/>
            <w:gridSpan w:val="2"/>
            <w:tcBorders>
              <w:left w:val="single" w:color="000000" w:sz="4" w:space="0"/>
              <w:right w:val="single" w:color="000000" w:sz="4" w:space="0"/>
            </w:tcBorders>
          </w:tcPr>
          <w:p>
            <w:pPr>
              <w:spacing w:line="240" w:lineRule="auto"/>
              <w:rPr>
                <w:color w:val="auto"/>
                <w:highlight w:val="none"/>
              </w:rPr>
            </w:pPr>
          </w:p>
        </w:tc>
        <w:tc>
          <w:tcPr>
            <w:tcW w:w="1181" w:type="dxa"/>
            <w:gridSpan w:val="2"/>
            <w:tcBorders>
              <w:left w:val="single" w:color="000000" w:sz="4" w:space="0"/>
              <w:right w:val="single" w:color="000000" w:sz="4" w:space="0"/>
            </w:tcBorders>
          </w:tcPr>
          <w:p>
            <w:pPr>
              <w:spacing w:line="240" w:lineRule="auto"/>
              <w:rPr>
                <w:color w:val="auto"/>
                <w:highlight w:val="none"/>
              </w:rPr>
            </w:pPr>
          </w:p>
        </w:tc>
        <w:tc>
          <w:tcPr>
            <w:tcW w:w="1265" w:type="dxa"/>
            <w:tcBorders>
              <w:left w:val="single" w:color="000000" w:sz="4" w:space="0"/>
              <w:right w:val="single" w:color="000000" w:sz="4" w:space="0"/>
            </w:tcBorders>
          </w:tcPr>
          <w:p>
            <w:pPr>
              <w:spacing w:line="240" w:lineRule="auto"/>
              <w:rPr>
                <w:color w:val="auto"/>
                <w:highlight w:val="none"/>
              </w:rPr>
            </w:pPr>
          </w:p>
        </w:tc>
        <w:tc>
          <w:tcPr>
            <w:tcW w:w="1912" w:type="dxa"/>
            <w:tcBorders>
              <w:left w:val="single" w:color="000000" w:sz="4" w:space="0"/>
            </w:tcBorders>
          </w:tcPr>
          <w:p>
            <w:pPr>
              <w:spacing w:line="240" w:lineRule="auto"/>
              <w:rPr>
                <w:color w:val="auto"/>
                <w:highlight w:val="none"/>
              </w:rPr>
            </w:pPr>
          </w:p>
        </w:tc>
        <w:tc>
          <w:tcPr>
            <w:tcW w:w="760" w:type="dxa"/>
          </w:tcPr>
          <w:p>
            <w:pPr>
              <w:spacing w:line="240" w:lineRule="auto"/>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724" w:type="dxa"/>
            <w:tcBorders>
              <w:right w:val="single" w:color="000000" w:sz="4" w:space="0"/>
            </w:tcBorders>
          </w:tcPr>
          <w:p>
            <w:pPr>
              <w:spacing w:line="240" w:lineRule="auto"/>
              <w:rPr>
                <w:color w:val="auto"/>
                <w:highlight w:val="none"/>
              </w:rPr>
            </w:pPr>
          </w:p>
        </w:tc>
        <w:tc>
          <w:tcPr>
            <w:tcW w:w="1419" w:type="dxa"/>
            <w:tcBorders>
              <w:left w:val="single" w:color="000000" w:sz="4" w:space="0"/>
              <w:right w:val="single" w:color="000000" w:sz="4" w:space="0"/>
            </w:tcBorders>
          </w:tcPr>
          <w:p>
            <w:pPr>
              <w:spacing w:line="240" w:lineRule="auto"/>
              <w:rPr>
                <w:color w:val="auto"/>
                <w:highlight w:val="none"/>
              </w:rPr>
            </w:pPr>
          </w:p>
        </w:tc>
        <w:tc>
          <w:tcPr>
            <w:tcW w:w="1320" w:type="dxa"/>
            <w:gridSpan w:val="2"/>
            <w:tcBorders>
              <w:left w:val="single" w:color="000000" w:sz="4" w:space="0"/>
              <w:right w:val="single" w:color="000000" w:sz="4" w:space="0"/>
            </w:tcBorders>
          </w:tcPr>
          <w:p>
            <w:pPr>
              <w:spacing w:line="240" w:lineRule="auto"/>
              <w:rPr>
                <w:color w:val="auto"/>
                <w:highlight w:val="none"/>
              </w:rPr>
            </w:pPr>
          </w:p>
        </w:tc>
        <w:tc>
          <w:tcPr>
            <w:tcW w:w="1181" w:type="dxa"/>
            <w:gridSpan w:val="2"/>
            <w:tcBorders>
              <w:left w:val="single" w:color="000000" w:sz="4" w:space="0"/>
              <w:right w:val="single" w:color="000000" w:sz="4" w:space="0"/>
            </w:tcBorders>
          </w:tcPr>
          <w:p>
            <w:pPr>
              <w:spacing w:line="240" w:lineRule="auto"/>
              <w:rPr>
                <w:color w:val="auto"/>
                <w:highlight w:val="none"/>
              </w:rPr>
            </w:pPr>
          </w:p>
        </w:tc>
        <w:tc>
          <w:tcPr>
            <w:tcW w:w="1265" w:type="dxa"/>
            <w:tcBorders>
              <w:left w:val="single" w:color="000000" w:sz="4" w:space="0"/>
              <w:right w:val="single" w:color="000000" w:sz="4" w:space="0"/>
            </w:tcBorders>
          </w:tcPr>
          <w:p>
            <w:pPr>
              <w:spacing w:line="240" w:lineRule="auto"/>
              <w:rPr>
                <w:color w:val="auto"/>
                <w:highlight w:val="none"/>
              </w:rPr>
            </w:pPr>
          </w:p>
        </w:tc>
        <w:tc>
          <w:tcPr>
            <w:tcW w:w="1912" w:type="dxa"/>
            <w:tcBorders>
              <w:left w:val="single" w:color="000000" w:sz="4" w:space="0"/>
            </w:tcBorders>
          </w:tcPr>
          <w:p>
            <w:pPr>
              <w:spacing w:line="240" w:lineRule="auto"/>
              <w:rPr>
                <w:color w:val="auto"/>
                <w:highlight w:val="none"/>
              </w:rPr>
            </w:pPr>
          </w:p>
        </w:tc>
        <w:tc>
          <w:tcPr>
            <w:tcW w:w="760" w:type="dxa"/>
          </w:tcPr>
          <w:p>
            <w:pPr>
              <w:spacing w:line="240" w:lineRule="auto"/>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724" w:type="dxa"/>
            <w:tcBorders>
              <w:right w:val="single" w:color="000000" w:sz="4" w:space="0"/>
            </w:tcBorders>
          </w:tcPr>
          <w:p>
            <w:pPr>
              <w:spacing w:line="240" w:lineRule="auto"/>
              <w:rPr>
                <w:color w:val="auto"/>
                <w:highlight w:val="none"/>
              </w:rPr>
            </w:pPr>
          </w:p>
        </w:tc>
        <w:tc>
          <w:tcPr>
            <w:tcW w:w="1419" w:type="dxa"/>
            <w:tcBorders>
              <w:left w:val="single" w:color="000000" w:sz="4" w:space="0"/>
              <w:right w:val="single" w:color="000000" w:sz="4" w:space="0"/>
            </w:tcBorders>
          </w:tcPr>
          <w:p>
            <w:pPr>
              <w:spacing w:line="240" w:lineRule="auto"/>
              <w:rPr>
                <w:color w:val="auto"/>
                <w:highlight w:val="none"/>
              </w:rPr>
            </w:pPr>
          </w:p>
        </w:tc>
        <w:tc>
          <w:tcPr>
            <w:tcW w:w="1320" w:type="dxa"/>
            <w:gridSpan w:val="2"/>
            <w:tcBorders>
              <w:left w:val="single" w:color="000000" w:sz="4" w:space="0"/>
              <w:right w:val="single" w:color="000000" w:sz="4" w:space="0"/>
            </w:tcBorders>
          </w:tcPr>
          <w:p>
            <w:pPr>
              <w:spacing w:line="240" w:lineRule="auto"/>
              <w:rPr>
                <w:color w:val="auto"/>
                <w:highlight w:val="none"/>
              </w:rPr>
            </w:pPr>
          </w:p>
        </w:tc>
        <w:tc>
          <w:tcPr>
            <w:tcW w:w="1181" w:type="dxa"/>
            <w:gridSpan w:val="2"/>
            <w:tcBorders>
              <w:left w:val="single" w:color="000000" w:sz="4" w:space="0"/>
              <w:right w:val="single" w:color="000000" w:sz="4" w:space="0"/>
            </w:tcBorders>
          </w:tcPr>
          <w:p>
            <w:pPr>
              <w:spacing w:line="240" w:lineRule="auto"/>
              <w:rPr>
                <w:color w:val="auto"/>
                <w:highlight w:val="none"/>
              </w:rPr>
            </w:pPr>
          </w:p>
        </w:tc>
        <w:tc>
          <w:tcPr>
            <w:tcW w:w="1265" w:type="dxa"/>
            <w:tcBorders>
              <w:left w:val="single" w:color="000000" w:sz="4" w:space="0"/>
              <w:right w:val="single" w:color="000000" w:sz="4" w:space="0"/>
            </w:tcBorders>
          </w:tcPr>
          <w:p>
            <w:pPr>
              <w:spacing w:line="240" w:lineRule="auto"/>
              <w:rPr>
                <w:color w:val="auto"/>
                <w:highlight w:val="none"/>
              </w:rPr>
            </w:pPr>
          </w:p>
        </w:tc>
        <w:tc>
          <w:tcPr>
            <w:tcW w:w="1912" w:type="dxa"/>
            <w:tcBorders>
              <w:left w:val="single" w:color="000000" w:sz="4" w:space="0"/>
            </w:tcBorders>
          </w:tcPr>
          <w:p>
            <w:pPr>
              <w:spacing w:line="240" w:lineRule="auto"/>
              <w:rPr>
                <w:color w:val="auto"/>
                <w:highlight w:val="none"/>
              </w:rPr>
            </w:pPr>
          </w:p>
        </w:tc>
        <w:tc>
          <w:tcPr>
            <w:tcW w:w="760" w:type="dxa"/>
          </w:tcPr>
          <w:p>
            <w:pPr>
              <w:spacing w:line="240" w:lineRule="auto"/>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724" w:type="dxa"/>
            <w:tcBorders>
              <w:right w:val="single" w:color="000000" w:sz="4" w:space="0"/>
            </w:tcBorders>
          </w:tcPr>
          <w:p>
            <w:pPr>
              <w:spacing w:line="240" w:lineRule="auto"/>
              <w:rPr>
                <w:color w:val="auto"/>
                <w:highlight w:val="none"/>
              </w:rPr>
            </w:pPr>
          </w:p>
        </w:tc>
        <w:tc>
          <w:tcPr>
            <w:tcW w:w="1439" w:type="dxa"/>
            <w:gridSpan w:val="2"/>
            <w:tcBorders>
              <w:left w:val="single" w:color="000000" w:sz="4" w:space="0"/>
            </w:tcBorders>
          </w:tcPr>
          <w:p>
            <w:pPr>
              <w:spacing w:line="240" w:lineRule="auto"/>
              <w:rPr>
                <w:color w:val="auto"/>
                <w:highlight w:val="none"/>
              </w:rPr>
            </w:pPr>
          </w:p>
        </w:tc>
        <w:tc>
          <w:tcPr>
            <w:tcW w:w="1300" w:type="dxa"/>
            <w:tcBorders>
              <w:right w:val="single" w:color="000000" w:sz="4" w:space="0"/>
            </w:tcBorders>
          </w:tcPr>
          <w:p>
            <w:pPr>
              <w:spacing w:line="240" w:lineRule="auto"/>
              <w:rPr>
                <w:color w:val="auto"/>
                <w:highlight w:val="none"/>
              </w:rPr>
            </w:pPr>
          </w:p>
        </w:tc>
        <w:tc>
          <w:tcPr>
            <w:tcW w:w="1181" w:type="dxa"/>
            <w:gridSpan w:val="2"/>
            <w:tcBorders>
              <w:left w:val="single" w:color="000000" w:sz="4" w:space="0"/>
              <w:right w:val="single" w:color="000000" w:sz="4" w:space="0"/>
            </w:tcBorders>
          </w:tcPr>
          <w:p>
            <w:pPr>
              <w:spacing w:line="240" w:lineRule="auto"/>
              <w:rPr>
                <w:color w:val="auto"/>
                <w:highlight w:val="none"/>
              </w:rPr>
            </w:pPr>
          </w:p>
        </w:tc>
        <w:tc>
          <w:tcPr>
            <w:tcW w:w="1265" w:type="dxa"/>
            <w:tcBorders>
              <w:left w:val="single" w:color="000000" w:sz="4" w:space="0"/>
              <w:right w:val="single" w:color="000000" w:sz="4" w:space="0"/>
            </w:tcBorders>
          </w:tcPr>
          <w:p>
            <w:pPr>
              <w:spacing w:line="240" w:lineRule="auto"/>
              <w:rPr>
                <w:color w:val="auto"/>
                <w:highlight w:val="none"/>
              </w:rPr>
            </w:pPr>
          </w:p>
        </w:tc>
        <w:tc>
          <w:tcPr>
            <w:tcW w:w="1912" w:type="dxa"/>
            <w:tcBorders>
              <w:left w:val="single" w:color="000000" w:sz="4" w:space="0"/>
            </w:tcBorders>
          </w:tcPr>
          <w:p>
            <w:pPr>
              <w:spacing w:line="240" w:lineRule="auto"/>
              <w:rPr>
                <w:color w:val="auto"/>
                <w:highlight w:val="none"/>
              </w:rPr>
            </w:pPr>
          </w:p>
        </w:tc>
        <w:tc>
          <w:tcPr>
            <w:tcW w:w="760" w:type="dxa"/>
          </w:tcPr>
          <w:p>
            <w:pPr>
              <w:spacing w:line="240" w:lineRule="auto"/>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724" w:type="dxa"/>
          </w:tcPr>
          <w:p>
            <w:pPr>
              <w:spacing w:line="240" w:lineRule="auto"/>
              <w:rPr>
                <w:color w:val="auto"/>
                <w:highlight w:val="none"/>
              </w:rPr>
            </w:pPr>
          </w:p>
        </w:tc>
        <w:tc>
          <w:tcPr>
            <w:tcW w:w="1439" w:type="dxa"/>
            <w:gridSpan w:val="2"/>
          </w:tcPr>
          <w:p>
            <w:pPr>
              <w:spacing w:line="240" w:lineRule="auto"/>
              <w:rPr>
                <w:color w:val="auto"/>
                <w:highlight w:val="none"/>
              </w:rPr>
            </w:pPr>
          </w:p>
        </w:tc>
        <w:tc>
          <w:tcPr>
            <w:tcW w:w="1320" w:type="dxa"/>
            <w:gridSpan w:val="2"/>
          </w:tcPr>
          <w:p>
            <w:pPr>
              <w:spacing w:line="240" w:lineRule="auto"/>
              <w:rPr>
                <w:color w:val="auto"/>
                <w:highlight w:val="none"/>
              </w:rPr>
            </w:pPr>
          </w:p>
        </w:tc>
        <w:tc>
          <w:tcPr>
            <w:tcW w:w="1161" w:type="dxa"/>
          </w:tcPr>
          <w:p>
            <w:pPr>
              <w:spacing w:line="240" w:lineRule="auto"/>
              <w:rPr>
                <w:color w:val="auto"/>
                <w:highlight w:val="none"/>
              </w:rPr>
            </w:pPr>
          </w:p>
        </w:tc>
        <w:tc>
          <w:tcPr>
            <w:tcW w:w="1265" w:type="dxa"/>
          </w:tcPr>
          <w:p>
            <w:pPr>
              <w:spacing w:line="240" w:lineRule="auto"/>
              <w:rPr>
                <w:color w:val="auto"/>
                <w:highlight w:val="none"/>
              </w:rPr>
            </w:pPr>
          </w:p>
        </w:tc>
        <w:tc>
          <w:tcPr>
            <w:tcW w:w="1912" w:type="dxa"/>
          </w:tcPr>
          <w:p>
            <w:pPr>
              <w:spacing w:line="240" w:lineRule="auto"/>
              <w:rPr>
                <w:color w:val="auto"/>
                <w:highlight w:val="none"/>
              </w:rPr>
            </w:pPr>
          </w:p>
        </w:tc>
        <w:tc>
          <w:tcPr>
            <w:tcW w:w="760" w:type="dxa"/>
          </w:tcPr>
          <w:p>
            <w:pPr>
              <w:spacing w:line="240" w:lineRule="auto"/>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724" w:type="dxa"/>
            <w:tcBorders>
              <w:right w:val="single" w:color="000000" w:sz="4" w:space="0"/>
            </w:tcBorders>
          </w:tcPr>
          <w:p>
            <w:pPr>
              <w:spacing w:line="240" w:lineRule="auto"/>
              <w:rPr>
                <w:color w:val="auto"/>
                <w:highlight w:val="none"/>
              </w:rPr>
            </w:pPr>
          </w:p>
        </w:tc>
        <w:tc>
          <w:tcPr>
            <w:tcW w:w="1419" w:type="dxa"/>
            <w:tcBorders>
              <w:left w:val="single" w:color="000000" w:sz="4" w:space="0"/>
              <w:right w:val="single" w:color="000000" w:sz="4" w:space="0"/>
            </w:tcBorders>
          </w:tcPr>
          <w:p>
            <w:pPr>
              <w:spacing w:line="240" w:lineRule="auto"/>
              <w:rPr>
                <w:color w:val="auto"/>
                <w:highlight w:val="none"/>
              </w:rPr>
            </w:pPr>
          </w:p>
        </w:tc>
        <w:tc>
          <w:tcPr>
            <w:tcW w:w="1320" w:type="dxa"/>
            <w:gridSpan w:val="2"/>
            <w:tcBorders>
              <w:left w:val="single" w:color="000000" w:sz="4" w:space="0"/>
              <w:right w:val="single" w:color="000000" w:sz="4" w:space="0"/>
            </w:tcBorders>
          </w:tcPr>
          <w:p>
            <w:pPr>
              <w:spacing w:line="240" w:lineRule="auto"/>
              <w:rPr>
                <w:color w:val="auto"/>
                <w:highlight w:val="none"/>
              </w:rPr>
            </w:pPr>
          </w:p>
        </w:tc>
        <w:tc>
          <w:tcPr>
            <w:tcW w:w="1181" w:type="dxa"/>
            <w:gridSpan w:val="2"/>
            <w:tcBorders>
              <w:left w:val="single" w:color="000000" w:sz="4" w:space="0"/>
              <w:right w:val="single" w:color="000000" w:sz="4" w:space="0"/>
            </w:tcBorders>
          </w:tcPr>
          <w:p>
            <w:pPr>
              <w:spacing w:line="240" w:lineRule="auto"/>
              <w:rPr>
                <w:color w:val="auto"/>
                <w:highlight w:val="none"/>
              </w:rPr>
            </w:pPr>
          </w:p>
        </w:tc>
        <w:tc>
          <w:tcPr>
            <w:tcW w:w="1265" w:type="dxa"/>
            <w:tcBorders>
              <w:left w:val="single" w:color="000000" w:sz="4" w:space="0"/>
            </w:tcBorders>
          </w:tcPr>
          <w:p>
            <w:pPr>
              <w:spacing w:line="240" w:lineRule="auto"/>
              <w:rPr>
                <w:color w:val="auto"/>
                <w:highlight w:val="none"/>
              </w:rPr>
            </w:pPr>
          </w:p>
        </w:tc>
        <w:tc>
          <w:tcPr>
            <w:tcW w:w="1912" w:type="dxa"/>
          </w:tcPr>
          <w:p>
            <w:pPr>
              <w:spacing w:line="240" w:lineRule="auto"/>
              <w:rPr>
                <w:color w:val="auto"/>
                <w:highlight w:val="none"/>
              </w:rPr>
            </w:pPr>
          </w:p>
        </w:tc>
        <w:tc>
          <w:tcPr>
            <w:tcW w:w="760" w:type="dxa"/>
          </w:tcPr>
          <w:p>
            <w:pPr>
              <w:spacing w:line="240" w:lineRule="auto"/>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724" w:type="dxa"/>
            <w:tcBorders>
              <w:right w:val="single" w:color="000000" w:sz="4" w:space="0"/>
            </w:tcBorders>
          </w:tcPr>
          <w:p>
            <w:pPr>
              <w:spacing w:line="240" w:lineRule="auto"/>
              <w:rPr>
                <w:color w:val="auto"/>
                <w:highlight w:val="none"/>
              </w:rPr>
            </w:pPr>
          </w:p>
        </w:tc>
        <w:tc>
          <w:tcPr>
            <w:tcW w:w="1419" w:type="dxa"/>
            <w:tcBorders>
              <w:left w:val="single" w:color="000000" w:sz="4" w:space="0"/>
              <w:right w:val="single" w:color="000000" w:sz="4" w:space="0"/>
            </w:tcBorders>
          </w:tcPr>
          <w:p>
            <w:pPr>
              <w:spacing w:line="240" w:lineRule="auto"/>
              <w:rPr>
                <w:color w:val="auto"/>
                <w:highlight w:val="none"/>
              </w:rPr>
            </w:pPr>
          </w:p>
        </w:tc>
        <w:tc>
          <w:tcPr>
            <w:tcW w:w="1320" w:type="dxa"/>
            <w:gridSpan w:val="2"/>
            <w:tcBorders>
              <w:left w:val="single" w:color="000000" w:sz="4" w:space="0"/>
              <w:right w:val="single" w:color="000000" w:sz="4" w:space="0"/>
            </w:tcBorders>
          </w:tcPr>
          <w:p>
            <w:pPr>
              <w:spacing w:line="240" w:lineRule="auto"/>
              <w:rPr>
                <w:color w:val="auto"/>
                <w:highlight w:val="none"/>
              </w:rPr>
            </w:pPr>
          </w:p>
        </w:tc>
        <w:tc>
          <w:tcPr>
            <w:tcW w:w="1181" w:type="dxa"/>
            <w:gridSpan w:val="2"/>
            <w:tcBorders>
              <w:left w:val="single" w:color="000000" w:sz="4" w:space="0"/>
              <w:right w:val="single" w:color="000000" w:sz="4" w:space="0"/>
            </w:tcBorders>
          </w:tcPr>
          <w:p>
            <w:pPr>
              <w:spacing w:line="240" w:lineRule="auto"/>
              <w:rPr>
                <w:color w:val="auto"/>
                <w:highlight w:val="none"/>
              </w:rPr>
            </w:pPr>
          </w:p>
        </w:tc>
        <w:tc>
          <w:tcPr>
            <w:tcW w:w="1265" w:type="dxa"/>
            <w:tcBorders>
              <w:left w:val="single" w:color="000000" w:sz="4" w:space="0"/>
            </w:tcBorders>
          </w:tcPr>
          <w:p>
            <w:pPr>
              <w:spacing w:line="240" w:lineRule="auto"/>
              <w:rPr>
                <w:color w:val="auto"/>
                <w:highlight w:val="none"/>
              </w:rPr>
            </w:pPr>
          </w:p>
        </w:tc>
        <w:tc>
          <w:tcPr>
            <w:tcW w:w="1912" w:type="dxa"/>
          </w:tcPr>
          <w:p>
            <w:pPr>
              <w:spacing w:line="240" w:lineRule="auto"/>
              <w:rPr>
                <w:color w:val="auto"/>
                <w:highlight w:val="none"/>
              </w:rPr>
            </w:pPr>
          </w:p>
        </w:tc>
        <w:tc>
          <w:tcPr>
            <w:tcW w:w="760" w:type="dxa"/>
          </w:tcPr>
          <w:p>
            <w:pPr>
              <w:spacing w:line="240" w:lineRule="auto"/>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724" w:type="dxa"/>
            <w:tcBorders>
              <w:right w:val="single" w:color="000000" w:sz="4" w:space="0"/>
            </w:tcBorders>
          </w:tcPr>
          <w:p>
            <w:pPr>
              <w:spacing w:line="240" w:lineRule="auto"/>
              <w:rPr>
                <w:color w:val="auto"/>
                <w:highlight w:val="none"/>
              </w:rPr>
            </w:pPr>
          </w:p>
        </w:tc>
        <w:tc>
          <w:tcPr>
            <w:tcW w:w="1419" w:type="dxa"/>
            <w:tcBorders>
              <w:left w:val="single" w:color="000000" w:sz="4" w:space="0"/>
              <w:right w:val="single" w:color="000000" w:sz="4" w:space="0"/>
            </w:tcBorders>
          </w:tcPr>
          <w:p>
            <w:pPr>
              <w:spacing w:line="240" w:lineRule="auto"/>
              <w:rPr>
                <w:color w:val="auto"/>
                <w:highlight w:val="none"/>
              </w:rPr>
            </w:pPr>
          </w:p>
        </w:tc>
        <w:tc>
          <w:tcPr>
            <w:tcW w:w="1320" w:type="dxa"/>
            <w:gridSpan w:val="2"/>
            <w:tcBorders>
              <w:left w:val="single" w:color="000000" w:sz="4" w:space="0"/>
              <w:right w:val="single" w:color="000000" w:sz="4" w:space="0"/>
            </w:tcBorders>
          </w:tcPr>
          <w:p>
            <w:pPr>
              <w:spacing w:line="240" w:lineRule="auto"/>
              <w:rPr>
                <w:color w:val="auto"/>
                <w:highlight w:val="none"/>
              </w:rPr>
            </w:pPr>
          </w:p>
        </w:tc>
        <w:tc>
          <w:tcPr>
            <w:tcW w:w="1181" w:type="dxa"/>
            <w:gridSpan w:val="2"/>
            <w:tcBorders>
              <w:left w:val="single" w:color="000000" w:sz="4" w:space="0"/>
              <w:right w:val="single" w:color="000000" w:sz="4" w:space="0"/>
            </w:tcBorders>
          </w:tcPr>
          <w:p>
            <w:pPr>
              <w:spacing w:line="240" w:lineRule="auto"/>
              <w:rPr>
                <w:color w:val="auto"/>
                <w:highlight w:val="none"/>
              </w:rPr>
            </w:pPr>
          </w:p>
        </w:tc>
        <w:tc>
          <w:tcPr>
            <w:tcW w:w="1265" w:type="dxa"/>
            <w:tcBorders>
              <w:left w:val="single" w:color="000000" w:sz="4" w:space="0"/>
            </w:tcBorders>
          </w:tcPr>
          <w:p>
            <w:pPr>
              <w:spacing w:line="240" w:lineRule="auto"/>
              <w:rPr>
                <w:color w:val="auto"/>
                <w:highlight w:val="none"/>
              </w:rPr>
            </w:pPr>
          </w:p>
        </w:tc>
        <w:tc>
          <w:tcPr>
            <w:tcW w:w="1912" w:type="dxa"/>
          </w:tcPr>
          <w:p>
            <w:pPr>
              <w:spacing w:line="240" w:lineRule="auto"/>
              <w:rPr>
                <w:color w:val="auto"/>
                <w:highlight w:val="none"/>
              </w:rPr>
            </w:pPr>
          </w:p>
        </w:tc>
        <w:tc>
          <w:tcPr>
            <w:tcW w:w="760" w:type="dxa"/>
          </w:tcPr>
          <w:p>
            <w:pPr>
              <w:spacing w:line="240" w:lineRule="auto"/>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jc w:val="center"/>
        </w:trPr>
        <w:tc>
          <w:tcPr>
            <w:tcW w:w="724" w:type="dxa"/>
            <w:tcBorders>
              <w:right w:val="single" w:color="000000" w:sz="4" w:space="0"/>
            </w:tcBorders>
          </w:tcPr>
          <w:p>
            <w:pPr>
              <w:spacing w:line="240" w:lineRule="auto"/>
              <w:rPr>
                <w:color w:val="auto"/>
                <w:highlight w:val="none"/>
              </w:rPr>
            </w:pPr>
          </w:p>
        </w:tc>
        <w:tc>
          <w:tcPr>
            <w:tcW w:w="1419" w:type="dxa"/>
            <w:tcBorders>
              <w:left w:val="single" w:color="000000" w:sz="4" w:space="0"/>
              <w:right w:val="single" w:color="000000" w:sz="4" w:space="0"/>
            </w:tcBorders>
          </w:tcPr>
          <w:p>
            <w:pPr>
              <w:spacing w:line="240" w:lineRule="auto"/>
              <w:rPr>
                <w:color w:val="auto"/>
                <w:highlight w:val="none"/>
              </w:rPr>
            </w:pPr>
          </w:p>
        </w:tc>
        <w:tc>
          <w:tcPr>
            <w:tcW w:w="1320" w:type="dxa"/>
            <w:gridSpan w:val="2"/>
            <w:tcBorders>
              <w:left w:val="single" w:color="000000" w:sz="4" w:space="0"/>
              <w:right w:val="single" w:color="000000" w:sz="4" w:space="0"/>
            </w:tcBorders>
          </w:tcPr>
          <w:p>
            <w:pPr>
              <w:spacing w:line="240" w:lineRule="auto"/>
              <w:rPr>
                <w:color w:val="auto"/>
                <w:highlight w:val="none"/>
              </w:rPr>
            </w:pPr>
          </w:p>
        </w:tc>
        <w:tc>
          <w:tcPr>
            <w:tcW w:w="1181" w:type="dxa"/>
            <w:gridSpan w:val="2"/>
            <w:tcBorders>
              <w:left w:val="single" w:color="000000" w:sz="4" w:space="0"/>
              <w:right w:val="single" w:color="000000" w:sz="4" w:space="0"/>
            </w:tcBorders>
          </w:tcPr>
          <w:p>
            <w:pPr>
              <w:spacing w:line="240" w:lineRule="auto"/>
              <w:rPr>
                <w:color w:val="auto"/>
                <w:highlight w:val="none"/>
              </w:rPr>
            </w:pPr>
          </w:p>
        </w:tc>
        <w:tc>
          <w:tcPr>
            <w:tcW w:w="1265" w:type="dxa"/>
            <w:tcBorders>
              <w:left w:val="single" w:color="000000" w:sz="4" w:space="0"/>
            </w:tcBorders>
          </w:tcPr>
          <w:p>
            <w:pPr>
              <w:spacing w:line="240" w:lineRule="auto"/>
              <w:rPr>
                <w:color w:val="auto"/>
                <w:highlight w:val="none"/>
              </w:rPr>
            </w:pPr>
          </w:p>
        </w:tc>
        <w:tc>
          <w:tcPr>
            <w:tcW w:w="1912" w:type="dxa"/>
          </w:tcPr>
          <w:p>
            <w:pPr>
              <w:spacing w:line="240" w:lineRule="auto"/>
              <w:rPr>
                <w:color w:val="auto"/>
                <w:highlight w:val="none"/>
              </w:rPr>
            </w:pPr>
          </w:p>
        </w:tc>
        <w:tc>
          <w:tcPr>
            <w:tcW w:w="760" w:type="dxa"/>
          </w:tcPr>
          <w:p>
            <w:pPr>
              <w:spacing w:line="240" w:lineRule="auto"/>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jc w:val="center"/>
        </w:trPr>
        <w:tc>
          <w:tcPr>
            <w:tcW w:w="724" w:type="dxa"/>
            <w:tcBorders>
              <w:right w:val="single" w:color="000000" w:sz="4" w:space="0"/>
            </w:tcBorders>
          </w:tcPr>
          <w:p>
            <w:pPr>
              <w:spacing w:line="240" w:lineRule="auto"/>
              <w:rPr>
                <w:color w:val="auto"/>
                <w:highlight w:val="none"/>
              </w:rPr>
            </w:pPr>
          </w:p>
        </w:tc>
        <w:tc>
          <w:tcPr>
            <w:tcW w:w="1419" w:type="dxa"/>
            <w:tcBorders>
              <w:left w:val="single" w:color="000000" w:sz="4" w:space="0"/>
              <w:right w:val="single" w:color="000000" w:sz="4" w:space="0"/>
            </w:tcBorders>
          </w:tcPr>
          <w:p>
            <w:pPr>
              <w:spacing w:line="240" w:lineRule="auto"/>
              <w:rPr>
                <w:color w:val="auto"/>
                <w:highlight w:val="none"/>
              </w:rPr>
            </w:pPr>
          </w:p>
        </w:tc>
        <w:tc>
          <w:tcPr>
            <w:tcW w:w="1320" w:type="dxa"/>
            <w:gridSpan w:val="2"/>
            <w:tcBorders>
              <w:left w:val="single" w:color="000000" w:sz="4" w:space="0"/>
              <w:right w:val="single" w:color="000000" w:sz="4" w:space="0"/>
            </w:tcBorders>
          </w:tcPr>
          <w:p>
            <w:pPr>
              <w:spacing w:line="240" w:lineRule="auto"/>
              <w:rPr>
                <w:color w:val="auto"/>
                <w:highlight w:val="none"/>
              </w:rPr>
            </w:pPr>
          </w:p>
        </w:tc>
        <w:tc>
          <w:tcPr>
            <w:tcW w:w="1181" w:type="dxa"/>
            <w:gridSpan w:val="2"/>
            <w:tcBorders>
              <w:left w:val="single" w:color="000000" w:sz="4" w:space="0"/>
              <w:right w:val="single" w:color="000000" w:sz="4" w:space="0"/>
            </w:tcBorders>
          </w:tcPr>
          <w:p>
            <w:pPr>
              <w:spacing w:line="240" w:lineRule="auto"/>
              <w:rPr>
                <w:color w:val="auto"/>
                <w:highlight w:val="none"/>
              </w:rPr>
            </w:pPr>
          </w:p>
        </w:tc>
        <w:tc>
          <w:tcPr>
            <w:tcW w:w="1265" w:type="dxa"/>
            <w:tcBorders>
              <w:left w:val="single" w:color="000000" w:sz="4" w:space="0"/>
            </w:tcBorders>
          </w:tcPr>
          <w:p>
            <w:pPr>
              <w:spacing w:line="240" w:lineRule="auto"/>
              <w:rPr>
                <w:color w:val="auto"/>
                <w:highlight w:val="none"/>
              </w:rPr>
            </w:pPr>
          </w:p>
        </w:tc>
        <w:tc>
          <w:tcPr>
            <w:tcW w:w="1912" w:type="dxa"/>
          </w:tcPr>
          <w:p>
            <w:pPr>
              <w:spacing w:line="240" w:lineRule="auto"/>
              <w:rPr>
                <w:color w:val="auto"/>
                <w:highlight w:val="none"/>
              </w:rPr>
            </w:pPr>
          </w:p>
        </w:tc>
        <w:tc>
          <w:tcPr>
            <w:tcW w:w="760" w:type="dxa"/>
          </w:tcPr>
          <w:p>
            <w:pPr>
              <w:spacing w:line="240" w:lineRule="auto"/>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jc w:val="center"/>
        </w:trPr>
        <w:tc>
          <w:tcPr>
            <w:tcW w:w="724" w:type="dxa"/>
            <w:tcBorders>
              <w:right w:val="single" w:color="000000" w:sz="4" w:space="0"/>
            </w:tcBorders>
          </w:tcPr>
          <w:p>
            <w:pPr>
              <w:spacing w:line="240" w:lineRule="auto"/>
              <w:rPr>
                <w:color w:val="auto"/>
                <w:highlight w:val="none"/>
              </w:rPr>
            </w:pPr>
          </w:p>
        </w:tc>
        <w:tc>
          <w:tcPr>
            <w:tcW w:w="1419" w:type="dxa"/>
            <w:tcBorders>
              <w:left w:val="single" w:color="000000" w:sz="4" w:space="0"/>
              <w:right w:val="single" w:color="000000" w:sz="4" w:space="0"/>
            </w:tcBorders>
          </w:tcPr>
          <w:p>
            <w:pPr>
              <w:spacing w:line="240" w:lineRule="auto"/>
              <w:rPr>
                <w:color w:val="auto"/>
                <w:highlight w:val="none"/>
              </w:rPr>
            </w:pPr>
          </w:p>
        </w:tc>
        <w:tc>
          <w:tcPr>
            <w:tcW w:w="1320" w:type="dxa"/>
            <w:gridSpan w:val="2"/>
            <w:tcBorders>
              <w:left w:val="single" w:color="000000" w:sz="4" w:space="0"/>
              <w:right w:val="single" w:color="000000" w:sz="4" w:space="0"/>
            </w:tcBorders>
          </w:tcPr>
          <w:p>
            <w:pPr>
              <w:spacing w:line="240" w:lineRule="auto"/>
              <w:rPr>
                <w:color w:val="auto"/>
                <w:highlight w:val="none"/>
              </w:rPr>
            </w:pPr>
          </w:p>
        </w:tc>
        <w:tc>
          <w:tcPr>
            <w:tcW w:w="1181" w:type="dxa"/>
            <w:gridSpan w:val="2"/>
            <w:tcBorders>
              <w:left w:val="single" w:color="000000" w:sz="4" w:space="0"/>
              <w:right w:val="single" w:color="000000" w:sz="4" w:space="0"/>
            </w:tcBorders>
          </w:tcPr>
          <w:p>
            <w:pPr>
              <w:spacing w:line="240" w:lineRule="auto"/>
              <w:rPr>
                <w:color w:val="auto"/>
                <w:highlight w:val="none"/>
              </w:rPr>
            </w:pPr>
          </w:p>
        </w:tc>
        <w:tc>
          <w:tcPr>
            <w:tcW w:w="1265" w:type="dxa"/>
            <w:tcBorders>
              <w:left w:val="single" w:color="000000" w:sz="4" w:space="0"/>
            </w:tcBorders>
          </w:tcPr>
          <w:p>
            <w:pPr>
              <w:spacing w:line="240" w:lineRule="auto"/>
              <w:rPr>
                <w:color w:val="auto"/>
                <w:highlight w:val="none"/>
              </w:rPr>
            </w:pPr>
          </w:p>
        </w:tc>
        <w:tc>
          <w:tcPr>
            <w:tcW w:w="1912" w:type="dxa"/>
          </w:tcPr>
          <w:p>
            <w:pPr>
              <w:spacing w:line="240" w:lineRule="auto"/>
              <w:rPr>
                <w:color w:val="auto"/>
                <w:highlight w:val="none"/>
              </w:rPr>
            </w:pPr>
          </w:p>
        </w:tc>
        <w:tc>
          <w:tcPr>
            <w:tcW w:w="760" w:type="dxa"/>
          </w:tcPr>
          <w:p>
            <w:pPr>
              <w:spacing w:line="240" w:lineRule="auto"/>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724" w:type="dxa"/>
            <w:tcBorders>
              <w:right w:val="single" w:color="000000" w:sz="4" w:space="0"/>
            </w:tcBorders>
          </w:tcPr>
          <w:p>
            <w:pPr>
              <w:spacing w:line="240" w:lineRule="auto"/>
              <w:rPr>
                <w:color w:val="auto"/>
                <w:highlight w:val="none"/>
              </w:rPr>
            </w:pPr>
          </w:p>
        </w:tc>
        <w:tc>
          <w:tcPr>
            <w:tcW w:w="1419" w:type="dxa"/>
            <w:tcBorders>
              <w:left w:val="single" w:color="000000" w:sz="4" w:space="0"/>
              <w:right w:val="single" w:color="000000" w:sz="4" w:space="0"/>
            </w:tcBorders>
          </w:tcPr>
          <w:p>
            <w:pPr>
              <w:spacing w:line="240" w:lineRule="auto"/>
              <w:rPr>
                <w:color w:val="auto"/>
                <w:highlight w:val="none"/>
              </w:rPr>
            </w:pPr>
          </w:p>
        </w:tc>
        <w:tc>
          <w:tcPr>
            <w:tcW w:w="1320" w:type="dxa"/>
            <w:gridSpan w:val="2"/>
            <w:tcBorders>
              <w:left w:val="single" w:color="000000" w:sz="4" w:space="0"/>
              <w:right w:val="single" w:color="000000" w:sz="4" w:space="0"/>
            </w:tcBorders>
          </w:tcPr>
          <w:p>
            <w:pPr>
              <w:spacing w:line="240" w:lineRule="auto"/>
              <w:rPr>
                <w:color w:val="auto"/>
                <w:highlight w:val="none"/>
              </w:rPr>
            </w:pPr>
          </w:p>
        </w:tc>
        <w:tc>
          <w:tcPr>
            <w:tcW w:w="1181" w:type="dxa"/>
            <w:gridSpan w:val="2"/>
            <w:tcBorders>
              <w:left w:val="single" w:color="000000" w:sz="4" w:space="0"/>
              <w:right w:val="single" w:color="000000" w:sz="4" w:space="0"/>
            </w:tcBorders>
          </w:tcPr>
          <w:p>
            <w:pPr>
              <w:spacing w:line="240" w:lineRule="auto"/>
              <w:rPr>
                <w:color w:val="auto"/>
                <w:highlight w:val="none"/>
              </w:rPr>
            </w:pPr>
          </w:p>
        </w:tc>
        <w:tc>
          <w:tcPr>
            <w:tcW w:w="1265" w:type="dxa"/>
            <w:tcBorders>
              <w:left w:val="single" w:color="000000" w:sz="4" w:space="0"/>
            </w:tcBorders>
          </w:tcPr>
          <w:p>
            <w:pPr>
              <w:spacing w:line="240" w:lineRule="auto"/>
              <w:rPr>
                <w:color w:val="auto"/>
                <w:highlight w:val="none"/>
              </w:rPr>
            </w:pPr>
          </w:p>
        </w:tc>
        <w:tc>
          <w:tcPr>
            <w:tcW w:w="1912" w:type="dxa"/>
          </w:tcPr>
          <w:p>
            <w:pPr>
              <w:spacing w:line="240" w:lineRule="auto"/>
              <w:rPr>
                <w:color w:val="auto"/>
                <w:highlight w:val="none"/>
              </w:rPr>
            </w:pPr>
          </w:p>
        </w:tc>
        <w:tc>
          <w:tcPr>
            <w:tcW w:w="760" w:type="dxa"/>
          </w:tcPr>
          <w:p>
            <w:pPr>
              <w:spacing w:line="240" w:lineRule="auto"/>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724" w:type="dxa"/>
            <w:tcBorders>
              <w:right w:val="single" w:color="000000" w:sz="4" w:space="0"/>
            </w:tcBorders>
          </w:tcPr>
          <w:p>
            <w:pPr>
              <w:spacing w:line="240" w:lineRule="auto"/>
              <w:rPr>
                <w:color w:val="auto"/>
                <w:highlight w:val="none"/>
              </w:rPr>
            </w:pPr>
          </w:p>
        </w:tc>
        <w:tc>
          <w:tcPr>
            <w:tcW w:w="1419" w:type="dxa"/>
            <w:tcBorders>
              <w:left w:val="single" w:color="000000" w:sz="4" w:space="0"/>
              <w:right w:val="single" w:color="000000" w:sz="4" w:space="0"/>
            </w:tcBorders>
          </w:tcPr>
          <w:p>
            <w:pPr>
              <w:spacing w:line="240" w:lineRule="auto"/>
              <w:rPr>
                <w:color w:val="auto"/>
                <w:highlight w:val="none"/>
              </w:rPr>
            </w:pPr>
          </w:p>
        </w:tc>
        <w:tc>
          <w:tcPr>
            <w:tcW w:w="1320" w:type="dxa"/>
            <w:gridSpan w:val="2"/>
            <w:tcBorders>
              <w:left w:val="single" w:color="000000" w:sz="4" w:space="0"/>
              <w:right w:val="single" w:color="000000" w:sz="4" w:space="0"/>
            </w:tcBorders>
          </w:tcPr>
          <w:p>
            <w:pPr>
              <w:spacing w:line="240" w:lineRule="auto"/>
              <w:rPr>
                <w:color w:val="auto"/>
                <w:highlight w:val="none"/>
              </w:rPr>
            </w:pPr>
          </w:p>
        </w:tc>
        <w:tc>
          <w:tcPr>
            <w:tcW w:w="1181" w:type="dxa"/>
            <w:gridSpan w:val="2"/>
            <w:tcBorders>
              <w:left w:val="single" w:color="000000" w:sz="4" w:space="0"/>
              <w:right w:val="single" w:color="000000" w:sz="4" w:space="0"/>
            </w:tcBorders>
          </w:tcPr>
          <w:p>
            <w:pPr>
              <w:spacing w:line="240" w:lineRule="auto"/>
              <w:rPr>
                <w:color w:val="auto"/>
                <w:highlight w:val="none"/>
              </w:rPr>
            </w:pPr>
          </w:p>
        </w:tc>
        <w:tc>
          <w:tcPr>
            <w:tcW w:w="1265" w:type="dxa"/>
            <w:tcBorders>
              <w:left w:val="single" w:color="000000" w:sz="4" w:space="0"/>
            </w:tcBorders>
          </w:tcPr>
          <w:p>
            <w:pPr>
              <w:spacing w:line="240" w:lineRule="auto"/>
              <w:rPr>
                <w:color w:val="auto"/>
                <w:highlight w:val="none"/>
              </w:rPr>
            </w:pPr>
          </w:p>
        </w:tc>
        <w:tc>
          <w:tcPr>
            <w:tcW w:w="1912" w:type="dxa"/>
          </w:tcPr>
          <w:p>
            <w:pPr>
              <w:spacing w:line="240" w:lineRule="auto"/>
              <w:rPr>
                <w:color w:val="auto"/>
                <w:highlight w:val="none"/>
              </w:rPr>
            </w:pPr>
          </w:p>
        </w:tc>
        <w:tc>
          <w:tcPr>
            <w:tcW w:w="760" w:type="dxa"/>
          </w:tcPr>
          <w:p>
            <w:pPr>
              <w:spacing w:line="240" w:lineRule="auto"/>
              <w:rPr>
                <w:color w:val="auto"/>
                <w:highlight w:val="none"/>
              </w:rPr>
            </w:pPr>
          </w:p>
        </w:tc>
      </w:tr>
    </w:tbl>
    <w:p>
      <w:pPr>
        <w:spacing w:line="240" w:lineRule="auto"/>
        <w:rPr>
          <w:color w:val="auto"/>
          <w:highlight w:val="none"/>
        </w:rPr>
      </w:pPr>
    </w:p>
    <w:p>
      <w:pPr>
        <w:spacing w:before="75" w:line="240" w:lineRule="auto"/>
        <w:ind w:left="493"/>
        <w:rPr>
          <w:rFonts w:ascii="宋体" w:hAnsi="宋体" w:eastAsia="宋体" w:cs="宋体"/>
          <w:b/>
          <w:bCs/>
          <w:color w:val="auto"/>
          <w:spacing w:val="9"/>
          <w:sz w:val="24"/>
          <w:szCs w:val="24"/>
          <w:highlight w:val="none"/>
        </w:rPr>
      </w:pPr>
      <w:r>
        <w:rPr>
          <w:rFonts w:hint="eastAsia" w:ascii="宋体" w:hAnsi="宋体" w:eastAsia="宋体" w:cs="宋体"/>
          <w:b/>
          <w:bCs/>
          <w:color w:val="auto"/>
          <w:spacing w:val="9"/>
          <w:sz w:val="24"/>
          <w:szCs w:val="24"/>
          <w:highlight w:val="none"/>
        </w:rPr>
        <w:t>注：以上业绩需提供有关书面证明材料。</w:t>
      </w:r>
    </w:p>
    <w:p>
      <w:pPr>
        <w:spacing w:line="240" w:lineRule="auto"/>
        <w:rPr>
          <w:color w:val="auto"/>
          <w:sz w:val="24"/>
          <w:szCs w:val="24"/>
          <w:highlight w:val="none"/>
        </w:rPr>
      </w:pPr>
    </w:p>
    <w:p>
      <w:pPr>
        <w:spacing w:line="240" w:lineRule="auto"/>
        <w:rPr>
          <w:color w:val="auto"/>
          <w:sz w:val="24"/>
          <w:szCs w:val="24"/>
          <w:highlight w:val="none"/>
        </w:rPr>
      </w:pPr>
    </w:p>
    <w:p>
      <w:pPr>
        <w:spacing w:before="76" w:line="240" w:lineRule="auto"/>
        <w:ind w:left="494" w:right="589" w:firstLine="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ascii="宋体" w:hAnsi="宋体" w:eastAsia="宋体" w:cs="宋体"/>
          <w:color w:val="auto"/>
          <w:spacing w:val="-1"/>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w:t>
      </w:r>
    </w:p>
    <w:p>
      <w:pPr>
        <w:spacing w:before="77" w:line="240" w:lineRule="auto"/>
        <w:ind w:left="49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 ：</w:t>
      </w:r>
      <w:r>
        <w:rPr>
          <w:rFonts w:ascii="宋体" w:hAnsi="宋体" w:eastAsia="宋体" w:cs="宋体"/>
          <w:color w:val="auto"/>
          <w:sz w:val="24"/>
          <w:szCs w:val="24"/>
          <w:highlight w:val="none"/>
          <w:u w:val="single"/>
        </w:rPr>
        <w:t xml:space="preserve">        </w:t>
      </w:r>
    </w:p>
    <w:p>
      <w:pPr>
        <w:spacing w:before="78" w:line="240" w:lineRule="auto"/>
        <w:ind w:left="535"/>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240" w:lineRule="auto"/>
        <w:rPr>
          <w:color w:val="auto"/>
          <w:highlight w:val="none"/>
        </w:rPr>
        <w:sectPr>
          <w:headerReference r:id="rId29" w:type="default"/>
          <w:footerReference r:id="rId30" w:type="default"/>
          <w:type w:val="continuous"/>
          <w:pgSz w:w="11905" w:h="16838"/>
          <w:pgMar w:top="1417" w:right="1417" w:bottom="1417" w:left="1417" w:header="0" w:footer="1134" w:gutter="0"/>
          <w:cols w:space="0" w:num="1"/>
        </w:sectPr>
      </w:pPr>
    </w:p>
    <w:p>
      <w:pPr>
        <w:spacing w:before="3" w:line="240" w:lineRule="auto"/>
        <w:ind w:right="13"/>
        <w:jc w:val="center"/>
        <w:outlineLvl w:val="9"/>
        <w:rPr>
          <w:rFonts w:ascii="宋体" w:hAnsi="宋体" w:eastAsia="宋体" w:cs="宋体"/>
          <w:b/>
          <w:bCs/>
          <w:color w:val="auto"/>
          <w:sz w:val="32"/>
          <w:szCs w:val="32"/>
          <w:highlight w:val="none"/>
        </w:rPr>
      </w:pPr>
      <w:bookmarkStart w:id="144" w:name="_Toc18877"/>
      <w:bookmarkStart w:id="145" w:name="_Toc5419"/>
      <w:r>
        <w:rPr>
          <w:rFonts w:hint="eastAsia" w:ascii="宋体" w:hAnsi="宋体" w:eastAsia="宋体" w:cs="宋体"/>
          <w:b/>
          <w:bCs/>
          <w:color w:val="auto"/>
          <w:sz w:val="32"/>
          <w:szCs w:val="32"/>
          <w:highlight w:val="none"/>
          <w:lang w:eastAsia="zh-CN"/>
        </w:rPr>
        <w:t>七</w:t>
      </w:r>
      <w:r>
        <w:rPr>
          <w:rFonts w:hint="eastAsia" w:ascii="宋体" w:hAnsi="宋体" w:eastAsia="宋体" w:cs="宋体"/>
          <w:b/>
          <w:bCs/>
          <w:color w:val="auto"/>
          <w:sz w:val="32"/>
          <w:szCs w:val="32"/>
          <w:highlight w:val="none"/>
        </w:rPr>
        <w:t>、技术</w:t>
      </w:r>
      <w:r>
        <w:rPr>
          <w:rFonts w:hint="eastAsia" w:ascii="宋体" w:hAnsi="宋体" w:eastAsia="宋体" w:cs="宋体"/>
          <w:b/>
          <w:bCs/>
          <w:color w:val="auto"/>
          <w:sz w:val="32"/>
          <w:szCs w:val="32"/>
          <w:highlight w:val="none"/>
          <w:lang w:val="en-US" w:eastAsia="zh-CN"/>
        </w:rPr>
        <w:t>服务</w:t>
      </w:r>
      <w:r>
        <w:rPr>
          <w:rFonts w:hint="eastAsia" w:ascii="宋体" w:hAnsi="宋体" w:eastAsia="宋体" w:cs="宋体"/>
          <w:b/>
          <w:bCs/>
          <w:color w:val="auto"/>
          <w:sz w:val="32"/>
          <w:szCs w:val="32"/>
          <w:highlight w:val="none"/>
        </w:rPr>
        <w:t>应答表</w:t>
      </w:r>
      <w:bookmarkEnd w:id="144"/>
      <w:bookmarkEnd w:id="145"/>
    </w:p>
    <w:p>
      <w:pPr>
        <w:spacing w:line="240" w:lineRule="auto"/>
        <w:rPr>
          <w:color w:val="auto"/>
          <w:highlight w:val="none"/>
        </w:rPr>
      </w:pPr>
    </w:p>
    <w:tbl>
      <w:tblPr>
        <w:tblStyle w:val="23"/>
        <w:tblpPr w:leftFromText="180" w:rightFromText="180" w:vertAnchor="text" w:horzAnchor="page" w:tblpX="1411" w:tblpY="258"/>
        <w:tblOverlap w:val="never"/>
        <w:tblW w:w="86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0"/>
        <w:gridCol w:w="2049"/>
        <w:gridCol w:w="2859"/>
        <w:gridCol w:w="29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30" w:type="dxa"/>
          </w:tcPr>
          <w:p>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序号</w:t>
            </w:r>
          </w:p>
        </w:tc>
        <w:tc>
          <w:tcPr>
            <w:tcW w:w="2049" w:type="dxa"/>
          </w:tcPr>
          <w:p>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招标文件要求</w:t>
            </w:r>
          </w:p>
        </w:tc>
        <w:tc>
          <w:tcPr>
            <w:tcW w:w="2859" w:type="dxa"/>
          </w:tcPr>
          <w:p>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投标文件要求</w:t>
            </w:r>
          </w:p>
        </w:tc>
        <w:tc>
          <w:tcPr>
            <w:tcW w:w="2979" w:type="dxa"/>
          </w:tcPr>
          <w:p>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偏离及其影响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30" w:type="dxa"/>
          </w:tcPr>
          <w:p>
            <w:pPr>
              <w:spacing w:line="240" w:lineRule="auto"/>
              <w:rPr>
                <w:color w:val="auto"/>
                <w:sz w:val="24"/>
                <w:szCs w:val="24"/>
                <w:highlight w:val="none"/>
              </w:rPr>
            </w:pPr>
          </w:p>
        </w:tc>
        <w:tc>
          <w:tcPr>
            <w:tcW w:w="2049" w:type="dxa"/>
          </w:tcPr>
          <w:p>
            <w:pPr>
              <w:spacing w:line="240" w:lineRule="auto"/>
              <w:rPr>
                <w:color w:val="auto"/>
                <w:sz w:val="24"/>
                <w:szCs w:val="24"/>
                <w:highlight w:val="none"/>
              </w:rPr>
            </w:pPr>
          </w:p>
        </w:tc>
        <w:tc>
          <w:tcPr>
            <w:tcW w:w="2859" w:type="dxa"/>
          </w:tcPr>
          <w:p>
            <w:pPr>
              <w:spacing w:line="240" w:lineRule="auto"/>
              <w:rPr>
                <w:color w:val="auto"/>
                <w:sz w:val="24"/>
                <w:szCs w:val="24"/>
                <w:highlight w:val="none"/>
              </w:rPr>
            </w:pPr>
          </w:p>
        </w:tc>
        <w:tc>
          <w:tcPr>
            <w:tcW w:w="2979" w:type="dxa"/>
          </w:tcPr>
          <w:p>
            <w:pPr>
              <w:spacing w:line="240" w:lineRule="auto"/>
              <w:rPr>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30" w:type="dxa"/>
          </w:tcPr>
          <w:p>
            <w:pPr>
              <w:spacing w:line="240" w:lineRule="auto"/>
              <w:rPr>
                <w:color w:val="auto"/>
                <w:sz w:val="24"/>
                <w:szCs w:val="24"/>
                <w:highlight w:val="none"/>
              </w:rPr>
            </w:pPr>
          </w:p>
        </w:tc>
        <w:tc>
          <w:tcPr>
            <w:tcW w:w="2049" w:type="dxa"/>
          </w:tcPr>
          <w:p>
            <w:pPr>
              <w:spacing w:line="240" w:lineRule="auto"/>
              <w:rPr>
                <w:color w:val="auto"/>
                <w:sz w:val="24"/>
                <w:szCs w:val="24"/>
                <w:highlight w:val="none"/>
              </w:rPr>
            </w:pPr>
          </w:p>
        </w:tc>
        <w:tc>
          <w:tcPr>
            <w:tcW w:w="2859" w:type="dxa"/>
          </w:tcPr>
          <w:p>
            <w:pPr>
              <w:spacing w:line="240" w:lineRule="auto"/>
              <w:rPr>
                <w:color w:val="auto"/>
                <w:sz w:val="24"/>
                <w:szCs w:val="24"/>
                <w:highlight w:val="none"/>
              </w:rPr>
            </w:pPr>
          </w:p>
        </w:tc>
        <w:tc>
          <w:tcPr>
            <w:tcW w:w="2979" w:type="dxa"/>
          </w:tcPr>
          <w:p>
            <w:pPr>
              <w:spacing w:line="240" w:lineRule="auto"/>
              <w:rPr>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30" w:type="dxa"/>
          </w:tcPr>
          <w:p>
            <w:pPr>
              <w:spacing w:line="240" w:lineRule="auto"/>
              <w:rPr>
                <w:color w:val="auto"/>
                <w:sz w:val="24"/>
                <w:szCs w:val="24"/>
                <w:highlight w:val="none"/>
              </w:rPr>
            </w:pPr>
          </w:p>
        </w:tc>
        <w:tc>
          <w:tcPr>
            <w:tcW w:w="2049" w:type="dxa"/>
          </w:tcPr>
          <w:p>
            <w:pPr>
              <w:spacing w:line="240" w:lineRule="auto"/>
              <w:rPr>
                <w:color w:val="auto"/>
                <w:sz w:val="24"/>
                <w:szCs w:val="24"/>
                <w:highlight w:val="none"/>
              </w:rPr>
            </w:pPr>
          </w:p>
        </w:tc>
        <w:tc>
          <w:tcPr>
            <w:tcW w:w="2859" w:type="dxa"/>
          </w:tcPr>
          <w:p>
            <w:pPr>
              <w:spacing w:line="240" w:lineRule="auto"/>
              <w:rPr>
                <w:color w:val="auto"/>
                <w:sz w:val="24"/>
                <w:szCs w:val="24"/>
                <w:highlight w:val="none"/>
              </w:rPr>
            </w:pPr>
          </w:p>
        </w:tc>
        <w:tc>
          <w:tcPr>
            <w:tcW w:w="2979" w:type="dxa"/>
          </w:tcPr>
          <w:p>
            <w:pPr>
              <w:spacing w:line="240" w:lineRule="auto"/>
              <w:rPr>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30" w:type="dxa"/>
          </w:tcPr>
          <w:p>
            <w:pPr>
              <w:spacing w:line="240" w:lineRule="auto"/>
              <w:rPr>
                <w:color w:val="auto"/>
                <w:sz w:val="24"/>
                <w:szCs w:val="24"/>
                <w:highlight w:val="none"/>
              </w:rPr>
            </w:pPr>
          </w:p>
        </w:tc>
        <w:tc>
          <w:tcPr>
            <w:tcW w:w="2049" w:type="dxa"/>
          </w:tcPr>
          <w:p>
            <w:pPr>
              <w:spacing w:line="240" w:lineRule="auto"/>
              <w:rPr>
                <w:color w:val="auto"/>
                <w:sz w:val="24"/>
                <w:szCs w:val="24"/>
                <w:highlight w:val="none"/>
              </w:rPr>
            </w:pPr>
          </w:p>
        </w:tc>
        <w:tc>
          <w:tcPr>
            <w:tcW w:w="2859" w:type="dxa"/>
          </w:tcPr>
          <w:p>
            <w:pPr>
              <w:spacing w:line="240" w:lineRule="auto"/>
              <w:rPr>
                <w:color w:val="auto"/>
                <w:sz w:val="24"/>
                <w:szCs w:val="24"/>
                <w:highlight w:val="none"/>
              </w:rPr>
            </w:pPr>
          </w:p>
        </w:tc>
        <w:tc>
          <w:tcPr>
            <w:tcW w:w="2979" w:type="dxa"/>
          </w:tcPr>
          <w:p>
            <w:pPr>
              <w:spacing w:line="240" w:lineRule="auto"/>
              <w:rPr>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30" w:type="dxa"/>
          </w:tcPr>
          <w:p>
            <w:pPr>
              <w:spacing w:line="240" w:lineRule="auto"/>
              <w:rPr>
                <w:color w:val="auto"/>
                <w:sz w:val="24"/>
                <w:szCs w:val="24"/>
                <w:highlight w:val="none"/>
              </w:rPr>
            </w:pPr>
          </w:p>
        </w:tc>
        <w:tc>
          <w:tcPr>
            <w:tcW w:w="2049" w:type="dxa"/>
          </w:tcPr>
          <w:p>
            <w:pPr>
              <w:spacing w:line="240" w:lineRule="auto"/>
              <w:rPr>
                <w:color w:val="auto"/>
                <w:sz w:val="24"/>
                <w:szCs w:val="24"/>
                <w:highlight w:val="none"/>
              </w:rPr>
            </w:pPr>
          </w:p>
        </w:tc>
        <w:tc>
          <w:tcPr>
            <w:tcW w:w="2859" w:type="dxa"/>
          </w:tcPr>
          <w:p>
            <w:pPr>
              <w:spacing w:line="240" w:lineRule="auto"/>
              <w:rPr>
                <w:color w:val="auto"/>
                <w:sz w:val="24"/>
                <w:szCs w:val="24"/>
                <w:highlight w:val="none"/>
              </w:rPr>
            </w:pPr>
          </w:p>
        </w:tc>
        <w:tc>
          <w:tcPr>
            <w:tcW w:w="2979" w:type="dxa"/>
          </w:tcPr>
          <w:p>
            <w:pPr>
              <w:spacing w:line="240" w:lineRule="auto"/>
              <w:rPr>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30" w:type="dxa"/>
          </w:tcPr>
          <w:p>
            <w:pPr>
              <w:spacing w:line="240" w:lineRule="auto"/>
              <w:rPr>
                <w:color w:val="auto"/>
                <w:sz w:val="24"/>
                <w:szCs w:val="24"/>
                <w:highlight w:val="none"/>
              </w:rPr>
            </w:pPr>
          </w:p>
        </w:tc>
        <w:tc>
          <w:tcPr>
            <w:tcW w:w="2049" w:type="dxa"/>
          </w:tcPr>
          <w:p>
            <w:pPr>
              <w:spacing w:line="240" w:lineRule="auto"/>
              <w:rPr>
                <w:color w:val="auto"/>
                <w:sz w:val="24"/>
                <w:szCs w:val="24"/>
                <w:highlight w:val="none"/>
              </w:rPr>
            </w:pPr>
          </w:p>
        </w:tc>
        <w:tc>
          <w:tcPr>
            <w:tcW w:w="2859" w:type="dxa"/>
          </w:tcPr>
          <w:p>
            <w:pPr>
              <w:spacing w:line="240" w:lineRule="auto"/>
              <w:rPr>
                <w:color w:val="auto"/>
                <w:sz w:val="24"/>
                <w:szCs w:val="24"/>
                <w:highlight w:val="none"/>
              </w:rPr>
            </w:pPr>
          </w:p>
        </w:tc>
        <w:tc>
          <w:tcPr>
            <w:tcW w:w="2979" w:type="dxa"/>
          </w:tcPr>
          <w:p>
            <w:pPr>
              <w:spacing w:line="240" w:lineRule="auto"/>
              <w:rPr>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30" w:type="dxa"/>
          </w:tcPr>
          <w:p>
            <w:pPr>
              <w:spacing w:line="240" w:lineRule="auto"/>
              <w:rPr>
                <w:color w:val="auto"/>
                <w:sz w:val="24"/>
                <w:szCs w:val="24"/>
                <w:highlight w:val="none"/>
              </w:rPr>
            </w:pPr>
          </w:p>
        </w:tc>
        <w:tc>
          <w:tcPr>
            <w:tcW w:w="2049" w:type="dxa"/>
          </w:tcPr>
          <w:p>
            <w:pPr>
              <w:spacing w:line="240" w:lineRule="auto"/>
              <w:rPr>
                <w:color w:val="auto"/>
                <w:sz w:val="24"/>
                <w:szCs w:val="24"/>
                <w:highlight w:val="none"/>
              </w:rPr>
            </w:pPr>
          </w:p>
        </w:tc>
        <w:tc>
          <w:tcPr>
            <w:tcW w:w="2859" w:type="dxa"/>
          </w:tcPr>
          <w:p>
            <w:pPr>
              <w:spacing w:line="240" w:lineRule="auto"/>
              <w:rPr>
                <w:color w:val="auto"/>
                <w:sz w:val="24"/>
                <w:szCs w:val="24"/>
                <w:highlight w:val="none"/>
              </w:rPr>
            </w:pPr>
          </w:p>
        </w:tc>
        <w:tc>
          <w:tcPr>
            <w:tcW w:w="2979" w:type="dxa"/>
          </w:tcPr>
          <w:p>
            <w:pPr>
              <w:spacing w:line="240" w:lineRule="auto"/>
              <w:rPr>
                <w:color w:val="auto"/>
                <w:sz w:val="24"/>
                <w:szCs w:val="24"/>
                <w:highlight w:val="none"/>
              </w:rPr>
            </w:pPr>
          </w:p>
        </w:tc>
      </w:tr>
    </w:tbl>
    <w:p>
      <w:pPr>
        <w:spacing w:before="75" w:line="240" w:lineRule="auto"/>
        <w:ind w:left="642"/>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r>
        <w:rPr>
          <w:rFonts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6"/>
          <w:sz w:val="24"/>
          <w:szCs w:val="24"/>
          <w:highlight w:val="none"/>
        </w:rPr>
        <w:t>招标编号：</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240" w:lineRule="auto"/>
        <w:ind w:right="13"/>
        <w:rPr>
          <w:rFonts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注：供应商的投标应答如和第六章除商务要求以外的部分没有偏离可以不予填写（视为完全响应），如有任何正负偏离请于明确此表格。</w:t>
      </w:r>
    </w:p>
    <w:p>
      <w:pPr>
        <w:spacing w:line="240" w:lineRule="auto"/>
        <w:rPr>
          <w:color w:val="auto"/>
          <w:sz w:val="24"/>
          <w:szCs w:val="24"/>
          <w:highlight w:val="none"/>
        </w:rPr>
      </w:pPr>
    </w:p>
    <w:p>
      <w:pPr>
        <w:spacing w:before="76" w:line="240" w:lineRule="auto"/>
        <w:ind w:left="494" w:right="589" w:firstLine="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ascii="宋体" w:hAnsi="宋体" w:eastAsia="宋体" w:cs="宋体"/>
          <w:color w:val="auto"/>
          <w:spacing w:val="-1"/>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w:t>
      </w:r>
    </w:p>
    <w:p>
      <w:pPr>
        <w:spacing w:before="77" w:line="240" w:lineRule="auto"/>
        <w:ind w:left="49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 ：</w:t>
      </w:r>
      <w:r>
        <w:rPr>
          <w:rFonts w:ascii="宋体" w:hAnsi="宋体" w:eastAsia="宋体" w:cs="宋体"/>
          <w:color w:val="auto"/>
          <w:sz w:val="24"/>
          <w:szCs w:val="24"/>
          <w:highlight w:val="none"/>
          <w:u w:val="single"/>
        </w:rPr>
        <w:t xml:space="preserve">        </w:t>
      </w:r>
    </w:p>
    <w:p>
      <w:pPr>
        <w:spacing w:before="78" w:line="240" w:lineRule="auto"/>
        <w:ind w:left="535"/>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240" w:lineRule="auto"/>
        <w:rPr>
          <w:color w:val="auto"/>
          <w:highlight w:val="none"/>
        </w:rPr>
        <w:sectPr>
          <w:headerReference r:id="rId31" w:type="default"/>
          <w:footerReference r:id="rId32" w:type="default"/>
          <w:pgSz w:w="11905" w:h="16838"/>
          <w:pgMar w:top="1417" w:right="1417" w:bottom="1417" w:left="1417" w:header="0" w:footer="1134" w:gutter="0"/>
          <w:cols w:space="0" w:num="1"/>
        </w:sectPr>
      </w:pPr>
    </w:p>
    <w:p>
      <w:pPr>
        <w:spacing w:before="3" w:line="240" w:lineRule="auto"/>
        <w:ind w:right="13"/>
        <w:jc w:val="center"/>
        <w:outlineLvl w:val="9"/>
        <w:rPr>
          <w:rFonts w:ascii="宋体" w:hAnsi="宋体" w:eastAsia="宋体" w:cs="宋体"/>
          <w:b/>
          <w:bCs/>
          <w:color w:val="auto"/>
          <w:sz w:val="32"/>
          <w:szCs w:val="32"/>
          <w:highlight w:val="none"/>
        </w:rPr>
      </w:pPr>
      <w:bookmarkStart w:id="146" w:name="_Toc16062"/>
      <w:bookmarkStart w:id="147" w:name="_Toc884"/>
      <w:r>
        <w:rPr>
          <w:rFonts w:hint="eastAsia" w:ascii="宋体" w:hAnsi="宋体" w:eastAsia="宋体" w:cs="宋体"/>
          <w:b/>
          <w:bCs/>
          <w:color w:val="auto"/>
          <w:sz w:val="32"/>
          <w:szCs w:val="32"/>
          <w:highlight w:val="none"/>
          <w:lang w:eastAsia="zh-CN"/>
        </w:rPr>
        <w:t>八</w:t>
      </w:r>
      <w:r>
        <w:rPr>
          <w:rFonts w:hint="eastAsia" w:ascii="宋体" w:hAnsi="宋体" w:eastAsia="宋体" w:cs="宋体"/>
          <w:b/>
          <w:bCs/>
          <w:color w:val="auto"/>
          <w:sz w:val="32"/>
          <w:szCs w:val="32"/>
          <w:highlight w:val="none"/>
        </w:rPr>
        <w:t>、投标人本项目管理、技术、服务人员情况表</w:t>
      </w:r>
      <w:bookmarkEnd w:id="146"/>
      <w:bookmarkEnd w:id="147"/>
    </w:p>
    <w:p>
      <w:pPr>
        <w:spacing w:line="240" w:lineRule="auto"/>
        <w:rPr>
          <w:color w:val="auto"/>
          <w:highlight w:val="none"/>
        </w:rPr>
      </w:pPr>
    </w:p>
    <w:p>
      <w:pPr>
        <w:spacing w:before="75" w:line="240" w:lineRule="auto"/>
        <w:ind w:firstLine="456" w:firstLineChars="200"/>
        <w:rPr>
          <w:rFonts w:ascii="宋体" w:hAnsi="宋体" w:eastAsia="宋体" w:cs="宋体"/>
          <w:color w:val="auto"/>
          <w:sz w:val="23"/>
          <w:szCs w:val="23"/>
          <w:highlight w:val="none"/>
        </w:rPr>
      </w:pPr>
      <w:r>
        <w:rPr>
          <w:rFonts w:ascii="宋体" w:hAnsi="宋体" w:eastAsia="宋体" w:cs="宋体"/>
          <w:color w:val="auto"/>
          <w:spacing w:val="-6"/>
          <w:sz w:val="24"/>
          <w:szCs w:val="24"/>
          <w:highlight w:val="none"/>
        </w:rPr>
        <w:t>项目名称</w:t>
      </w:r>
      <w:r>
        <w:rPr>
          <w:rFonts w:ascii="宋体" w:hAnsi="宋体" w:eastAsia="宋体" w:cs="宋体"/>
          <w:color w:val="auto"/>
          <w:spacing w:val="-5"/>
          <w:sz w:val="24"/>
          <w:szCs w:val="24"/>
          <w:highlight w:val="none"/>
        </w:rPr>
        <w:t>：</w:t>
      </w:r>
      <w:r>
        <w:rPr>
          <w:rFonts w:ascii="宋体" w:hAnsi="宋体" w:eastAsia="宋体" w:cs="宋体"/>
          <w:color w:val="auto"/>
          <w:spacing w:val="-3"/>
          <w:sz w:val="24"/>
          <w:szCs w:val="24"/>
          <w:highlight w:val="none"/>
          <w:u w:val="single"/>
        </w:rPr>
        <w:t xml:space="preserve">               </w:t>
      </w:r>
      <w:r>
        <w:rPr>
          <w:rFonts w:ascii="宋体" w:hAnsi="宋体" w:eastAsia="宋体" w:cs="宋体"/>
          <w:color w:val="auto"/>
          <w:spacing w:val="-3"/>
          <w:sz w:val="24"/>
          <w:szCs w:val="24"/>
          <w:highlight w:val="none"/>
        </w:rPr>
        <w:t>招标编号：</w:t>
      </w:r>
      <w:r>
        <w:rPr>
          <w:rFonts w:ascii="宋体" w:hAnsi="宋体" w:eastAsia="宋体" w:cs="宋体"/>
          <w:color w:val="auto"/>
          <w:sz w:val="24"/>
          <w:szCs w:val="24"/>
          <w:highlight w:val="none"/>
          <w:u w:val="single"/>
        </w:rPr>
        <w:t xml:space="preserve">              </w:t>
      </w:r>
      <w:r>
        <w:rPr>
          <w:rFonts w:ascii="宋体" w:hAnsi="宋体" w:eastAsia="宋体" w:cs="宋体"/>
          <w:color w:val="auto"/>
          <w:sz w:val="23"/>
          <w:szCs w:val="23"/>
          <w:highlight w:val="none"/>
        </w:rPr>
        <w:t xml:space="preserve"> </w:t>
      </w:r>
      <w:r>
        <w:rPr>
          <w:rFonts w:hint="eastAsia" w:ascii="宋体" w:hAnsi="宋体" w:eastAsia="宋体" w:cs="宋体"/>
          <w:color w:val="auto"/>
          <w:sz w:val="23"/>
          <w:szCs w:val="23"/>
          <w:highlight w:val="none"/>
        </w:rPr>
        <w:t xml:space="preserve">  </w:t>
      </w:r>
    </w:p>
    <w:tbl>
      <w:tblPr>
        <w:tblStyle w:val="23"/>
        <w:tblW w:w="7576" w:type="dxa"/>
        <w:tblInd w:w="3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8"/>
        <w:gridCol w:w="806"/>
        <w:gridCol w:w="807"/>
        <w:gridCol w:w="807"/>
        <w:gridCol w:w="807"/>
        <w:gridCol w:w="850"/>
        <w:gridCol w:w="959"/>
        <w:gridCol w:w="846"/>
        <w:gridCol w:w="7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958" w:type="dxa"/>
            <w:vMerge w:val="restart"/>
            <w:tcBorders>
              <w:bottom w:val="nil"/>
            </w:tcBorders>
          </w:tcPr>
          <w:p>
            <w:pPr>
              <w:spacing w:line="240" w:lineRule="auto"/>
              <w:rPr>
                <w:color w:val="auto"/>
                <w:sz w:val="24"/>
                <w:szCs w:val="24"/>
                <w:highlight w:val="none"/>
              </w:rPr>
            </w:pPr>
          </w:p>
          <w:p>
            <w:pPr>
              <w:spacing w:before="75" w:line="240" w:lineRule="auto"/>
              <w:ind w:left="117"/>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类别</w:t>
            </w:r>
          </w:p>
        </w:tc>
        <w:tc>
          <w:tcPr>
            <w:tcW w:w="806" w:type="dxa"/>
            <w:vMerge w:val="restart"/>
            <w:tcBorders>
              <w:bottom w:val="nil"/>
            </w:tcBorders>
          </w:tcPr>
          <w:p>
            <w:pPr>
              <w:spacing w:line="240" w:lineRule="auto"/>
              <w:rPr>
                <w:color w:val="auto"/>
                <w:sz w:val="24"/>
                <w:szCs w:val="24"/>
                <w:highlight w:val="none"/>
              </w:rPr>
            </w:pPr>
          </w:p>
          <w:p>
            <w:pPr>
              <w:spacing w:before="75" w:line="240" w:lineRule="auto"/>
              <w:ind w:left="113"/>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职</w:t>
            </w:r>
            <w:r>
              <w:rPr>
                <w:rFonts w:ascii="宋体" w:hAnsi="宋体" w:eastAsia="宋体" w:cs="宋体"/>
                <w:color w:val="auto"/>
                <w:spacing w:val="4"/>
                <w:sz w:val="24"/>
                <w:szCs w:val="24"/>
                <w:highlight w:val="none"/>
              </w:rPr>
              <w:t>务</w:t>
            </w:r>
          </w:p>
        </w:tc>
        <w:tc>
          <w:tcPr>
            <w:tcW w:w="807" w:type="dxa"/>
            <w:vMerge w:val="restart"/>
            <w:tcBorders>
              <w:bottom w:val="nil"/>
            </w:tcBorders>
          </w:tcPr>
          <w:p>
            <w:pPr>
              <w:spacing w:line="240" w:lineRule="auto"/>
              <w:rPr>
                <w:color w:val="auto"/>
                <w:sz w:val="24"/>
                <w:szCs w:val="24"/>
                <w:highlight w:val="none"/>
              </w:rPr>
            </w:pPr>
          </w:p>
          <w:p>
            <w:pPr>
              <w:spacing w:before="75" w:line="240" w:lineRule="auto"/>
              <w:ind w:left="114"/>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姓名</w:t>
            </w:r>
          </w:p>
        </w:tc>
        <w:tc>
          <w:tcPr>
            <w:tcW w:w="807" w:type="dxa"/>
            <w:vMerge w:val="restart"/>
            <w:tcBorders>
              <w:bottom w:val="nil"/>
            </w:tcBorders>
          </w:tcPr>
          <w:p>
            <w:pPr>
              <w:spacing w:line="240" w:lineRule="auto"/>
              <w:rPr>
                <w:color w:val="auto"/>
                <w:sz w:val="24"/>
                <w:szCs w:val="24"/>
                <w:highlight w:val="none"/>
              </w:rPr>
            </w:pPr>
          </w:p>
          <w:p>
            <w:pPr>
              <w:spacing w:before="74" w:line="240" w:lineRule="auto"/>
              <w:ind w:left="115"/>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职</w:t>
            </w:r>
            <w:r>
              <w:rPr>
                <w:rFonts w:ascii="宋体" w:hAnsi="宋体" w:eastAsia="宋体" w:cs="宋体"/>
                <w:color w:val="auto"/>
                <w:spacing w:val="4"/>
                <w:sz w:val="24"/>
                <w:szCs w:val="24"/>
                <w:highlight w:val="none"/>
              </w:rPr>
              <w:t>称</w:t>
            </w:r>
          </w:p>
        </w:tc>
        <w:tc>
          <w:tcPr>
            <w:tcW w:w="807" w:type="dxa"/>
            <w:vMerge w:val="restart"/>
            <w:tcBorders>
              <w:bottom w:val="nil"/>
            </w:tcBorders>
          </w:tcPr>
          <w:p>
            <w:pPr>
              <w:spacing w:line="240" w:lineRule="auto"/>
              <w:rPr>
                <w:color w:val="auto"/>
                <w:sz w:val="24"/>
                <w:szCs w:val="24"/>
                <w:highlight w:val="none"/>
              </w:rPr>
            </w:pPr>
          </w:p>
          <w:p>
            <w:pPr>
              <w:spacing w:before="75" w:line="240" w:lineRule="auto"/>
              <w:ind w:left="119"/>
              <w:rPr>
                <w:rFonts w:ascii="宋体" w:hAnsi="宋体" w:eastAsia="宋体" w:cs="宋体"/>
                <w:color w:val="auto"/>
                <w:sz w:val="24"/>
                <w:szCs w:val="24"/>
                <w:highlight w:val="none"/>
              </w:rPr>
            </w:pPr>
            <w:r>
              <w:rPr>
                <w:rFonts w:ascii="宋体" w:hAnsi="宋体" w:eastAsia="宋体" w:cs="宋体"/>
                <w:color w:val="auto"/>
                <w:spacing w:val="2"/>
                <w:position w:val="9"/>
                <w:sz w:val="24"/>
                <w:szCs w:val="24"/>
                <w:highlight w:val="none"/>
              </w:rPr>
              <w:t>常住</w:t>
            </w:r>
          </w:p>
          <w:p>
            <w:pPr>
              <w:spacing w:line="240" w:lineRule="auto"/>
              <w:ind w:left="113"/>
              <w:rPr>
                <w:rFonts w:ascii="宋体" w:hAnsi="宋体" w:eastAsia="宋体" w:cs="宋体"/>
                <w:color w:val="auto"/>
                <w:sz w:val="24"/>
                <w:szCs w:val="24"/>
                <w:highlight w:val="none"/>
              </w:rPr>
            </w:pPr>
            <w:r>
              <w:rPr>
                <w:rFonts w:ascii="宋体" w:hAnsi="宋体" w:eastAsia="宋体" w:cs="宋体"/>
                <w:color w:val="auto"/>
                <w:sz w:val="24"/>
                <w:szCs w:val="24"/>
                <w:highlight w:val="none"/>
              </w:rPr>
              <w:t>地</w:t>
            </w:r>
          </w:p>
        </w:tc>
        <w:tc>
          <w:tcPr>
            <w:tcW w:w="3391" w:type="dxa"/>
            <w:gridSpan w:val="4"/>
          </w:tcPr>
          <w:p>
            <w:pPr>
              <w:spacing w:before="175" w:line="240" w:lineRule="auto"/>
              <w:ind w:left="593"/>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资</w:t>
            </w:r>
            <w:r>
              <w:rPr>
                <w:rFonts w:ascii="宋体" w:hAnsi="宋体" w:eastAsia="宋体" w:cs="宋体"/>
                <w:color w:val="auto"/>
                <w:spacing w:val="6"/>
                <w:sz w:val="24"/>
                <w:szCs w:val="24"/>
                <w:highlight w:val="none"/>
              </w:rPr>
              <w:t>格证明 (附复印件)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958" w:type="dxa"/>
            <w:vMerge w:val="continue"/>
            <w:tcBorders>
              <w:top w:val="nil"/>
            </w:tcBorders>
          </w:tcPr>
          <w:p>
            <w:pPr>
              <w:spacing w:line="240" w:lineRule="auto"/>
              <w:rPr>
                <w:color w:val="auto"/>
                <w:sz w:val="24"/>
                <w:szCs w:val="24"/>
                <w:highlight w:val="none"/>
              </w:rPr>
            </w:pPr>
          </w:p>
        </w:tc>
        <w:tc>
          <w:tcPr>
            <w:tcW w:w="806" w:type="dxa"/>
            <w:vMerge w:val="continue"/>
            <w:tcBorders>
              <w:top w:val="nil"/>
            </w:tcBorders>
          </w:tcPr>
          <w:p>
            <w:pPr>
              <w:spacing w:line="240" w:lineRule="auto"/>
              <w:rPr>
                <w:color w:val="auto"/>
                <w:sz w:val="24"/>
                <w:szCs w:val="24"/>
                <w:highlight w:val="none"/>
              </w:rPr>
            </w:pPr>
          </w:p>
        </w:tc>
        <w:tc>
          <w:tcPr>
            <w:tcW w:w="807" w:type="dxa"/>
            <w:vMerge w:val="continue"/>
            <w:tcBorders>
              <w:top w:val="nil"/>
            </w:tcBorders>
          </w:tcPr>
          <w:p>
            <w:pPr>
              <w:spacing w:line="240" w:lineRule="auto"/>
              <w:rPr>
                <w:color w:val="auto"/>
                <w:sz w:val="24"/>
                <w:szCs w:val="24"/>
                <w:highlight w:val="none"/>
              </w:rPr>
            </w:pPr>
          </w:p>
        </w:tc>
        <w:tc>
          <w:tcPr>
            <w:tcW w:w="807" w:type="dxa"/>
            <w:vMerge w:val="continue"/>
            <w:tcBorders>
              <w:top w:val="nil"/>
            </w:tcBorders>
          </w:tcPr>
          <w:p>
            <w:pPr>
              <w:spacing w:line="240" w:lineRule="auto"/>
              <w:rPr>
                <w:color w:val="auto"/>
                <w:sz w:val="24"/>
                <w:szCs w:val="24"/>
                <w:highlight w:val="none"/>
              </w:rPr>
            </w:pPr>
          </w:p>
        </w:tc>
        <w:tc>
          <w:tcPr>
            <w:tcW w:w="807" w:type="dxa"/>
            <w:vMerge w:val="continue"/>
            <w:tcBorders>
              <w:top w:val="nil"/>
            </w:tcBorders>
          </w:tcPr>
          <w:p>
            <w:pPr>
              <w:spacing w:line="240" w:lineRule="auto"/>
              <w:rPr>
                <w:color w:val="auto"/>
                <w:sz w:val="24"/>
                <w:szCs w:val="24"/>
                <w:highlight w:val="none"/>
              </w:rPr>
            </w:pPr>
          </w:p>
        </w:tc>
        <w:tc>
          <w:tcPr>
            <w:tcW w:w="850" w:type="dxa"/>
          </w:tcPr>
          <w:p>
            <w:pPr>
              <w:spacing w:before="85" w:line="240" w:lineRule="auto"/>
              <w:ind w:left="113"/>
              <w:rPr>
                <w:rFonts w:ascii="宋体" w:hAnsi="宋体" w:eastAsia="宋体" w:cs="宋体"/>
                <w:color w:val="auto"/>
                <w:sz w:val="24"/>
                <w:szCs w:val="24"/>
                <w:highlight w:val="none"/>
              </w:rPr>
            </w:pPr>
            <w:r>
              <w:rPr>
                <w:rFonts w:ascii="宋体" w:hAnsi="宋体" w:eastAsia="宋体" w:cs="宋体"/>
                <w:color w:val="auto"/>
                <w:spacing w:val="5"/>
                <w:position w:val="9"/>
                <w:sz w:val="24"/>
                <w:szCs w:val="24"/>
                <w:highlight w:val="none"/>
              </w:rPr>
              <w:t>证书</w:t>
            </w:r>
          </w:p>
          <w:p>
            <w:pPr>
              <w:spacing w:line="240" w:lineRule="auto"/>
              <w:ind w:left="116"/>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名</w:t>
            </w:r>
            <w:r>
              <w:rPr>
                <w:rFonts w:ascii="宋体" w:hAnsi="宋体" w:eastAsia="宋体" w:cs="宋体"/>
                <w:color w:val="auto"/>
                <w:spacing w:val="3"/>
                <w:sz w:val="24"/>
                <w:szCs w:val="24"/>
                <w:highlight w:val="none"/>
              </w:rPr>
              <w:t>称</w:t>
            </w:r>
          </w:p>
        </w:tc>
        <w:tc>
          <w:tcPr>
            <w:tcW w:w="959" w:type="dxa"/>
          </w:tcPr>
          <w:p>
            <w:pPr>
              <w:spacing w:before="265" w:line="240" w:lineRule="auto"/>
              <w:ind w:left="11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级别</w:t>
            </w:r>
          </w:p>
        </w:tc>
        <w:tc>
          <w:tcPr>
            <w:tcW w:w="846" w:type="dxa"/>
          </w:tcPr>
          <w:p>
            <w:pPr>
              <w:spacing w:before="264" w:line="240" w:lineRule="auto"/>
              <w:ind w:left="116"/>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证号</w:t>
            </w:r>
          </w:p>
        </w:tc>
        <w:tc>
          <w:tcPr>
            <w:tcW w:w="736" w:type="dxa"/>
          </w:tcPr>
          <w:p>
            <w:pPr>
              <w:spacing w:before="265" w:line="240" w:lineRule="auto"/>
              <w:ind w:left="118"/>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专</w:t>
            </w:r>
            <w:r>
              <w:rPr>
                <w:rFonts w:ascii="宋体" w:hAnsi="宋体" w:eastAsia="宋体" w:cs="宋体"/>
                <w:color w:val="auto"/>
                <w:spacing w:val="4"/>
                <w:sz w:val="24"/>
                <w:szCs w:val="24"/>
                <w:highlight w:val="none"/>
              </w:rPr>
              <w:t>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958" w:type="dxa"/>
            <w:vMerge w:val="restart"/>
            <w:tcBorders>
              <w:bottom w:val="nil"/>
            </w:tcBorders>
          </w:tcPr>
          <w:p>
            <w:pPr>
              <w:spacing w:line="240" w:lineRule="auto"/>
              <w:ind w:left="123"/>
              <w:rPr>
                <w:rFonts w:ascii="宋体" w:hAnsi="宋体" w:eastAsia="宋体" w:cs="宋体"/>
                <w:color w:val="auto"/>
                <w:spacing w:val="2"/>
                <w:position w:val="9"/>
                <w:sz w:val="24"/>
                <w:szCs w:val="24"/>
                <w:highlight w:val="none"/>
              </w:rPr>
            </w:pPr>
          </w:p>
          <w:p>
            <w:pPr>
              <w:spacing w:line="240" w:lineRule="auto"/>
              <w:ind w:left="123"/>
              <w:rPr>
                <w:rFonts w:ascii="宋体" w:hAnsi="宋体" w:eastAsia="宋体" w:cs="宋体"/>
                <w:color w:val="auto"/>
                <w:sz w:val="24"/>
                <w:szCs w:val="24"/>
                <w:highlight w:val="none"/>
              </w:rPr>
            </w:pPr>
            <w:r>
              <w:rPr>
                <w:rFonts w:ascii="宋体" w:hAnsi="宋体" w:eastAsia="宋体" w:cs="宋体"/>
                <w:color w:val="auto"/>
                <w:spacing w:val="2"/>
                <w:position w:val="9"/>
                <w:sz w:val="24"/>
                <w:szCs w:val="24"/>
                <w:highlight w:val="none"/>
              </w:rPr>
              <w:t>管理</w:t>
            </w:r>
          </w:p>
          <w:p>
            <w:pPr>
              <w:spacing w:line="240" w:lineRule="auto"/>
              <w:ind w:left="11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人员</w:t>
            </w:r>
          </w:p>
        </w:tc>
        <w:tc>
          <w:tcPr>
            <w:tcW w:w="806" w:type="dxa"/>
          </w:tcPr>
          <w:p>
            <w:pPr>
              <w:spacing w:line="240" w:lineRule="auto"/>
              <w:rPr>
                <w:color w:val="auto"/>
                <w:sz w:val="24"/>
                <w:szCs w:val="24"/>
                <w:highlight w:val="none"/>
              </w:rPr>
            </w:pPr>
          </w:p>
        </w:tc>
        <w:tc>
          <w:tcPr>
            <w:tcW w:w="807" w:type="dxa"/>
          </w:tcPr>
          <w:p>
            <w:pPr>
              <w:spacing w:line="240" w:lineRule="auto"/>
              <w:rPr>
                <w:color w:val="auto"/>
                <w:sz w:val="24"/>
                <w:szCs w:val="24"/>
                <w:highlight w:val="none"/>
              </w:rPr>
            </w:pPr>
          </w:p>
        </w:tc>
        <w:tc>
          <w:tcPr>
            <w:tcW w:w="807" w:type="dxa"/>
          </w:tcPr>
          <w:p>
            <w:pPr>
              <w:spacing w:line="240" w:lineRule="auto"/>
              <w:rPr>
                <w:color w:val="auto"/>
                <w:sz w:val="24"/>
                <w:szCs w:val="24"/>
                <w:highlight w:val="none"/>
              </w:rPr>
            </w:pPr>
          </w:p>
        </w:tc>
        <w:tc>
          <w:tcPr>
            <w:tcW w:w="807" w:type="dxa"/>
          </w:tcPr>
          <w:p>
            <w:pPr>
              <w:spacing w:line="240" w:lineRule="auto"/>
              <w:rPr>
                <w:color w:val="auto"/>
                <w:sz w:val="24"/>
                <w:szCs w:val="24"/>
                <w:highlight w:val="none"/>
              </w:rPr>
            </w:pPr>
          </w:p>
        </w:tc>
        <w:tc>
          <w:tcPr>
            <w:tcW w:w="850" w:type="dxa"/>
          </w:tcPr>
          <w:p>
            <w:pPr>
              <w:spacing w:line="240" w:lineRule="auto"/>
              <w:rPr>
                <w:color w:val="auto"/>
                <w:sz w:val="24"/>
                <w:szCs w:val="24"/>
                <w:highlight w:val="none"/>
              </w:rPr>
            </w:pPr>
          </w:p>
        </w:tc>
        <w:tc>
          <w:tcPr>
            <w:tcW w:w="959" w:type="dxa"/>
          </w:tcPr>
          <w:p>
            <w:pPr>
              <w:spacing w:line="240" w:lineRule="auto"/>
              <w:rPr>
                <w:color w:val="auto"/>
                <w:sz w:val="24"/>
                <w:szCs w:val="24"/>
                <w:highlight w:val="none"/>
              </w:rPr>
            </w:pPr>
          </w:p>
        </w:tc>
        <w:tc>
          <w:tcPr>
            <w:tcW w:w="846" w:type="dxa"/>
          </w:tcPr>
          <w:p>
            <w:pPr>
              <w:spacing w:line="240" w:lineRule="auto"/>
              <w:rPr>
                <w:color w:val="auto"/>
                <w:sz w:val="24"/>
                <w:szCs w:val="24"/>
                <w:highlight w:val="none"/>
              </w:rPr>
            </w:pPr>
          </w:p>
        </w:tc>
        <w:tc>
          <w:tcPr>
            <w:tcW w:w="736" w:type="dxa"/>
          </w:tcPr>
          <w:p>
            <w:pPr>
              <w:spacing w:line="240" w:lineRule="auto"/>
              <w:rPr>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958" w:type="dxa"/>
            <w:vMerge w:val="continue"/>
            <w:tcBorders>
              <w:top w:val="nil"/>
              <w:bottom w:val="nil"/>
            </w:tcBorders>
          </w:tcPr>
          <w:p>
            <w:pPr>
              <w:spacing w:line="240" w:lineRule="auto"/>
              <w:rPr>
                <w:color w:val="auto"/>
                <w:sz w:val="24"/>
                <w:szCs w:val="24"/>
                <w:highlight w:val="none"/>
              </w:rPr>
            </w:pPr>
          </w:p>
        </w:tc>
        <w:tc>
          <w:tcPr>
            <w:tcW w:w="806" w:type="dxa"/>
          </w:tcPr>
          <w:p>
            <w:pPr>
              <w:spacing w:line="240" w:lineRule="auto"/>
              <w:rPr>
                <w:color w:val="auto"/>
                <w:sz w:val="24"/>
                <w:szCs w:val="24"/>
                <w:highlight w:val="none"/>
              </w:rPr>
            </w:pPr>
          </w:p>
        </w:tc>
        <w:tc>
          <w:tcPr>
            <w:tcW w:w="807" w:type="dxa"/>
          </w:tcPr>
          <w:p>
            <w:pPr>
              <w:spacing w:line="240" w:lineRule="auto"/>
              <w:rPr>
                <w:color w:val="auto"/>
                <w:sz w:val="24"/>
                <w:szCs w:val="24"/>
                <w:highlight w:val="none"/>
              </w:rPr>
            </w:pPr>
          </w:p>
        </w:tc>
        <w:tc>
          <w:tcPr>
            <w:tcW w:w="807" w:type="dxa"/>
          </w:tcPr>
          <w:p>
            <w:pPr>
              <w:spacing w:line="240" w:lineRule="auto"/>
              <w:rPr>
                <w:color w:val="auto"/>
                <w:sz w:val="24"/>
                <w:szCs w:val="24"/>
                <w:highlight w:val="none"/>
              </w:rPr>
            </w:pPr>
          </w:p>
        </w:tc>
        <w:tc>
          <w:tcPr>
            <w:tcW w:w="807" w:type="dxa"/>
          </w:tcPr>
          <w:p>
            <w:pPr>
              <w:spacing w:line="240" w:lineRule="auto"/>
              <w:rPr>
                <w:color w:val="auto"/>
                <w:sz w:val="24"/>
                <w:szCs w:val="24"/>
                <w:highlight w:val="none"/>
              </w:rPr>
            </w:pPr>
          </w:p>
        </w:tc>
        <w:tc>
          <w:tcPr>
            <w:tcW w:w="850" w:type="dxa"/>
          </w:tcPr>
          <w:p>
            <w:pPr>
              <w:spacing w:line="240" w:lineRule="auto"/>
              <w:rPr>
                <w:color w:val="auto"/>
                <w:sz w:val="24"/>
                <w:szCs w:val="24"/>
                <w:highlight w:val="none"/>
              </w:rPr>
            </w:pPr>
          </w:p>
        </w:tc>
        <w:tc>
          <w:tcPr>
            <w:tcW w:w="959" w:type="dxa"/>
          </w:tcPr>
          <w:p>
            <w:pPr>
              <w:spacing w:line="240" w:lineRule="auto"/>
              <w:rPr>
                <w:color w:val="auto"/>
                <w:sz w:val="24"/>
                <w:szCs w:val="24"/>
                <w:highlight w:val="none"/>
              </w:rPr>
            </w:pPr>
          </w:p>
        </w:tc>
        <w:tc>
          <w:tcPr>
            <w:tcW w:w="846" w:type="dxa"/>
          </w:tcPr>
          <w:p>
            <w:pPr>
              <w:spacing w:line="240" w:lineRule="auto"/>
              <w:rPr>
                <w:color w:val="auto"/>
                <w:sz w:val="24"/>
                <w:szCs w:val="24"/>
                <w:highlight w:val="none"/>
              </w:rPr>
            </w:pPr>
          </w:p>
        </w:tc>
        <w:tc>
          <w:tcPr>
            <w:tcW w:w="736" w:type="dxa"/>
          </w:tcPr>
          <w:p>
            <w:pPr>
              <w:spacing w:line="240" w:lineRule="auto"/>
              <w:rPr>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958" w:type="dxa"/>
            <w:vMerge w:val="continue"/>
            <w:tcBorders>
              <w:top w:val="nil"/>
            </w:tcBorders>
          </w:tcPr>
          <w:p>
            <w:pPr>
              <w:spacing w:line="240" w:lineRule="auto"/>
              <w:rPr>
                <w:color w:val="auto"/>
                <w:sz w:val="24"/>
                <w:szCs w:val="24"/>
                <w:highlight w:val="none"/>
              </w:rPr>
            </w:pPr>
          </w:p>
        </w:tc>
        <w:tc>
          <w:tcPr>
            <w:tcW w:w="806" w:type="dxa"/>
          </w:tcPr>
          <w:p>
            <w:pPr>
              <w:spacing w:line="240" w:lineRule="auto"/>
              <w:rPr>
                <w:color w:val="auto"/>
                <w:sz w:val="24"/>
                <w:szCs w:val="24"/>
                <w:highlight w:val="none"/>
              </w:rPr>
            </w:pPr>
          </w:p>
        </w:tc>
        <w:tc>
          <w:tcPr>
            <w:tcW w:w="807" w:type="dxa"/>
          </w:tcPr>
          <w:p>
            <w:pPr>
              <w:spacing w:line="240" w:lineRule="auto"/>
              <w:rPr>
                <w:color w:val="auto"/>
                <w:sz w:val="24"/>
                <w:szCs w:val="24"/>
                <w:highlight w:val="none"/>
              </w:rPr>
            </w:pPr>
          </w:p>
        </w:tc>
        <w:tc>
          <w:tcPr>
            <w:tcW w:w="807" w:type="dxa"/>
          </w:tcPr>
          <w:p>
            <w:pPr>
              <w:spacing w:line="240" w:lineRule="auto"/>
              <w:rPr>
                <w:color w:val="auto"/>
                <w:sz w:val="24"/>
                <w:szCs w:val="24"/>
                <w:highlight w:val="none"/>
              </w:rPr>
            </w:pPr>
          </w:p>
        </w:tc>
        <w:tc>
          <w:tcPr>
            <w:tcW w:w="807" w:type="dxa"/>
          </w:tcPr>
          <w:p>
            <w:pPr>
              <w:spacing w:line="240" w:lineRule="auto"/>
              <w:rPr>
                <w:color w:val="auto"/>
                <w:sz w:val="24"/>
                <w:szCs w:val="24"/>
                <w:highlight w:val="none"/>
              </w:rPr>
            </w:pPr>
          </w:p>
        </w:tc>
        <w:tc>
          <w:tcPr>
            <w:tcW w:w="850" w:type="dxa"/>
          </w:tcPr>
          <w:p>
            <w:pPr>
              <w:spacing w:line="240" w:lineRule="auto"/>
              <w:rPr>
                <w:color w:val="auto"/>
                <w:sz w:val="24"/>
                <w:szCs w:val="24"/>
                <w:highlight w:val="none"/>
              </w:rPr>
            </w:pPr>
          </w:p>
        </w:tc>
        <w:tc>
          <w:tcPr>
            <w:tcW w:w="959" w:type="dxa"/>
          </w:tcPr>
          <w:p>
            <w:pPr>
              <w:spacing w:line="240" w:lineRule="auto"/>
              <w:rPr>
                <w:color w:val="auto"/>
                <w:sz w:val="24"/>
                <w:szCs w:val="24"/>
                <w:highlight w:val="none"/>
              </w:rPr>
            </w:pPr>
          </w:p>
        </w:tc>
        <w:tc>
          <w:tcPr>
            <w:tcW w:w="846" w:type="dxa"/>
          </w:tcPr>
          <w:p>
            <w:pPr>
              <w:spacing w:line="240" w:lineRule="auto"/>
              <w:rPr>
                <w:color w:val="auto"/>
                <w:sz w:val="24"/>
                <w:szCs w:val="24"/>
                <w:highlight w:val="none"/>
              </w:rPr>
            </w:pPr>
          </w:p>
        </w:tc>
        <w:tc>
          <w:tcPr>
            <w:tcW w:w="736" w:type="dxa"/>
          </w:tcPr>
          <w:p>
            <w:pPr>
              <w:spacing w:line="240" w:lineRule="auto"/>
              <w:rPr>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958" w:type="dxa"/>
            <w:vMerge w:val="restart"/>
            <w:tcBorders>
              <w:bottom w:val="nil"/>
            </w:tcBorders>
          </w:tcPr>
          <w:p>
            <w:pPr>
              <w:spacing w:line="240" w:lineRule="auto"/>
              <w:ind w:left="118"/>
              <w:rPr>
                <w:rFonts w:ascii="宋体" w:hAnsi="宋体" w:eastAsia="宋体" w:cs="宋体"/>
                <w:color w:val="auto"/>
                <w:spacing w:val="5"/>
                <w:position w:val="9"/>
                <w:sz w:val="24"/>
                <w:szCs w:val="24"/>
                <w:highlight w:val="none"/>
              </w:rPr>
            </w:pPr>
          </w:p>
          <w:p>
            <w:pPr>
              <w:spacing w:line="240" w:lineRule="auto"/>
              <w:ind w:left="118"/>
              <w:rPr>
                <w:rFonts w:ascii="宋体" w:hAnsi="宋体" w:eastAsia="宋体" w:cs="宋体"/>
                <w:color w:val="auto"/>
                <w:sz w:val="24"/>
                <w:szCs w:val="24"/>
                <w:highlight w:val="none"/>
              </w:rPr>
            </w:pPr>
            <w:r>
              <w:rPr>
                <w:rFonts w:ascii="宋体" w:hAnsi="宋体" w:eastAsia="宋体" w:cs="宋体"/>
                <w:color w:val="auto"/>
                <w:spacing w:val="5"/>
                <w:position w:val="9"/>
                <w:sz w:val="24"/>
                <w:szCs w:val="24"/>
                <w:highlight w:val="none"/>
              </w:rPr>
              <w:t>技</w:t>
            </w:r>
            <w:r>
              <w:rPr>
                <w:rFonts w:ascii="宋体" w:hAnsi="宋体" w:eastAsia="宋体" w:cs="宋体"/>
                <w:color w:val="auto"/>
                <w:spacing w:val="4"/>
                <w:position w:val="9"/>
                <w:sz w:val="24"/>
                <w:szCs w:val="24"/>
                <w:highlight w:val="none"/>
              </w:rPr>
              <w:t>术</w:t>
            </w:r>
          </w:p>
          <w:p>
            <w:pPr>
              <w:spacing w:line="240" w:lineRule="auto"/>
              <w:ind w:left="11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人员</w:t>
            </w:r>
          </w:p>
        </w:tc>
        <w:tc>
          <w:tcPr>
            <w:tcW w:w="806" w:type="dxa"/>
          </w:tcPr>
          <w:p>
            <w:pPr>
              <w:spacing w:line="240" w:lineRule="auto"/>
              <w:rPr>
                <w:color w:val="auto"/>
                <w:sz w:val="24"/>
                <w:szCs w:val="24"/>
                <w:highlight w:val="none"/>
              </w:rPr>
            </w:pPr>
          </w:p>
        </w:tc>
        <w:tc>
          <w:tcPr>
            <w:tcW w:w="807" w:type="dxa"/>
          </w:tcPr>
          <w:p>
            <w:pPr>
              <w:spacing w:line="240" w:lineRule="auto"/>
              <w:rPr>
                <w:color w:val="auto"/>
                <w:sz w:val="24"/>
                <w:szCs w:val="24"/>
                <w:highlight w:val="none"/>
              </w:rPr>
            </w:pPr>
          </w:p>
        </w:tc>
        <w:tc>
          <w:tcPr>
            <w:tcW w:w="807" w:type="dxa"/>
          </w:tcPr>
          <w:p>
            <w:pPr>
              <w:spacing w:line="240" w:lineRule="auto"/>
              <w:rPr>
                <w:color w:val="auto"/>
                <w:sz w:val="24"/>
                <w:szCs w:val="24"/>
                <w:highlight w:val="none"/>
              </w:rPr>
            </w:pPr>
          </w:p>
        </w:tc>
        <w:tc>
          <w:tcPr>
            <w:tcW w:w="807" w:type="dxa"/>
          </w:tcPr>
          <w:p>
            <w:pPr>
              <w:spacing w:line="240" w:lineRule="auto"/>
              <w:rPr>
                <w:color w:val="auto"/>
                <w:sz w:val="24"/>
                <w:szCs w:val="24"/>
                <w:highlight w:val="none"/>
              </w:rPr>
            </w:pPr>
          </w:p>
        </w:tc>
        <w:tc>
          <w:tcPr>
            <w:tcW w:w="850" w:type="dxa"/>
          </w:tcPr>
          <w:p>
            <w:pPr>
              <w:spacing w:line="240" w:lineRule="auto"/>
              <w:rPr>
                <w:color w:val="auto"/>
                <w:sz w:val="24"/>
                <w:szCs w:val="24"/>
                <w:highlight w:val="none"/>
              </w:rPr>
            </w:pPr>
          </w:p>
        </w:tc>
        <w:tc>
          <w:tcPr>
            <w:tcW w:w="959" w:type="dxa"/>
          </w:tcPr>
          <w:p>
            <w:pPr>
              <w:spacing w:line="240" w:lineRule="auto"/>
              <w:rPr>
                <w:color w:val="auto"/>
                <w:sz w:val="24"/>
                <w:szCs w:val="24"/>
                <w:highlight w:val="none"/>
              </w:rPr>
            </w:pPr>
          </w:p>
        </w:tc>
        <w:tc>
          <w:tcPr>
            <w:tcW w:w="846" w:type="dxa"/>
          </w:tcPr>
          <w:p>
            <w:pPr>
              <w:spacing w:line="240" w:lineRule="auto"/>
              <w:rPr>
                <w:color w:val="auto"/>
                <w:sz w:val="24"/>
                <w:szCs w:val="24"/>
                <w:highlight w:val="none"/>
              </w:rPr>
            </w:pPr>
          </w:p>
        </w:tc>
        <w:tc>
          <w:tcPr>
            <w:tcW w:w="736" w:type="dxa"/>
          </w:tcPr>
          <w:p>
            <w:pPr>
              <w:spacing w:line="240" w:lineRule="auto"/>
              <w:rPr>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958" w:type="dxa"/>
            <w:vMerge w:val="continue"/>
            <w:tcBorders>
              <w:top w:val="nil"/>
              <w:bottom w:val="nil"/>
            </w:tcBorders>
          </w:tcPr>
          <w:p>
            <w:pPr>
              <w:spacing w:line="240" w:lineRule="auto"/>
              <w:rPr>
                <w:color w:val="auto"/>
                <w:sz w:val="24"/>
                <w:szCs w:val="24"/>
                <w:highlight w:val="none"/>
              </w:rPr>
            </w:pPr>
          </w:p>
        </w:tc>
        <w:tc>
          <w:tcPr>
            <w:tcW w:w="806" w:type="dxa"/>
          </w:tcPr>
          <w:p>
            <w:pPr>
              <w:spacing w:line="240" w:lineRule="auto"/>
              <w:rPr>
                <w:color w:val="auto"/>
                <w:sz w:val="24"/>
                <w:szCs w:val="24"/>
                <w:highlight w:val="none"/>
              </w:rPr>
            </w:pPr>
          </w:p>
        </w:tc>
        <w:tc>
          <w:tcPr>
            <w:tcW w:w="807" w:type="dxa"/>
          </w:tcPr>
          <w:p>
            <w:pPr>
              <w:spacing w:line="240" w:lineRule="auto"/>
              <w:rPr>
                <w:color w:val="auto"/>
                <w:sz w:val="24"/>
                <w:szCs w:val="24"/>
                <w:highlight w:val="none"/>
              </w:rPr>
            </w:pPr>
          </w:p>
        </w:tc>
        <w:tc>
          <w:tcPr>
            <w:tcW w:w="807" w:type="dxa"/>
          </w:tcPr>
          <w:p>
            <w:pPr>
              <w:spacing w:line="240" w:lineRule="auto"/>
              <w:rPr>
                <w:color w:val="auto"/>
                <w:sz w:val="24"/>
                <w:szCs w:val="24"/>
                <w:highlight w:val="none"/>
              </w:rPr>
            </w:pPr>
          </w:p>
        </w:tc>
        <w:tc>
          <w:tcPr>
            <w:tcW w:w="807" w:type="dxa"/>
          </w:tcPr>
          <w:p>
            <w:pPr>
              <w:spacing w:line="240" w:lineRule="auto"/>
              <w:rPr>
                <w:color w:val="auto"/>
                <w:sz w:val="24"/>
                <w:szCs w:val="24"/>
                <w:highlight w:val="none"/>
              </w:rPr>
            </w:pPr>
          </w:p>
        </w:tc>
        <w:tc>
          <w:tcPr>
            <w:tcW w:w="850" w:type="dxa"/>
          </w:tcPr>
          <w:p>
            <w:pPr>
              <w:spacing w:line="240" w:lineRule="auto"/>
              <w:rPr>
                <w:color w:val="auto"/>
                <w:sz w:val="24"/>
                <w:szCs w:val="24"/>
                <w:highlight w:val="none"/>
              </w:rPr>
            </w:pPr>
          </w:p>
        </w:tc>
        <w:tc>
          <w:tcPr>
            <w:tcW w:w="959" w:type="dxa"/>
          </w:tcPr>
          <w:p>
            <w:pPr>
              <w:spacing w:line="240" w:lineRule="auto"/>
              <w:rPr>
                <w:color w:val="auto"/>
                <w:sz w:val="24"/>
                <w:szCs w:val="24"/>
                <w:highlight w:val="none"/>
              </w:rPr>
            </w:pPr>
          </w:p>
        </w:tc>
        <w:tc>
          <w:tcPr>
            <w:tcW w:w="846" w:type="dxa"/>
          </w:tcPr>
          <w:p>
            <w:pPr>
              <w:spacing w:line="240" w:lineRule="auto"/>
              <w:rPr>
                <w:color w:val="auto"/>
                <w:sz w:val="24"/>
                <w:szCs w:val="24"/>
                <w:highlight w:val="none"/>
              </w:rPr>
            </w:pPr>
          </w:p>
        </w:tc>
        <w:tc>
          <w:tcPr>
            <w:tcW w:w="736" w:type="dxa"/>
          </w:tcPr>
          <w:p>
            <w:pPr>
              <w:spacing w:line="240" w:lineRule="auto"/>
              <w:rPr>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958" w:type="dxa"/>
            <w:vMerge w:val="continue"/>
            <w:tcBorders>
              <w:top w:val="nil"/>
            </w:tcBorders>
          </w:tcPr>
          <w:p>
            <w:pPr>
              <w:spacing w:line="240" w:lineRule="auto"/>
              <w:rPr>
                <w:color w:val="auto"/>
                <w:sz w:val="24"/>
                <w:szCs w:val="24"/>
                <w:highlight w:val="none"/>
              </w:rPr>
            </w:pPr>
          </w:p>
        </w:tc>
        <w:tc>
          <w:tcPr>
            <w:tcW w:w="806" w:type="dxa"/>
          </w:tcPr>
          <w:p>
            <w:pPr>
              <w:spacing w:line="240" w:lineRule="auto"/>
              <w:rPr>
                <w:color w:val="auto"/>
                <w:sz w:val="24"/>
                <w:szCs w:val="24"/>
                <w:highlight w:val="none"/>
              </w:rPr>
            </w:pPr>
          </w:p>
        </w:tc>
        <w:tc>
          <w:tcPr>
            <w:tcW w:w="807" w:type="dxa"/>
          </w:tcPr>
          <w:p>
            <w:pPr>
              <w:spacing w:line="240" w:lineRule="auto"/>
              <w:rPr>
                <w:color w:val="auto"/>
                <w:sz w:val="24"/>
                <w:szCs w:val="24"/>
                <w:highlight w:val="none"/>
              </w:rPr>
            </w:pPr>
          </w:p>
        </w:tc>
        <w:tc>
          <w:tcPr>
            <w:tcW w:w="807" w:type="dxa"/>
          </w:tcPr>
          <w:p>
            <w:pPr>
              <w:spacing w:line="240" w:lineRule="auto"/>
              <w:rPr>
                <w:color w:val="auto"/>
                <w:sz w:val="24"/>
                <w:szCs w:val="24"/>
                <w:highlight w:val="none"/>
              </w:rPr>
            </w:pPr>
          </w:p>
        </w:tc>
        <w:tc>
          <w:tcPr>
            <w:tcW w:w="807" w:type="dxa"/>
          </w:tcPr>
          <w:p>
            <w:pPr>
              <w:spacing w:line="240" w:lineRule="auto"/>
              <w:rPr>
                <w:color w:val="auto"/>
                <w:sz w:val="24"/>
                <w:szCs w:val="24"/>
                <w:highlight w:val="none"/>
              </w:rPr>
            </w:pPr>
          </w:p>
        </w:tc>
        <w:tc>
          <w:tcPr>
            <w:tcW w:w="850" w:type="dxa"/>
          </w:tcPr>
          <w:p>
            <w:pPr>
              <w:spacing w:line="240" w:lineRule="auto"/>
              <w:rPr>
                <w:color w:val="auto"/>
                <w:sz w:val="24"/>
                <w:szCs w:val="24"/>
                <w:highlight w:val="none"/>
              </w:rPr>
            </w:pPr>
          </w:p>
        </w:tc>
        <w:tc>
          <w:tcPr>
            <w:tcW w:w="959" w:type="dxa"/>
          </w:tcPr>
          <w:p>
            <w:pPr>
              <w:spacing w:line="240" w:lineRule="auto"/>
              <w:rPr>
                <w:color w:val="auto"/>
                <w:sz w:val="24"/>
                <w:szCs w:val="24"/>
                <w:highlight w:val="none"/>
              </w:rPr>
            </w:pPr>
          </w:p>
        </w:tc>
        <w:tc>
          <w:tcPr>
            <w:tcW w:w="846" w:type="dxa"/>
          </w:tcPr>
          <w:p>
            <w:pPr>
              <w:spacing w:line="240" w:lineRule="auto"/>
              <w:rPr>
                <w:color w:val="auto"/>
                <w:sz w:val="24"/>
                <w:szCs w:val="24"/>
                <w:highlight w:val="none"/>
              </w:rPr>
            </w:pPr>
          </w:p>
        </w:tc>
        <w:tc>
          <w:tcPr>
            <w:tcW w:w="736" w:type="dxa"/>
          </w:tcPr>
          <w:p>
            <w:pPr>
              <w:spacing w:line="240" w:lineRule="auto"/>
              <w:rPr>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958" w:type="dxa"/>
            <w:vMerge w:val="restart"/>
            <w:tcBorders>
              <w:bottom w:val="nil"/>
            </w:tcBorders>
          </w:tcPr>
          <w:p>
            <w:pPr>
              <w:spacing w:before="89" w:line="240" w:lineRule="auto"/>
              <w:ind w:left="118" w:right="125" w:hanging="1"/>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售后</w:t>
            </w:r>
            <w:r>
              <w:rPr>
                <w:rFonts w:ascii="宋体" w:hAnsi="宋体" w:eastAsia="宋体" w:cs="宋体"/>
                <w:color w:val="auto"/>
                <w:spacing w:val="6"/>
                <w:sz w:val="24"/>
                <w:szCs w:val="24"/>
                <w:highlight w:val="none"/>
              </w:rPr>
              <w:t>服务人员</w:t>
            </w:r>
          </w:p>
        </w:tc>
        <w:tc>
          <w:tcPr>
            <w:tcW w:w="806" w:type="dxa"/>
          </w:tcPr>
          <w:p>
            <w:pPr>
              <w:spacing w:line="240" w:lineRule="auto"/>
              <w:rPr>
                <w:color w:val="auto"/>
                <w:sz w:val="24"/>
                <w:szCs w:val="24"/>
                <w:highlight w:val="none"/>
              </w:rPr>
            </w:pPr>
          </w:p>
        </w:tc>
        <w:tc>
          <w:tcPr>
            <w:tcW w:w="807" w:type="dxa"/>
          </w:tcPr>
          <w:p>
            <w:pPr>
              <w:spacing w:line="240" w:lineRule="auto"/>
              <w:rPr>
                <w:color w:val="auto"/>
                <w:sz w:val="24"/>
                <w:szCs w:val="24"/>
                <w:highlight w:val="none"/>
              </w:rPr>
            </w:pPr>
          </w:p>
        </w:tc>
        <w:tc>
          <w:tcPr>
            <w:tcW w:w="807" w:type="dxa"/>
          </w:tcPr>
          <w:p>
            <w:pPr>
              <w:spacing w:line="240" w:lineRule="auto"/>
              <w:rPr>
                <w:color w:val="auto"/>
                <w:sz w:val="24"/>
                <w:szCs w:val="24"/>
                <w:highlight w:val="none"/>
              </w:rPr>
            </w:pPr>
          </w:p>
        </w:tc>
        <w:tc>
          <w:tcPr>
            <w:tcW w:w="807" w:type="dxa"/>
          </w:tcPr>
          <w:p>
            <w:pPr>
              <w:spacing w:line="240" w:lineRule="auto"/>
              <w:rPr>
                <w:color w:val="auto"/>
                <w:sz w:val="24"/>
                <w:szCs w:val="24"/>
                <w:highlight w:val="none"/>
              </w:rPr>
            </w:pPr>
          </w:p>
        </w:tc>
        <w:tc>
          <w:tcPr>
            <w:tcW w:w="850" w:type="dxa"/>
          </w:tcPr>
          <w:p>
            <w:pPr>
              <w:spacing w:line="240" w:lineRule="auto"/>
              <w:rPr>
                <w:color w:val="auto"/>
                <w:sz w:val="24"/>
                <w:szCs w:val="24"/>
                <w:highlight w:val="none"/>
              </w:rPr>
            </w:pPr>
          </w:p>
        </w:tc>
        <w:tc>
          <w:tcPr>
            <w:tcW w:w="959" w:type="dxa"/>
          </w:tcPr>
          <w:p>
            <w:pPr>
              <w:spacing w:line="240" w:lineRule="auto"/>
              <w:rPr>
                <w:color w:val="auto"/>
                <w:sz w:val="24"/>
                <w:szCs w:val="24"/>
                <w:highlight w:val="none"/>
              </w:rPr>
            </w:pPr>
          </w:p>
        </w:tc>
        <w:tc>
          <w:tcPr>
            <w:tcW w:w="846" w:type="dxa"/>
          </w:tcPr>
          <w:p>
            <w:pPr>
              <w:spacing w:line="240" w:lineRule="auto"/>
              <w:rPr>
                <w:color w:val="auto"/>
                <w:sz w:val="24"/>
                <w:szCs w:val="24"/>
                <w:highlight w:val="none"/>
              </w:rPr>
            </w:pPr>
          </w:p>
        </w:tc>
        <w:tc>
          <w:tcPr>
            <w:tcW w:w="736" w:type="dxa"/>
          </w:tcPr>
          <w:p>
            <w:pPr>
              <w:spacing w:line="240" w:lineRule="auto"/>
              <w:rPr>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958" w:type="dxa"/>
            <w:vMerge w:val="continue"/>
            <w:tcBorders>
              <w:top w:val="nil"/>
            </w:tcBorders>
          </w:tcPr>
          <w:p>
            <w:pPr>
              <w:spacing w:line="240" w:lineRule="auto"/>
              <w:rPr>
                <w:color w:val="auto"/>
                <w:sz w:val="24"/>
                <w:szCs w:val="24"/>
                <w:highlight w:val="none"/>
              </w:rPr>
            </w:pPr>
          </w:p>
        </w:tc>
        <w:tc>
          <w:tcPr>
            <w:tcW w:w="806" w:type="dxa"/>
          </w:tcPr>
          <w:p>
            <w:pPr>
              <w:spacing w:line="240" w:lineRule="auto"/>
              <w:rPr>
                <w:color w:val="auto"/>
                <w:sz w:val="24"/>
                <w:szCs w:val="24"/>
                <w:highlight w:val="none"/>
              </w:rPr>
            </w:pPr>
          </w:p>
        </w:tc>
        <w:tc>
          <w:tcPr>
            <w:tcW w:w="807" w:type="dxa"/>
          </w:tcPr>
          <w:p>
            <w:pPr>
              <w:spacing w:line="240" w:lineRule="auto"/>
              <w:rPr>
                <w:color w:val="auto"/>
                <w:sz w:val="24"/>
                <w:szCs w:val="24"/>
                <w:highlight w:val="none"/>
              </w:rPr>
            </w:pPr>
          </w:p>
        </w:tc>
        <w:tc>
          <w:tcPr>
            <w:tcW w:w="807" w:type="dxa"/>
          </w:tcPr>
          <w:p>
            <w:pPr>
              <w:spacing w:line="240" w:lineRule="auto"/>
              <w:rPr>
                <w:color w:val="auto"/>
                <w:sz w:val="24"/>
                <w:szCs w:val="24"/>
                <w:highlight w:val="none"/>
              </w:rPr>
            </w:pPr>
          </w:p>
        </w:tc>
        <w:tc>
          <w:tcPr>
            <w:tcW w:w="807" w:type="dxa"/>
          </w:tcPr>
          <w:p>
            <w:pPr>
              <w:spacing w:line="240" w:lineRule="auto"/>
              <w:rPr>
                <w:color w:val="auto"/>
                <w:sz w:val="24"/>
                <w:szCs w:val="24"/>
                <w:highlight w:val="none"/>
              </w:rPr>
            </w:pPr>
          </w:p>
        </w:tc>
        <w:tc>
          <w:tcPr>
            <w:tcW w:w="850" w:type="dxa"/>
          </w:tcPr>
          <w:p>
            <w:pPr>
              <w:spacing w:line="240" w:lineRule="auto"/>
              <w:rPr>
                <w:color w:val="auto"/>
                <w:sz w:val="24"/>
                <w:szCs w:val="24"/>
                <w:highlight w:val="none"/>
              </w:rPr>
            </w:pPr>
          </w:p>
        </w:tc>
        <w:tc>
          <w:tcPr>
            <w:tcW w:w="959" w:type="dxa"/>
          </w:tcPr>
          <w:p>
            <w:pPr>
              <w:spacing w:line="240" w:lineRule="auto"/>
              <w:rPr>
                <w:color w:val="auto"/>
                <w:sz w:val="24"/>
                <w:szCs w:val="24"/>
                <w:highlight w:val="none"/>
              </w:rPr>
            </w:pPr>
          </w:p>
        </w:tc>
        <w:tc>
          <w:tcPr>
            <w:tcW w:w="846" w:type="dxa"/>
          </w:tcPr>
          <w:p>
            <w:pPr>
              <w:spacing w:line="240" w:lineRule="auto"/>
              <w:rPr>
                <w:color w:val="auto"/>
                <w:sz w:val="24"/>
                <w:szCs w:val="24"/>
                <w:highlight w:val="none"/>
              </w:rPr>
            </w:pPr>
          </w:p>
        </w:tc>
        <w:tc>
          <w:tcPr>
            <w:tcW w:w="736" w:type="dxa"/>
          </w:tcPr>
          <w:p>
            <w:pPr>
              <w:spacing w:line="240" w:lineRule="auto"/>
              <w:rPr>
                <w:color w:val="auto"/>
                <w:sz w:val="24"/>
                <w:szCs w:val="24"/>
                <w:highlight w:val="none"/>
              </w:rPr>
            </w:pPr>
          </w:p>
        </w:tc>
      </w:tr>
    </w:tbl>
    <w:p>
      <w:pPr>
        <w:spacing w:line="240" w:lineRule="auto"/>
        <w:rPr>
          <w:color w:val="auto"/>
          <w:highlight w:val="none"/>
        </w:rPr>
      </w:pPr>
    </w:p>
    <w:p>
      <w:pPr>
        <w:spacing w:before="76" w:line="240" w:lineRule="auto"/>
        <w:ind w:left="494" w:right="589" w:firstLine="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ascii="宋体" w:hAnsi="宋体" w:eastAsia="宋体" w:cs="宋体"/>
          <w:color w:val="auto"/>
          <w:spacing w:val="-1"/>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w:t>
      </w:r>
    </w:p>
    <w:p>
      <w:pPr>
        <w:spacing w:before="77" w:line="240" w:lineRule="auto"/>
        <w:ind w:left="49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 ：</w:t>
      </w:r>
      <w:r>
        <w:rPr>
          <w:rFonts w:ascii="宋体" w:hAnsi="宋体" w:eastAsia="宋体" w:cs="宋体"/>
          <w:color w:val="auto"/>
          <w:sz w:val="24"/>
          <w:szCs w:val="24"/>
          <w:highlight w:val="none"/>
          <w:u w:val="single"/>
        </w:rPr>
        <w:t xml:space="preserve">        </w:t>
      </w:r>
    </w:p>
    <w:p>
      <w:pPr>
        <w:spacing w:before="78" w:line="240" w:lineRule="auto"/>
        <w:ind w:left="5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240" w:lineRule="auto"/>
        <w:rPr>
          <w:color w:val="auto"/>
          <w:sz w:val="24"/>
          <w:szCs w:val="24"/>
          <w:highlight w:val="none"/>
        </w:rPr>
      </w:pPr>
    </w:p>
    <w:p>
      <w:pPr>
        <w:spacing w:line="240" w:lineRule="auto"/>
        <w:ind w:right="13"/>
        <w:rPr>
          <w:rFonts w:ascii="宋体" w:hAnsi="宋体" w:eastAsia="宋体" w:cs="宋体"/>
          <w:b/>
          <w:bCs/>
          <w:color w:val="auto"/>
          <w:spacing w:val="6"/>
          <w:sz w:val="23"/>
          <w:szCs w:val="23"/>
          <w:highlight w:val="none"/>
        </w:rPr>
      </w:pPr>
      <w:r>
        <w:rPr>
          <w:rFonts w:hint="eastAsia" w:ascii="宋体" w:hAnsi="宋体" w:eastAsia="宋体" w:cs="宋体"/>
          <w:b/>
          <w:bCs/>
          <w:color w:val="auto"/>
          <w:spacing w:val="6"/>
          <w:sz w:val="24"/>
          <w:szCs w:val="24"/>
          <w:highlight w:val="none"/>
        </w:rPr>
        <w:t>注：此表填写的管理人员将作为判定(财政部令第87号) 第三十七条依据。</w:t>
      </w: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sectPr>
          <w:headerReference r:id="rId33" w:type="default"/>
          <w:footerReference r:id="rId34" w:type="default"/>
          <w:pgSz w:w="11905" w:h="16838"/>
          <w:pgMar w:top="1417" w:right="1417" w:bottom="1417" w:left="1417" w:header="0" w:footer="1134" w:gutter="0"/>
          <w:cols w:space="0" w:num="1"/>
        </w:sectPr>
      </w:pPr>
    </w:p>
    <w:p>
      <w:pPr>
        <w:spacing w:before="3" w:line="240" w:lineRule="auto"/>
        <w:ind w:right="13"/>
        <w:jc w:val="both"/>
        <w:rPr>
          <w:rFonts w:ascii="宋体" w:hAnsi="宋体" w:eastAsia="宋体" w:cs="宋体"/>
          <w:b/>
          <w:bCs/>
          <w:color w:val="auto"/>
          <w:sz w:val="32"/>
          <w:szCs w:val="32"/>
          <w:highlight w:val="none"/>
        </w:rPr>
      </w:pPr>
    </w:p>
    <w:p>
      <w:pPr>
        <w:spacing w:before="3" w:line="240" w:lineRule="auto"/>
        <w:ind w:right="13"/>
        <w:jc w:val="center"/>
        <w:outlineLvl w:val="9"/>
        <w:rPr>
          <w:rFonts w:ascii="宋体" w:hAnsi="宋体" w:eastAsia="宋体" w:cs="宋体"/>
          <w:b/>
          <w:bCs/>
          <w:color w:val="auto"/>
          <w:sz w:val="32"/>
          <w:szCs w:val="32"/>
          <w:highlight w:val="none"/>
        </w:rPr>
      </w:pPr>
      <w:bookmarkStart w:id="148" w:name="_Toc20221"/>
      <w:bookmarkStart w:id="149" w:name="_Toc24427"/>
      <w:r>
        <w:rPr>
          <w:rFonts w:hint="eastAsia" w:ascii="宋体" w:hAnsi="宋体" w:eastAsia="宋体" w:cs="宋体"/>
          <w:b/>
          <w:bCs/>
          <w:color w:val="auto"/>
          <w:sz w:val="32"/>
          <w:szCs w:val="32"/>
          <w:highlight w:val="none"/>
          <w:lang w:eastAsia="zh-CN"/>
        </w:rPr>
        <w:t>九</w:t>
      </w:r>
      <w:r>
        <w:rPr>
          <w:rFonts w:hint="eastAsia" w:ascii="宋体" w:hAnsi="宋体" w:eastAsia="宋体" w:cs="宋体"/>
          <w:b/>
          <w:bCs/>
          <w:color w:val="auto"/>
          <w:sz w:val="32"/>
          <w:szCs w:val="32"/>
          <w:highlight w:val="none"/>
        </w:rPr>
        <w:t>、承诺函(实质性要求)</w:t>
      </w:r>
      <w:bookmarkEnd w:id="148"/>
      <w:bookmarkEnd w:id="149"/>
    </w:p>
    <w:p>
      <w:pPr>
        <w:tabs>
          <w:tab w:val="left" w:pos="1948"/>
        </w:tabs>
        <w:spacing w:before="176" w:line="240" w:lineRule="auto"/>
        <w:ind w:left="14"/>
        <w:rPr>
          <w:rFonts w:ascii="宋体" w:hAnsi="宋体" w:eastAsia="宋体" w:cs="宋体"/>
          <w:color w:val="auto"/>
          <w:sz w:val="23"/>
          <w:szCs w:val="23"/>
          <w:highlight w:val="none"/>
          <w:u w:val="single"/>
        </w:rPr>
      </w:pPr>
    </w:p>
    <w:p>
      <w:pPr>
        <w:tabs>
          <w:tab w:val="left" w:pos="1948"/>
        </w:tabs>
        <w:spacing w:before="176" w:line="240" w:lineRule="auto"/>
        <w:ind w:left="14"/>
        <w:rPr>
          <w:rFonts w:ascii="宋体" w:hAnsi="宋体" w:eastAsia="宋体" w:cs="宋体"/>
          <w:color w:val="auto"/>
          <w:sz w:val="24"/>
          <w:szCs w:val="24"/>
          <w:highlight w:val="none"/>
        </w:rPr>
      </w:pPr>
      <w:r>
        <w:rPr>
          <w:rFonts w:ascii="宋体" w:hAnsi="宋体" w:eastAsia="宋体" w:cs="宋体"/>
          <w:color w:val="auto"/>
          <w:sz w:val="24"/>
          <w:szCs w:val="24"/>
          <w:highlight w:val="none"/>
          <w:u w:val="single"/>
        </w:rPr>
        <w:tab/>
      </w:r>
      <w:r>
        <w:rPr>
          <w:rFonts w:hint="eastAsia" w:ascii="宋体" w:hAnsi="宋体" w:eastAsia="宋体" w:cs="宋体"/>
          <w:color w:val="auto"/>
          <w:spacing w:val="6"/>
          <w:sz w:val="24"/>
          <w:szCs w:val="24"/>
          <w:highlight w:val="none"/>
        </w:rPr>
        <w:t>(招标代理机构名称)：</w:t>
      </w:r>
    </w:p>
    <w:p>
      <w:pPr>
        <w:spacing w:line="240" w:lineRule="auto"/>
        <w:rPr>
          <w:color w:val="auto"/>
          <w:sz w:val="24"/>
          <w:szCs w:val="24"/>
          <w:highlight w:val="none"/>
        </w:rPr>
      </w:pPr>
    </w:p>
    <w:p>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我单位作为本次采购项目的投标人，根据招标文件要求，现郑重承诺如下：</w:t>
      </w:r>
    </w:p>
    <w:p>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一、我方已认真阅读并接受本项目招标文件第二章的全部实质性要求，如对招标文件有异议，已依法进行维权救济，不存在对招标文件有异议的同时又参加投标以求侥幸中标或者为实现其他非法目的的行为。</w:t>
      </w:r>
    </w:p>
    <w:p>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二、参加本次招标采购活动，不存在与单位负责人为同一人或者存在直接控股、管理关系的其他供应商参与同一合同项下的采购活动的行为。</w:t>
      </w:r>
    </w:p>
    <w:p>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三、参加本次招标采购活动，不存在和其他供应商在同一合同项下的采购项目中，同时委托同一个自然人、同一家庭的人员、同一单位的人员作为代理人的行为。</w:t>
      </w:r>
    </w:p>
    <w:p>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四、为采购项目提供整体设计、规范编制或者项目管理、监理、检测等服务的供应商，不得再参加该采购项目的其他采购活动，我单位承诺不属于此类禁止参加本项目的供应商。</w:t>
      </w:r>
    </w:p>
    <w:p>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五、投标文件中提供的能够给予我公司带来优惠、好处的任何材料资料和技术、服务、商务等响应承诺情况都是真实的、有效的、合法的。</w:t>
      </w:r>
    </w:p>
    <w:p>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六、如本项目评标过程中需要提供样品，则我公司提供的样品即为中标后将要提供的中标产品，我公司对提供样品的性能和质量负责，因样品存在缺陷或者不符合招标文件要求导致未能中标的，我公司愿意承担相应不利后果。</w:t>
      </w:r>
    </w:p>
    <w:p>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七、参加本次招标采购活动，我方完全同意招标文件第二章关于“投标费用”、“合同分包”、“合同转包”、“履约保证金”的实质性要求，并承诺严格按照招标文件要求履行。</w:t>
      </w:r>
    </w:p>
    <w:p>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八、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招标人享有本项目实施过程中产生的知识成果及知识产权。如我方在项目实施过程中采用自有知识成果，我方承诺提供开发接口和开发手册等技术文档，并提供无限期技术支持，招标人享有永久使用权（含招标人委托第三方在该项目后续开发的使用权）。如我方在项目实施过程中采用非自有的知识产权，则在投标报价中已包括合法获取该知识产权的相关费用。</w:t>
      </w:r>
    </w:p>
    <w:p>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九、本次投标报价是响应招标项目要求的全部工作内容的价格体现，包括完成本项目所需的一切费用。</w:t>
      </w:r>
    </w:p>
    <w:p>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我方对上述承诺的内容事项真实性负责。如经查实上述承诺的内容事项存在虚假，我方愿意接受以提供虚假材料谋取中标追究法律责任。</w:t>
      </w:r>
    </w:p>
    <w:p>
      <w:pPr>
        <w:spacing w:before="76" w:line="240" w:lineRule="auto"/>
        <w:ind w:left="494" w:right="589" w:firstLine="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ascii="宋体" w:hAnsi="宋体" w:eastAsia="宋体" w:cs="宋体"/>
          <w:color w:val="auto"/>
          <w:spacing w:val="-1"/>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w:t>
      </w:r>
    </w:p>
    <w:p>
      <w:pPr>
        <w:spacing w:before="77" w:line="240" w:lineRule="auto"/>
        <w:ind w:left="494"/>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法定代表人/单位负责人或授权代表(签字或加盖个人名章) ：</w:t>
      </w:r>
      <w:r>
        <w:rPr>
          <w:rFonts w:ascii="宋体" w:hAnsi="宋体" w:eastAsia="宋体" w:cs="宋体"/>
          <w:color w:val="auto"/>
          <w:sz w:val="24"/>
          <w:szCs w:val="24"/>
          <w:highlight w:val="none"/>
          <w:u w:val="single"/>
        </w:rPr>
        <w:t xml:space="preserve">        </w:t>
      </w:r>
    </w:p>
    <w:p>
      <w:pPr>
        <w:spacing w:before="78" w:line="240" w:lineRule="auto"/>
        <w:ind w:left="5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240" w:lineRule="auto"/>
        <w:rPr>
          <w:color w:val="auto"/>
          <w:highlight w:val="none"/>
        </w:rPr>
        <w:sectPr>
          <w:headerReference r:id="rId35" w:type="default"/>
          <w:footerReference r:id="rId36" w:type="default"/>
          <w:pgSz w:w="11905" w:h="16838"/>
          <w:pgMar w:top="1417" w:right="1417" w:bottom="1417" w:left="1417" w:header="0" w:footer="1134" w:gutter="0"/>
          <w:cols w:space="0" w:num="1"/>
        </w:sectPr>
      </w:pPr>
    </w:p>
    <w:p>
      <w:pPr>
        <w:spacing w:before="114" w:line="240" w:lineRule="auto"/>
        <w:jc w:val="center"/>
        <w:outlineLvl w:val="0"/>
        <w:rPr>
          <w:rFonts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pPr>
      <w:bookmarkStart w:id="150" w:name="_Toc1869"/>
      <w:r>
        <w:rPr>
          <w:rFonts w:hint="eastAsia"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t>第四章 投标人和投标产品的资格、资质性及其他类似效力要求</w:t>
      </w:r>
      <w:bookmarkEnd w:id="150"/>
    </w:p>
    <w:p>
      <w:pPr>
        <w:spacing w:line="240" w:lineRule="auto"/>
        <w:rPr>
          <w:rFonts w:ascii="宋体" w:hAnsi="宋体" w:eastAsia="宋体" w:cs="宋体"/>
          <w:b/>
          <w:bCs/>
          <w:color w:val="auto"/>
          <w:sz w:val="24"/>
          <w:szCs w:val="24"/>
          <w:highlight w:val="none"/>
        </w:rPr>
      </w:pPr>
      <w:bookmarkStart w:id="151" w:name="_Toc9678"/>
      <w:bookmarkStart w:id="152" w:name="_Toc12309"/>
      <w:r>
        <w:rPr>
          <w:rFonts w:hint="eastAsia" w:ascii="宋体" w:hAnsi="宋体" w:eastAsia="宋体" w:cs="宋体"/>
          <w:b/>
          <w:bCs/>
          <w:color w:val="auto"/>
          <w:sz w:val="24"/>
          <w:szCs w:val="24"/>
          <w:highlight w:val="none"/>
        </w:rPr>
        <w:t>一、参加投标的供应商应具备下列资格条件：</w:t>
      </w:r>
      <w:bookmarkEnd w:id="151"/>
      <w:bookmarkEnd w:id="152"/>
    </w:p>
    <w:p>
      <w:pPr>
        <w:spacing w:line="24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 满足《中华人民共和国政府采购法》第二十二条规定的条件：</w:t>
      </w:r>
    </w:p>
    <w:p>
      <w:pPr>
        <w:spacing w:line="240" w:lineRule="auto"/>
        <w:ind w:left="588"/>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1、具有独立承担民事责任的能力；</w:t>
      </w:r>
    </w:p>
    <w:p>
      <w:pPr>
        <w:spacing w:line="240" w:lineRule="auto"/>
        <w:ind w:left="588"/>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2、具有良好的商业信誉和健全的财务会计制度；</w:t>
      </w:r>
    </w:p>
    <w:p>
      <w:pPr>
        <w:spacing w:line="240" w:lineRule="auto"/>
        <w:ind w:left="588"/>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3、具有履行合同所必需的设备和专业技术能力；</w:t>
      </w:r>
    </w:p>
    <w:p>
      <w:pPr>
        <w:spacing w:line="240" w:lineRule="auto"/>
        <w:ind w:left="588"/>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4、有依法缴纳税收和社会保障资金的良好记录；</w:t>
      </w:r>
    </w:p>
    <w:p>
      <w:pPr>
        <w:spacing w:line="240" w:lineRule="auto"/>
        <w:ind w:left="588"/>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5、参加本次采购活动前三年内，在经营活动中没有重大违法记录；(公司成立不足三年的从成立之日起算)</w:t>
      </w:r>
    </w:p>
    <w:p>
      <w:pPr>
        <w:spacing w:line="240" w:lineRule="auto"/>
        <w:ind w:left="588"/>
        <w:outlineLvl w:val="9"/>
        <w:rPr>
          <w:rFonts w:ascii="宋体" w:hAnsi="宋体" w:eastAsia="宋体" w:cs="宋体"/>
          <w:color w:val="auto"/>
          <w:spacing w:val="6"/>
          <w:sz w:val="24"/>
          <w:szCs w:val="24"/>
          <w:highlight w:val="none"/>
        </w:rPr>
      </w:pPr>
      <w:bookmarkStart w:id="153" w:name="_Toc2903"/>
      <w:bookmarkStart w:id="154" w:name="_Toc5128"/>
      <w:r>
        <w:rPr>
          <w:rFonts w:hint="eastAsia" w:ascii="宋体" w:hAnsi="宋体" w:eastAsia="宋体" w:cs="宋体"/>
          <w:color w:val="auto"/>
          <w:spacing w:val="6"/>
          <w:sz w:val="24"/>
          <w:szCs w:val="24"/>
          <w:highlight w:val="none"/>
        </w:rPr>
        <w:t>6、具备法律、行政法规规定的其他条件。</w:t>
      </w:r>
      <w:bookmarkEnd w:id="153"/>
      <w:bookmarkEnd w:id="154"/>
    </w:p>
    <w:p>
      <w:pPr>
        <w:spacing w:line="240" w:lineRule="auto"/>
        <w:rPr>
          <w:rFonts w:ascii="宋体" w:hAnsi="宋体" w:eastAsia="宋体" w:cs="宋体"/>
          <w:b/>
          <w:bCs/>
          <w:color w:val="auto"/>
          <w:sz w:val="24"/>
          <w:szCs w:val="24"/>
          <w:highlight w:val="none"/>
        </w:rPr>
      </w:pPr>
      <w:r>
        <w:rPr>
          <w:rFonts w:hint="eastAsia" w:ascii="宋体" w:hAnsi="宋体" w:eastAsia="宋体" w:cs="宋体"/>
          <w:color w:val="auto"/>
          <w:spacing w:val="6"/>
          <w:sz w:val="24"/>
          <w:szCs w:val="24"/>
          <w:highlight w:val="none"/>
        </w:rPr>
        <w:t>(二) 本项目不接受联合体投标。</w:t>
      </w:r>
    </w:p>
    <w:p>
      <w:pPr>
        <w:spacing w:line="240" w:lineRule="auto"/>
        <w:rPr>
          <w:rFonts w:ascii="宋体" w:hAnsi="宋体" w:eastAsia="宋体" w:cs="宋体"/>
          <w:b/>
          <w:bCs/>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eastAsia="zh-CN"/>
        </w:rPr>
        <w:t>三</w:t>
      </w:r>
      <w:r>
        <w:rPr>
          <w:rFonts w:hint="eastAsia" w:ascii="宋体" w:hAnsi="宋体" w:eastAsia="宋体" w:cs="宋体"/>
          <w:color w:val="auto"/>
          <w:spacing w:val="6"/>
          <w:sz w:val="24"/>
          <w:szCs w:val="24"/>
          <w:highlight w:val="none"/>
        </w:rPr>
        <w:t xml:space="preserve">) </w:t>
      </w:r>
      <w:r>
        <w:rPr>
          <w:rFonts w:hint="eastAsia" w:ascii="宋体" w:hAnsi="宋体" w:eastAsia="宋体" w:cs="宋体"/>
          <w:b/>
          <w:bCs/>
          <w:color w:val="auto"/>
          <w:sz w:val="24"/>
          <w:szCs w:val="24"/>
          <w:highlight w:val="none"/>
        </w:rPr>
        <w:t>其他类似效力要求：</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w:t>
      </w:r>
      <w:r>
        <w:rPr>
          <w:rFonts w:hint="eastAsia" w:ascii="宋体" w:hAnsi="宋体" w:eastAsia="宋体" w:cs="宋体"/>
          <w:color w:val="auto"/>
          <w:spacing w:val="6"/>
          <w:sz w:val="24"/>
          <w:szCs w:val="24"/>
          <w:highlight w:val="none"/>
          <w:lang w:val="en-US" w:eastAsia="zh-CN"/>
        </w:rPr>
        <w:t>参照</w:t>
      </w:r>
      <w:r>
        <w:rPr>
          <w:rFonts w:hint="eastAsia" w:ascii="宋体" w:hAnsi="宋体" w:eastAsia="宋体" w:cs="宋体"/>
          <w:color w:val="auto"/>
          <w:spacing w:val="6"/>
          <w:sz w:val="24"/>
          <w:szCs w:val="24"/>
          <w:highlight w:val="none"/>
        </w:rPr>
        <w:t>《关于在政府采购活动中查询及使用信用记录有关问题的通知》(财库〔2016〕125号)的要求，拒绝列入失信被执行人名单、重大税收违法案件当事人名单、政府采购严重违法失信行为记录名单中的供应商参加本项目的采购活动；</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2</w:t>
      </w:r>
      <w:r>
        <w:rPr>
          <w:rFonts w:hint="eastAsia" w:ascii="宋体" w:hAnsi="宋体" w:eastAsia="宋体" w:cs="宋体"/>
          <w:color w:val="auto"/>
          <w:spacing w:val="6"/>
          <w:sz w:val="24"/>
          <w:szCs w:val="24"/>
          <w:highlight w:val="none"/>
        </w:rPr>
        <w:t>、授权参加本次采购活动的投标人代表证明材料；</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3</w:t>
      </w:r>
      <w:r>
        <w:rPr>
          <w:rFonts w:hint="eastAsia" w:ascii="宋体" w:hAnsi="宋体" w:eastAsia="宋体" w:cs="宋体"/>
          <w:color w:val="auto"/>
          <w:spacing w:val="6"/>
          <w:sz w:val="24"/>
          <w:szCs w:val="24"/>
          <w:highlight w:val="none"/>
        </w:rPr>
        <w:t>、按照本项目招标文件的规定获取了招标文件。</w:t>
      </w:r>
    </w:p>
    <w:p>
      <w:pPr>
        <w:spacing w:line="240" w:lineRule="auto"/>
        <w:rPr>
          <w:rFonts w:ascii="宋体" w:hAnsi="宋体" w:eastAsia="宋体" w:cs="宋体"/>
          <w:b/>
          <w:bCs/>
          <w:color w:val="auto"/>
          <w:sz w:val="24"/>
          <w:szCs w:val="24"/>
          <w:highlight w:val="none"/>
        </w:rPr>
      </w:pPr>
    </w:p>
    <w:p>
      <w:pPr>
        <w:spacing w:line="24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注：1、本章资格要求第 (5款) 中“参加本次采购活动前三年内，在经营活动中没有重大违法记录”中的重大违法记录是指：投标人因违法经营 受到刑事处罚或者责令停产停业、吊销许可证或者执照、较大数额罚款等行政处罚，其中较大数额罚款的具体金额标准以财库〔2022〕3 号文为准，即：认定为200万元以上的罚款，法律、行政法规以及国务院有关部门明确规定相关 领域“较大数额罚款”标准高于200万元的，从其规定。</w:t>
      </w:r>
    </w:p>
    <w:p>
      <w:pPr>
        <w:spacing w:line="24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2、供应商在参加采购活动前，被纳入法院、工商行政管理部门、税务部门、银行认定的失信名单且在有效期内，或者在前三年采购合同履约过程中及其他经营活动履约过程中未依法履约被有关行政部门处罚 (处理)的，本项目不认定其具有良好的商业信誉。</w:t>
      </w:r>
    </w:p>
    <w:p>
      <w:pPr>
        <w:spacing w:line="240" w:lineRule="auto"/>
        <w:rPr>
          <w:rFonts w:ascii="宋体" w:hAnsi="宋体" w:eastAsia="宋体" w:cs="宋体"/>
          <w:b/>
          <w:bCs/>
          <w:color w:val="auto"/>
          <w:sz w:val="23"/>
          <w:szCs w:val="23"/>
          <w:highlight w:val="none"/>
        </w:rPr>
      </w:pPr>
      <w:r>
        <w:rPr>
          <w:rFonts w:ascii="宋体" w:hAnsi="宋体" w:eastAsia="宋体" w:cs="宋体"/>
          <w:b/>
          <w:bCs/>
          <w:color w:val="auto"/>
          <w:sz w:val="24"/>
          <w:szCs w:val="24"/>
          <w:highlight w:val="none"/>
        </w:rPr>
        <w:pict>
          <v:shape id="_x0000_s2057" o:spid="_x0000_s2057" o:spt="202" type="#_x0000_t202" style="position:absolute;left:0pt;margin-left:288.1pt;margin-top:772.25pt;height:10.05pt;width:21.1pt;mso-position-horizontal-relative:page;mso-position-vertical-relative:page;z-index:251670528;mso-width-relative:page;mso-height-relative:page;" filled="f" stroked="f" coordsize="21600,21600" o:allowincell="f">
            <v:path/>
            <v:fill on="f" focussize="0,0"/>
            <v:stroke on="f" joinstyle="miter"/>
            <v:imagedata o:title=""/>
            <o:lock v:ext="edit"/>
            <v:textbox inset="0mm,0mm,0mm,0mm">
              <w:txbxContent>
                <w:p>
                  <w:pPr>
                    <w:spacing w:before="19" w:line="197" w:lineRule="auto"/>
                    <w:ind w:left="20"/>
                    <w:rPr>
                      <w:rFonts w:ascii="Times New Roman" w:hAnsi="Times New Roman" w:eastAsia="Times New Roman" w:cs="Times New Roman"/>
                      <w:sz w:val="17"/>
                      <w:szCs w:val="17"/>
                    </w:rPr>
                  </w:pPr>
                </w:p>
              </w:txbxContent>
            </v:textbox>
          </v:shape>
        </w:pict>
      </w:r>
      <w:r>
        <w:rPr>
          <w:rFonts w:hint="eastAsia" w:ascii="宋体" w:hAnsi="宋体" w:eastAsia="宋体" w:cs="宋体"/>
          <w:b/>
          <w:bCs/>
          <w:color w:val="auto"/>
          <w:sz w:val="24"/>
          <w:szCs w:val="24"/>
          <w:highlight w:val="none"/>
        </w:rPr>
        <w:t>3、本章要求投标人提供的资格证明材料必须加盖投标人印章(鲜章)。</w:t>
      </w:r>
    </w:p>
    <w:p>
      <w:pPr>
        <w:spacing w:line="240" w:lineRule="auto"/>
        <w:rPr>
          <w:color w:val="auto"/>
          <w:highlight w:val="none"/>
        </w:rPr>
        <w:sectPr>
          <w:headerReference r:id="rId37" w:type="default"/>
          <w:footerReference r:id="rId38" w:type="default"/>
          <w:pgSz w:w="11905" w:h="16838"/>
          <w:pgMar w:top="1417" w:right="1417" w:bottom="1417" w:left="1417" w:header="0" w:footer="1134" w:gutter="0"/>
          <w:cols w:space="0" w:num="1"/>
        </w:sectPr>
      </w:pPr>
    </w:p>
    <w:p>
      <w:pPr>
        <w:spacing w:before="114" w:line="240" w:lineRule="auto"/>
        <w:jc w:val="center"/>
        <w:outlineLvl w:val="0"/>
        <w:rPr>
          <w:rFonts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pPr>
      <w:bookmarkStart w:id="155" w:name="_Toc4044"/>
      <w:r>
        <w:rPr>
          <w:rFonts w:hint="eastAsia"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t>第五章  投标人应当提供的资格、资质性及其他类似</w:t>
      </w:r>
      <w:bookmarkStart w:id="156" w:name="_Toc27836"/>
      <w:r>
        <w:rPr>
          <w:rFonts w:hint="eastAsia"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t>效力要求的相关证明材料</w:t>
      </w:r>
      <w:bookmarkEnd w:id="155"/>
      <w:bookmarkEnd w:id="156"/>
    </w:p>
    <w:p>
      <w:pPr>
        <w:spacing w:line="240" w:lineRule="auto"/>
        <w:rPr>
          <w:color w:val="auto"/>
          <w:highlight w:val="none"/>
        </w:rPr>
      </w:pPr>
    </w:p>
    <w:p>
      <w:pPr>
        <w:spacing w:line="240" w:lineRule="auto"/>
        <w:rPr>
          <w:color w:val="auto"/>
          <w:highlight w:val="none"/>
        </w:rPr>
      </w:pPr>
    </w:p>
    <w:p>
      <w:pPr>
        <w:spacing w:line="240" w:lineRule="auto"/>
        <w:outlineLvl w:val="9"/>
        <w:rPr>
          <w:rFonts w:ascii="宋体" w:hAnsi="宋体" w:eastAsia="宋体" w:cs="宋体"/>
          <w:b/>
          <w:bCs/>
          <w:color w:val="auto"/>
          <w:sz w:val="24"/>
          <w:szCs w:val="24"/>
          <w:highlight w:val="none"/>
        </w:rPr>
      </w:pPr>
      <w:bookmarkStart w:id="157" w:name="_Toc23003"/>
      <w:bookmarkStart w:id="158" w:name="_Toc487"/>
      <w:r>
        <w:rPr>
          <w:rFonts w:hint="eastAsia" w:ascii="宋体" w:hAnsi="宋体" w:eastAsia="宋体" w:cs="宋体"/>
          <w:b/>
          <w:bCs/>
          <w:color w:val="auto"/>
          <w:sz w:val="24"/>
          <w:szCs w:val="24"/>
          <w:highlight w:val="none"/>
        </w:rPr>
        <w:t>一、应当提供的供应商资格、资质性及其他类似效力要求的相关证明材料</w:t>
      </w:r>
      <w:bookmarkEnd w:id="157"/>
      <w:bookmarkEnd w:id="158"/>
    </w:p>
    <w:p>
      <w:pPr>
        <w:spacing w:line="240" w:lineRule="auto"/>
        <w:ind w:left="34"/>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 满足《中华人民共和国政府采购法》第二十二条规定的条件</w:t>
      </w:r>
      <w:r>
        <w:rPr>
          <w:rFonts w:ascii="宋体" w:hAnsi="宋体" w:eastAsia="宋体" w:cs="宋体"/>
          <w:color w:val="auto"/>
          <w:spacing w:val="9"/>
          <w:sz w:val="24"/>
          <w:szCs w:val="24"/>
          <w:highlight w:val="none"/>
          <w14:textOutline w14:w="4356" w14:cap="sq" w14:cmpd="sng" w14:algn="ctr">
            <w14:solidFill>
              <w14:srgbClr w14:val="000000"/>
            </w14:solidFill>
            <w14:prstDash w14:val="solid"/>
            <w14:bevel/>
          </w14:textOutline>
        </w:rPr>
        <w:t>：</w:t>
      </w:r>
    </w:p>
    <w:p>
      <w:pPr>
        <w:spacing w:line="240" w:lineRule="auto"/>
        <w:ind w:left="22" w:right="94" w:firstLine="3"/>
        <w:outlineLvl w:val="9"/>
        <w:rPr>
          <w:rFonts w:ascii="宋体" w:hAnsi="宋体" w:eastAsia="宋体" w:cs="宋体"/>
          <w:color w:val="auto"/>
          <w:spacing w:val="9"/>
          <w:sz w:val="24"/>
          <w:szCs w:val="24"/>
          <w:highlight w:val="none"/>
        </w:rPr>
      </w:pPr>
      <w:bookmarkStart w:id="159" w:name="_Toc15790"/>
      <w:bookmarkStart w:id="160" w:name="_Toc12679"/>
      <w:r>
        <w:rPr>
          <w:rFonts w:hint="eastAsia" w:ascii="宋体" w:hAnsi="宋体" w:eastAsia="宋体" w:cs="宋体"/>
          <w:color w:val="auto"/>
          <w:spacing w:val="9"/>
          <w:sz w:val="24"/>
          <w:szCs w:val="24"/>
          <w:highlight w:val="none"/>
        </w:rPr>
        <w:t>1、具有独立承担民事责任的能力：</w:t>
      </w:r>
      <w:bookmarkEnd w:id="159"/>
      <w:bookmarkEnd w:id="160"/>
    </w:p>
    <w:p>
      <w:pPr>
        <w:spacing w:line="240" w:lineRule="auto"/>
        <w:ind w:left="22" w:right="94" w:firstLine="3"/>
        <w:rPr>
          <w:rFonts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①投标人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个体工商户：提供“统一社会信用代码营业执照副本”或“营业执照、税务登记证”⑤若为自然人：提供“身份证明材料”。以上均提供复印件)</w:t>
      </w:r>
    </w:p>
    <w:p>
      <w:pPr>
        <w:spacing w:line="240" w:lineRule="auto"/>
        <w:ind w:left="22" w:right="94" w:firstLine="3"/>
        <w:rPr>
          <w:rFonts w:hint="eastAsia" w:ascii="宋体" w:hAnsi="宋体" w:eastAsia="宋体" w:cs="宋体"/>
          <w:color w:val="auto"/>
          <w:spacing w:val="9"/>
          <w:sz w:val="24"/>
          <w:szCs w:val="24"/>
          <w:highlight w:val="none"/>
          <w:lang w:eastAsia="zh-CN"/>
        </w:rPr>
      </w:pPr>
      <w:r>
        <w:rPr>
          <w:rFonts w:hint="eastAsia" w:ascii="宋体" w:hAnsi="宋体" w:eastAsia="宋体" w:cs="宋体"/>
          <w:color w:val="auto"/>
          <w:spacing w:val="9"/>
          <w:sz w:val="24"/>
          <w:szCs w:val="24"/>
          <w:highlight w:val="none"/>
        </w:rPr>
        <w:t>2、具有良好的商业信誉和健全的财务会计制度：【①具有健全的财务会计制度的证明材料：A、可提供202</w:t>
      </w:r>
      <w:r>
        <w:rPr>
          <w:rFonts w:hint="eastAsia" w:ascii="宋体" w:hAnsi="宋体" w:eastAsia="宋体" w:cs="宋体"/>
          <w:color w:val="auto"/>
          <w:spacing w:val="9"/>
          <w:sz w:val="24"/>
          <w:szCs w:val="24"/>
          <w:highlight w:val="none"/>
          <w:lang w:val="en-US" w:eastAsia="zh-CN"/>
        </w:rPr>
        <w:t>2</w:t>
      </w:r>
      <w:r>
        <w:rPr>
          <w:rFonts w:hint="eastAsia" w:ascii="宋体" w:hAnsi="宋体" w:eastAsia="宋体" w:cs="宋体"/>
          <w:color w:val="auto"/>
          <w:spacing w:val="9"/>
          <w:sz w:val="24"/>
          <w:szCs w:val="24"/>
          <w:highlight w:val="none"/>
        </w:rPr>
        <w:t>年度(含)至今任意一年度经审计的财务报告(包含审计报告和审计报告中所涉及的财务报表和报表附注)；B、也可提供202</w:t>
      </w:r>
      <w:r>
        <w:rPr>
          <w:rFonts w:hint="eastAsia" w:ascii="宋体" w:hAnsi="宋体" w:eastAsia="宋体" w:cs="宋体"/>
          <w:color w:val="auto"/>
          <w:spacing w:val="9"/>
          <w:sz w:val="24"/>
          <w:szCs w:val="24"/>
          <w:highlight w:val="none"/>
          <w:lang w:val="en-US" w:eastAsia="zh-CN"/>
        </w:rPr>
        <w:t>2</w:t>
      </w:r>
      <w:r>
        <w:rPr>
          <w:rFonts w:hint="eastAsia" w:ascii="宋体" w:hAnsi="宋体" w:eastAsia="宋体" w:cs="宋体"/>
          <w:color w:val="auto"/>
          <w:spacing w:val="9"/>
          <w:sz w:val="24"/>
          <w:szCs w:val="24"/>
          <w:highlight w:val="none"/>
        </w:rPr>
        <w:t>年度(含)至今任意一年度供应商内部的财务报表(至少包含资产负债表) ；C、也可提供截止投标文件递交截止日一年内其基本开户银行出具的资信证明；D、</w:t>
      </w:r>
      <w:r>
        <w:rPr>
          <w:rFonts w:hint="eastAsia" w:ascii="宋体" w:hAnsi="宋体" w:eastAsia="宋体" w:cs="宋体"/>
          <w:color w:val="auto"/>
          <w:spacing w:val="9"/>
          <w:sz w:val="24"/>
          <w:szCs w:val="24"/>
          <w:highlight w:val="none"/>
          <w:lang w:val="en-US" w:eastAsia="zh-CN"/>
        </w:rPr>
        <w:t>投标人</w:t>
      </w:r>
      <w:r>
        <w:rPr>
          <w:rFonts w:hint="eastAsia" w:ascii="宋体" w:hAnsi="宋体" w:eastAsia="宋体" w:cs="宋体"/>
          <w:color w:val="auto"/>
          <w:spacing w:val="9"/>
          <w:sz w:val="24"/>
          <w:szCs w:val="24"/>
          <w:highlight w:val="none"/>
        </w:rPr>
        <w:t>注册时间截止响应文件递交截止日不足一年的，也可提供公司章程；F、自然人可不提供】</w:t>
      </w:r>
      <w:r>
        <w:rPr>
          <w:rFonts w:hint="eastAsia" w:ascii="宋体" w:hAnsi="宋体" w:eastAsia="宋体" w:cs="宋体"/>
          <w:color w:val="auto"/>
          <w:spacing w:val="9"/>
          <w:sz w:val="24"/>
          <w:szCs w:val="24"/>
          <w:highlight w:val="none"/>
          <w:lang w:eastAsia="zh-CN"/>
        </w:rPr>
        <w:t>。</w:t>
      </w:r>
    </w:p>
    <w:p>
      <w:pPr>
        <w:spacing w:line="240" w:lineRule="auto"/>
        <w:ind w:left="22" w:right="94" w:firstLine="3"/>
        <w:rPr>
          <w:rFonts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 xml:space="preserve">②提供具有良好商业信誉的承诺函 (原件) ；                             </w:t>
      </w:r>
    </w:p>
    <w:p>
      <w:pPr>
        <w:spacing w:line="240" w:lineRule="auto"/>
        <w:ind w:left="22" w:right="94" w:firstLine="3"/>
        <w:rPr>
          <w:rFonts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 xml:space="preserve">3、提供具有履行合同所必需的设备和专业技术能力承诺函；(原件)         </w:t>
      </w:r>
    </w:p>
    <w:p>
      <w:pPr>
        <w:spacing w:line="240" w:lineRule="auto"/>
        <w:ind w:left="22" w:right="94" w:firstLine="3"/>
        <w:rPr>
          <w:rFonts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4、提供具有依法缴纳税收和社会保障资金的</w:t>
      </w:r>
      <w:r>
        <w:rPr>
          <w:rFonts w:hint="eastAsia" w:ascii="宋体" w:hAnsi="宋体" w:eastAsia="宋体" w:cs="宋体"/>
          <w:color w:val="auto"/>
          <w:spacing w:val="9"/>
          <w:sz w:val="24"/>
          <w:szCs w:val="24"/>
          <w:highlight w:val="none"/>
          <w:lang w:val="en-US" w:eastAsia="zh-CN"/>
        </w:rPr>
        <w:t>证明材料</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9"/>
          <w:sz w:val="24"/>
          <w:szCs w:val="24"/>
          <w:highlight w:val="none"/>
          <w:lang w:val="en-US" w:eastAsia="zh-CN"/>
        </w:rPr>
        <w:t>①可提供2023年6月1日至今任意1个月</w:t>
      </w:r>
      <w:r>
        <w:rPr>
          <w:rFonts w:hint="eastAsia" w:ascii="宋体" w:hAnsi="宋体" w:cs="宋体"/>
          <w:color w:val="auto"/>
          <w:sz w:val="24"/>
          <w:szCs w:val="24"/>
          <w:highlight w:val="none"/>
        </w:rPr>
        <w:t>主管部门出具的依法缴纳税收及社会保障资金的发票或银行转账凭证或主管部门出具的证明文件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②也可提供承诺函</w:t>
      </w:r>
      <w:r>
        <w:rPr>
          <w:rFonts w:hint="eastAsia" w:ascii="宋体" w:hAnsi="宋体" w:eastAsia="宋体" w:cs="宋体"/>
          <w:color w:val="auto"/>
          <w:spacing w:val="9"/>
          <w:sz w:val="24"/>
          <w:szCs w:val="24"/>
          <w:highlight w:val="none"/>
        </w:rPr>
        <w:t xml:space="preserve">原件)     </w:t>
      </w:r>
    </w:p>
    <w:p>
      <w:pPr>
        <w:spacing w:line="240" w:lineRule="auto"/>
        <w:ind w:left="22" w:right="94" w:firstLine="3"/>
        <w:rPr>
          <w:rFonts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5、提供参加本次采购活动前三年内，在经营活动中没有重大违法记录的承诺函；(原件)(公司成立不足三年的从成立之日起算)</w:t>
      </w:r>
    </w:p>
    <w:p>
      <w:pPr>
        <w:spacing w:line="240" w:lineRule="auto"/>
        <w:ind w:left="22" w:right="94" w:firstLine="3"/>
        <w:outlineLvl w:val="9"/>
        <w:rPr>
          <w:rFonts w:ascii="宋体" w:hAnsi="宋体" w:eastAsia="宋体" w:cs="宋体"/>
          <w:color w:val="auto"/>
          <w:spacing w:val="4"/>
          <w:sz w:val="24"/>
          <w:szCs w:val="24"/>
          <w:highlight w:val="none"/>
        </w:rPr>
      </w:pPr>
      <w:bookmarkStart w:id="161" w:name="_Toc25527"/>
      <w:bookmarkStart w:id="162" w:name="_Toc20467"/>
      <w:r>
        <w:rPr>
          <w:rFonts w:hint="eastAsia" w:ascii="宋体" w:hAnsi="宋体" w:eastAsia="宋体" w:cs="宋体"/>
          <w:color w:val="auto"/>
          <w:spacing w:val="8"/>
          <w:sz w:val="24"/>
          <w:szCs w:val="24"/>
          <w:highlight w:val="none"/>
        </w:rPr>
        <w:t>6、</w:t>
      </w:r>
      <w:r>
        <w:rPr>
          <w:rFonts w:ascii="宋体" w:hAnsi="宋体" w:eastAsia="宋体" w:cs="宋体"/>
          <w:color w:val="auto"/>
          <w:spacing w:val="8"/>
          <w:sz w:val="24"/>
          <w:szCs w:val="24"/>
          <w:highlight w:val="none"/>
        </w:rPr>
        <w:t>提供具备</w:t>
      </w:r>
      <w:r>
        <w:rPr>
          <w:rFonts w:ascii="宋体" w:hAnsi="宋体" w:eastAsia="宋体" w:cs="宋体"/>
          <w:color w:val="auto"/>
          <w:spacing w:val="4"/>
          <w:sz w:val="24"/>
          <w:szCs w:val="24"/>
          <w:highlight w:val="none"/>
        </w:rPr>
        <w:t>法律、行政法规规定的其他条件的承诺函；(原件)</w:t>
      </w:r>
      <w:bookmarkEnd w:id="161"/>
      <w:bookmarkEnd w:id="162"/>
    </w:p>
    <w:p>
      <w:pPr>
        <w:spacing w:line="240" w:lineRule="auto"/>
        <w:ind w:left="24" w:right="96" w:firstLine="1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 其他类似效力要求相关证明材料：</w:t>
      </w:r>
    </w:p>
    <w:p>
      <w:pPr>
        <w:spacing w:line="240" w:lineRule="auto"/>
        <w:ind w:left="22" w:firstLine="18"/>
        <w:rPr>
          <w:rFonts w:ascii="宋体" w:hAnsi="宋体" w:eastAsia="宋体" w:cs="宋体"/>
          <w:color w:val="auto"/>
          <w:sz w:val="24"/>
          <w:szCs w:val="24"/>
          <w:highlight w:val="none"/>
        </w:rPr>
      </w:pPr>
      <w:r>
        <w:rPr>
          <w:rFonts w:ascii="宋体" w:hAnsi="宋体" w:eastAsia="宋体" w:cs="宋体"/>
          <w:color w:val="auto"/>
          <w:spacing w:val="22"/>
          <w:sz w:val="24"/>
          <w:szCs w:val="24"/>
          <w:highlight w:val="none"/>
        </w:rPr>
        <w:t>1、</w:t>
      </w:r>
      <w:r>
        <w:rPr>
          <w:rFonts w:hint="eastAsia" w:ascii="宋体" w:hAnsi="宋体" w:eastAsia="宋体" w:cs="宋体"/>
          <w:color w:val="auto"/>
          <w:spacing w:val="11"/>
          <w:sz w:val="24"/>
          <w:szCs w:val="24"/>
          <w:highlight w:val="none"/>
        </w:rPr>
        <w:t>招标代理机构</w:t>
      </w:r>
      <w:r>
        <w:rPr>
          <w:rFonts w:ascii="宋体" w:hAnsi="宋体" w:eastAsia="宋体" w:cs="宋体"/>
          <w:color w:val="auto"/>
          <w:spacing w:val="11"/>
          <w:sz w:val="24"/>
          <w:szCs w:val="24"/>
          <w:highlight w:val="none"/>
        </w:rPr>
        <w:t>通过“信用中国”网站 (</w:t>
      </w:r>
      <w:r>
        <w:rPr>
          <w:rFonts w:ascii="宋体" w:hAnsi="宋体" w:eastAsia="宋体" w:cs="宋体"/>
          <w:color w:val="auto"/>
          <w:sz w:val="24"/>
          <w:szCs w:val="24"/>
          <w:highlight w:val="none"/>
        </w:rPr>
        <w:t>www</w:t>
      </w:r>
      <w:r>
        <w:rPr>
          <w:rFonts w:ascii="宋体" w:hAnsi="宋体" w:eastAsia="宋体" w:cs="宋体"/>
          <w:color w:val="auto"/>
          <w:spacing w:val="11"/>
          <w:sz w:val="24"/>
          <w:szCs w:val="24"/>
          <w:highlight w:val="none"/>
        </w:rPr>
        <w:t>.</w:t>
      </w:r>
      <w:r>
        <w:rPr>
          <w:rFonts w:ascii="宋体" w:hAnsi="宋体" w:eastAsia="宋体" w:cs="宋体"/>
          <w:color w:val="auto"/>
          <w:sz w:val="24"/>
          <w:szCs w:val="24"/>
          <w:highlight w:val="none"/>
        </w:rPr>
        <w:t>creditchina</w:t>
      </w:r>
      <w:r>
        <w:rPr>
          <w:rFonts w:ascii="宋体" w:hAnsi="宋体" w:eastAsia="宋体" w:cs="宋体"/>
          <w:color w:val="auto"/>
          <w:spacing w:val="11"/>
          <w:sz w:val="24"/>
          <w:szCs w:val="24"/>
          <w:highlight w:val="none"/>
        </w:rPr>
        <w:t>.</w:t>
      </w:r>
      <w:r>
        <w:rPr>
          <w:rFonts w:ascii="宋体" w:hAnsi="宋体" w:eastAsia="宋体" w:cs="宋体"/>
          <w:color w:val="auto"/>
          <w:sz w:val="24"/>
          <w:szCs w:val="24"/>
          <w:highlight w:val="none"/>
        </w:rPr>
        <w:t>gov</w:t>
      </w:r>
      <w:r>
        <w:rPr>
          <w:rFonts w:ascii="宋体" w:hAnsi="宋体" w:eastAsia="宋体" w:cs="宋体"/>
          <w:color w:val="auto"/>
          <w:spacing w:val="11"/>
          <w:sz w:val="24"/>
          <w:szCs w:val="24"/>
          <w:highlight w:val="none"/>
        </w:rPr>
        <w:t>.</w:t>
      </w:r>
      <w:r>
        <w:rPr>
          <w:rFonts w:ascii="宋体" w:hAnsi="宋体" w:eastAsia="宋体" w:cs="宋体"/>
          <w:color w:val="auto"/>
          <w:sz w:val="24"/>
          <w:szCs w:val="24"/>
          <w:highlight w:val="none"/>
        </w:rPr>
        <w:t>cn</w:t>
      </w:r>
      <w:r>
        <w:rPr>
          <w:rFonts w:ascii="宋体" w:hAnsi="宋体" w:eastAsia="宋体" w:cs="宋体"/>
          <w:color w:val="auto"/>
          <w:spacing w:val="11"/>
          <w:sz w:val="24"/>
          <w:szCs w:val="24"/>
          <w:highlight w:val="none"/>
        </w:rPr>
        <w:t>) 、“中国</w:t>
      </w:r>
      <w:r>
        <w:rPr>
          <w:rFonts w:ascii="宋体" w:hAnsi="宋体" w:eastAsia="宋体" w:cs="宋体"/>
          <w:color w:val="auto"/>
          <w:spacing w:val="21"/>
          <w:sz w:val="24"/>
          <w:szCs w:val="24"/>
          <w:highlight w:val="none"/>
        </w:rPr>
        <w:t>政</w:t>
      </w:r>
      <w:r>
        <w:rPr>
          <w:rFonts w:ascii="宋体" w:hAnsi="宋体" w:eastAsia="宋体" w:cs="宋体"/>
          <w:color w:val="auto"/>
          <w:spacing w:val="11"/>
          <w:sz w:val="24"/>
          <w:szCs w:val="24"/>
          <w:highlight w:val="none"/>
        </w:rPr>
        <w:t>府采购网”网站 (</w:t>
      </w:r>
      <w:r>
        <w:rPr>
          <w:rFonts w:ascii="宋体" w:hAnsi="宋体" w:eastAsia="宋体" w:cs="宋体"/>
          <w:color w:val="auto"/>
          <w:sz w:val="24"/>
          <w:szCs w:val="24"/>
          <w:highlight w:val="none"/>
        </w:rPr>
        <w:t>www</w:t>
      </w:r>
      <w:r>
        <w:rPr>
          <w:rFonts w:ascii="宋体" w:hAnsi="宋体" w:eastAsia="宋体" w:cs="宋体"/>
          <w:color w:val="auto"/>
          <w:spacing w:val="11"/>
          <w:sz w:val="24"/>
          <w:szCs w:val="24"/>
          <w:highlight w:val="none"/>
        </w:rPr>
        <w:t>.</w:t>
      </w:r>
      <w:r>
        <w:rPr>
          <w:rFonts w:ascii="宋体" w:hAnsi="宋体" w:eastAsia="宋体" w:cs="宋体"/>
          <w:color w:val="auto"/>
          <w:sz w:val="24"/>
          <w:szCs w:val="24"/>
          <w:highlight w:val="none"/>
        </w:rPr>
        <w:t>ccgp</w:t>
      </w:r>
      <w:r>
        <w:rPr>
          <w:rFonts w:ascii="宋体" w:hAnsi="宋体" w:eastAsia="宋体" w:cs="宋体"/>
          <w:color w:val="auto"/>
          <w:spacing w:val="11"/>
          <w:sz w:val="24"/>
          <w:szCs w:val="24"/>
          <w:highlight w:val="none"/>
        </w:rPr>
        <w:t>.</w:t>
      </w:r>
      <w:r>
        <w:rPr>
          <w:rFonts w:ascii="宋体" w:hAnsi="宋体" w:eastAsia="宋体" w:cs="宋体"/>
          <w:color w:val="auto"/>
          <w:sz w:val="24"/>
          <w:szCs w:val="24"/>
          <w:highlight w:val="none"/>
        </w:rPr>
        <w:t>gov</w:t>
      </w:r>
      <w:r>
        <w:rPr>
          <w:rFonts w:ascii="宋体" w:hAnsi="宋体" w:eastAsia="宋体" w:cs="宋体"/>
          <w:color w:val="auto"/>
          <w:spacing w:val="11"/>
          <w:sz w:val="24"/>
          <w:szCs w:val="24"/>
          <w:highlight w:val="none"/>
        </w:rPr>
        <w:t>.</w:t>
      </w:r>
      <w:r>
        <w:rPr>
          <w:rFonts w:ascii="宋体" w:hAnsi="宋体" w:eastAsia="宋体" w:cs="宋体"/>
          <w:color w:val="auto"/>
          <w:sz w:val="24"/>
          <w:szCs w:val="24"/>
          <w:highlight w:val="none"/>
        </w:rPr>
        <w:t>cn</w:t>
      </w:r>
      <w:r>
        <w:rPr>
          <w:rFonts w:ascii="宋体" w:hAnsi="宋体" w:eastAsia="宋体" w:cs="宋体"/>
          <w:color w:val="auto"/>
          <w:spacing w:val="11"/>
          <w:sz w:val="24"/>
          <w:szCs w:val="24"/>
          <w:highlight w:val="none"/>
        </w:rPr>
        <w:t>) 等渠道查询供应商在递交投标文件截止</w:t>
      </w:r>
      <w:r>
        <w:rPr>
          <w:rFonts w:ascii="宋体" w:hAnsi="宋体" w:eastAsia="宋体" w:cs="宋体"/>
          <w:color w:val="auto"/>
          <w:spacing w:val="18"/>
          <w:sz w:val="24"/>
          <w:szCs w:val="24"/>
          <w:highlight w:val="none"/>
        </w:rPr>
        <w:t>之日</w:t>
      </w:r>
      <w:r>
        <w:rPr>
          <w:rFonts w:ascii="宋体" w:hAnsi="宋体" w:eastAsia="宋体" w:cs="宋体"/>
          <w:color w:val="auto"/>
          <w:spacing w:val="9"/>
          <w:sz w:val="24"/>
          <w:szCs w:val="24"/>
          <w:highlight w:val="none"/>
        </w:rPr>
        <w:t>的信用记录并保存信用记录结果网页截图，拒绝列入失信被执行人名单、</w:t>
      </w:r>
      <w:r>
        <w:rPr>
          <w:rFonts w:ascii="宋体" w:hAnsi="宋体" w:eastAsia="宋体" w:cs="宋体"/>
          <w:color w:val="auto"/>
          <w:spacing w:val="10"/>
          <w:sz w:val="24"/>
          <w:szCs w:val="24"/>
          <w:highlight w:val="none"/>
        </w:rPr>
        <w:t>重</w:t>
      </w:r>
      <w:r>
        <w:rPr>
          <w:rFonts w:ascii="宋体" w:hAnsi="宋体" w:eastAsia="宋体" w:cs="宋体"/>
          <w:color w:val="auto"/>
          <w:spacing w:val="7"/>
          <w:sz w:val="24"/>
          <w:szCs w:val="24"/>
          <w:highlight w:val="none"/>
        </w:rPr>
        <w:t>大税收违法案件当事人名单、政府采购严重违法失信行为记录名单中的供应商</w:t>
      </w:r>
      <w:r>
        <w:rPr>
          <w:rFonts w:ascii="宋体" w:hAnsi="宋体" w:eastAsia="宋体" w:cs="宋体"/>
          <w:color w:val="auto"/>
          <w:spacing w:val="11"/>
          <w:sz w:val="24"/>
          <w:szCs w:val="24"/>
          <w:highlight w:val="none"/>
        </w:rPr>
        <w:t>参</w:t>
      </w:r>
      <w:r>
        <w:rPr>
          <w:rFonts w:ascii="宋体" w:hAnsi="宋体" w:eastAsia="宋体" w:cs="宋体"/>
          <w:color w:val="auto"/>
          <w:spacing w:val="6"/>
          <w:sz w:val="24"/>
          <w:szCs w:val="24"/>
          <w:highlight w:val="none"/>
        </w:rPr>
        <w:t>加本项目的采购活动。</w:t>
      </w:r>
      <w:r>
        <w:rPr>
          <w:rFonts w:hint="eastAsia" w:ascii="宋体" w:hAnsi="宋体" w:eastAsia="宋体" w:cs="宋体"/>
          <w:b/>
          <w:bCs/>
          <w:color w:val="auto"/>
          <w:sz w:val="24"/>
          <w:szCs w:val="24"/>
          <w:highlight w:val="none"/>
        </w:rPr>
        <w:t>(此项由招标代理机构查询，投标人不提供证明材料)</w:t>
      </w:r>
    </w:p>
    <w:p>
      <w:pPr>
        <w:spacing w:line="240" w:lineRule="auto"/>
        <w:ind w:left="28"/>
        <w:rPr>
          <w:rFonts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lang w:val="en-US" w:eastAsia="zh-CN"/>
        </w:rPr>
        <w:t>2</w:t>
      </w:r>
      <w:r>
        <w:rPr>
          <w:rFonts w:ascii="宋体" w:hAnsi="宋体" w:eastAsia="宋体" w:cs="宋体"/>
          <w:color w:val="auto"/>
          <w:spacing w:val="8"/>
          <w:sz w:val="24"/>
          <w:szCs w:val="24"/>
          <w:highlight w:val="none"/>
        </w:rPr>
        <w:t>、</w:t>
      </w:r>
      <w:r>
        <w:rPr>
          <w:rFonts w:hint="eastAsia" w:ascii="宋体" w:hAnsi="宋体" w:eastAsia="宋体" w:cs="宋体"/>
          <w:color w:val="auto"/>
          <w:spacing w:val="8"/>
          <w:sz w:val="24"/>
          <w:szCs w:val="24"/>
          <w:highlight w:val="none"/>
        </w:rPr>
        <w:t>法定代表人/单位负责人身份证明书原件及有效身份证明材料复印件并加盖投标人公章（法定代表人/单位负责人参加投标时提供）；</w:t>
      </w:r>
    </w:p>
    <w:p>
      <w:pPr>
        <w:spacing w:line="240" w:lineRule="auto"/>
        <w:ind w:left="28"/>
        <w:rPr>
          <w:rFonts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val="en-US" w:eastAsia="zh-CN"/>
        </w:rPr>
        <w:t>3</w:t>
      </w:r>
      <w:r>
        <w:rPr>
          <w:rFonts w:hint="eastAsia" w:ascii="宋体" w:hAnsi="宋体" w:eastAsia="宋体" w:cs="宋体"/>
          <w:color w:val="auto"/>
          <w:spacing w:val="8"/>
          <w:sz w:val="24"/>
          <w:szCs w:val="24"/>
          <w:highlight w:val="none"/>
        </w:rPr>
        <w:t>.法定代表人/单位负责人有效身份证明材料复印件及授权委托书原件和授权代表有效身份证明材料复印件并加盖投标人公章（委托代理人参加投标时提供）。</w:t>
      </w:r>
    </w:p>
    <w:p>
      <w:pPr>
        <w:spacing w:line="240" w:lineRule="auto"/>
        <w:ind w:left="24" w:right="94" w:hanging="2"/>
        <w:rPr>
          <w:rFonts w:ascii="宋体" w:hAnsi="宋体" w:eastAsia="宋体" w:cs="宋体"/>
          <w:color w:val="auto"/>
          <w:sz w:val="24"/>
          <w:szCs w:val="24"/>
          <w:highlight w:val="none"/>
        </w:rPr>
      </w:pPr>
      <w:r>
        <w:rPr>
          <w:rFonts w:hint="eastAsia" w:ascii="宋体" w:hAnsi="宋体" w:eastAsia="宋体" w:cs="宋体"/>
          <w:color w:val="auto"/>
          <w:spacing w:val="18"/>
          <w:sz w:val="24"/>
          <w:szCs w:val="24"/>
          <w:highlight w:val="none"/>
          <w:lang w:val="en-US" w:eastAsia="zh-CN"/>
        </w:rPr>
        <w:t>4</w:t>
      </w:r>
      <w:r>
        <w:rPr>
          <w:rFonts w:ascii="宋体" w:hAnsi="宋体" w:eastAsia="宋体" w:cs="宋体"/>
          <w:color w:val="auto"/>
          <w:spacing w:val="18"/>
          <w:sz w:val="24"/>
          <w:szCs w:val="24"/>
          <w:highlight w:val="none"/>
        </w:rPr>
        <w:t>、</w:t>
      </w:r>
      <w:r>
        <w:rPr>
          <w:rFonts w:ascii="宋体" w:hAnsi="宋体" w:eastAsia="宋体" w:cs="宋体"/>
          <w:color w:val="auto"/>
          <w:spacing w:val="10"/>
          <w:sz w:val="24"/>
          <w:szCs w:val="24"/>
          <w:highlight w:val="none"/>
        </w:rPr>
        <w:t>按照本项目招标文件的规定获取了招标文件</w:t>
      </w:r>
      <w:r>
        <w:rPr>
          <w:rFonts w:hint="eastAsia" w:ascii="宋体" w:hAnsi="宋体" w:eastAsia="宋体" w:cs="宋体"/>
          <w:b/>
          <w:bCs/>
          <w:color w:val="auto"/>
          <w:sz w:val="24"/>
          <w:szCs w:val="24"/>
          <w:highlight w:val="none"/>
        </w:rPr>
        <w:t xml:space="preserve"> (投标人不需要对本条提供证明材料，由招标代理机构提供投标人获取招标文件情况的材料) 。</w:t>
      </w:r>
    </w:p>
    <w:p>
      <w:pPr>
        <w:spacing w:line="240" w:lineRule="auto"/>
        <w:rPr>
          <w:color w:val="auto"/>
          <w:sz w:val="24"/>
          <w:szCs w:val="24"/>
          <w:highlight w:val="none"/>
        </w:rPr>
      </w:pPr>
    </w:p>
    <w:p>
      <w:pPr>
        <w:spacing w:line="240" w:lineRule="auto"/>
        <w:ind w:left="23" w:right="96" w:firstLine="4"/>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注意：1、本章要求投标人提供的资格证明材料必须加盖投标人印章(鲜章)。</w:t>
      </w:r>
    </w:p>
    <w:p>
      <w:pPr>
        <w:spacing w:line="240" w:lineRule="auto"/>
        <w:ind w:left="23" w:right="96" w:firstLine="4"/>
        <w:rPr>
          <w:rFonts w:ascii="宋体" w:hAnsi="宋体" w:eastAsia="宋体" w:cs="宋体"/>
          <w:b/>
          <w:bCs/>
          <w:color w:val="auto"/>
          <w:sz w:val="23"/>
          <w:szCs w:val="23"/>
          <w:highlight w:val="none"/>
        </w:rPr>
      </w:pPr>
      <w:r>
        <w:rPr>
          <w:rFonts w:hint="eastAsia" w:ascii="宋体" w:hAnsi="宋体" w:eastAsia="宋体" w:cs="宋体"/>
          <w:b/>
          <w:bCs/>
          <w:color w:val="auto"/>
          <w:sz w:val="24"/>
          <w:szCs w:val="24"/>
          <w:highlight w:val="none"/>
        </w:rPr>
        <w:t>2、投标人应对其所提供的资格证明材料的来源的合法性、真实性负责。</w:t>
      </w:r>
    </w:p>
    <w:p>
      <w:pPr>
        <w:spacing w:line="240" w:lineRule="auto"/>
        <w:rPr>
          <w:color w:val="auto"/>
          <w:highlight w:val="none"/>
        </w:rPr>
        <w:sectPr>
          <w:headerReference r:id="rId39" w:type="default"/>
          <w:footerReference r:id="rId40" w:type="default"/>
          <w:pgSz w:w="11905" w:h="16838"/>
          <w:pgMar w:top="1417" w:right="1417" w:bottom="1417" w:left="1417" w:header="0" w:footer="1134" w:gutter="0"/>
          <w:cols w:space="0" w:num="1"/>
        </w:sectPr>
      </w:pPr>
    </w:p>
    <w:p>
      <w:pPr>
        <w:spacing w:before="114" w:line="240" w:lineRule="auto"/>
        <w:jc w:val="center"/>
        <w:outlineLvl w:val="0"/>
        <w:rPr>
          <w:rFonts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pPr>
      <w:bookmarkStart w:id="163" w:name="_Toc8606"/>
      <w:r>
        <w:rPr>
          <w:rFonts w:hint="eastAsia"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t>第六章 招标项目技术、服务及商务要求</w:t>
      </w:r>
      <w:bookmarkEnd w:id="163"/>
    </w:p>
    <w:p>
      <w:pPr>
        <w:spacing w:line="240" w:lineRule="auto"/>
        <w:ind w:firstLine="480"/>
        <w:rPr>
          <w:rFonts w:asciiTheme="minorEastAsia" w:hAnsiTheme="minorEastAsia" w:eastAsiaTheme="minorEastAsia"/>
          <w:color w:val="auto"/>
          <w:szCs w:val="24"/>
          <w:highlight w:val="none"/>
        </w:rPr>
      </w:pPr>
    </w:p>
    <w:p>
      <w:pPr>
        <w:keepNext/>
        <w:keepLines/>
        <w:widowControl w:val="0"/>
        <w:numPr>
          <w:ilvl w:val="0"/>
          <w:numId w:val="5"/>
        </w:numPr>
        <w:spacing w:before="340" w:after="330" w:line="240" w:lineRule="auto"/>
        <w:outlineLvl w:val="1"/>
        <w:rPr>
          <w:rFonts w:ascii="宋体" w:hAnsi="宋体" w:eastAsia="宋体" w:cs="Times New Roman"/>
          <w:b/>
          <w:bCs/>
          <w:color w:val="auto"/>
          <w:kern w:val="44"/>
          <w:sz w:val="23"/>
          <w:szCs w:val="23"/>
          <w:highlight w:val="none"/>
        </w:rPr>
      </w:pPr>
      <w:bookmarkStart w:id="164" w:name="_Toc2090"/>
      <w:bookmarkStart w:id="165" w:name="_Toc213"/>
      <w:r>
        <w:rPr>
          <w:rFonts w:hint="eastAsia" w:ascii="宋体" w:hAnsi="宋体" w:eastAsia="宋体" w:cs="Times New Roman"/>
          <w:b/>
          <w:bCs/>
          <w:color w:val="auto"/>
          <w:kern w:val="44"/>
          <w:sz w:val="23"/>
          <w:szCs w:val="23"/>
          <w:highlight w:val="none"/>
        </w:rPr>
        <w:t>项目概况</w:t>
      </w:r>
      <w:bookmarkEnd w:id="164"/>
      <w:bookmarkEnd w:id="165"/>
    </w:p>
    <w:p>
      <w:pPr>
        <w:spacing w:line="240" w:lineRule="auto"/>
        <w:ind w:left="24" w:right="13" w:firstLine="471"/>
        <w:rPr>
          <w:color w:val="auto"/>
          <w:sz w:val="23"/>
          <w:szCs w:val="23"/>
          <w:highlight w:val="none"/>
        </w:rPr>
      </w:pPr>
      <w:r>
        <w:rPr>
          <w:rFonts w:hint="eastAsia" w:ascii="宋体" w:hAnsi="宋体" w:eastAsia="宋体" w:cs="宋体"/>
          <w:bCs/>
          <w:color w:val="auto"/>
          <w:kern w:val="0"/>
          <w:sz w:val="23"/>
          <w:szCs w:val="23"/>
          <w:highlight w:val="none"/>
          <w:lang w:val="en-US" w:eastAsia="zh-CN"/>
        </w:rPr>
        <w:t>拟通过</w:t>
      </w:r>
      <w:r>
        <w:rPr>
          <w:rFonts w:hint="eastAsia" w:ascii="宋体" w:hAnsi="宋体" w:eastAsia="宋体" w:cs="宋体"/>
          <w:color w:val="auto"/>
          <w:sz w:val="24"/>
          <w:szCs w:val="24"/>
          <w:highlight w:val="none"/>
          <w:lang w:val="en-US" w:eastAsia="zh-CN"/>
        </w:rPr>
        <w:t>公开招标的方式确定一名投标人为为成都市技师学院（成都工贸职业技术学院）2024级新生提供军训服。涉及军训的有四个校区（郫都校区、郫都西校区、新都校区、成华校区）。</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计划招生约为：</w:t>
      </w:r>
      <w:r>
        <w:rPr>
          <w:rFonts w:hint="eastAsia" w:ascii="宋体" w:hAnsi="宋体" w:eastAsia="宋体" w:cs="宋体"/>
          <w:color w:val="auto"/>
          <w:sz w:val="24"/>
          <w:szCs w:val="24"/>
          <w:highlight w:val="none"/>
          <w:lang w:val="en-US" w:eastAsia="zh-CN"/>
        </w:rPr>
        <w:t>5000</w:t>
      </w:r>
      <w:r>
        <w:rPr>
          <w:rFonts w:hint="eastAsia" w:ascii="宋体" w:hAnsi="宋体" w:eastAsia="宋体" w:cs="宋体"/>
          <w:color w:val="auto"/>
          <w:sz w:val="24"/>
          <w:szCs w:val="24"/>
          <w:highlight w:val="none"/>
        </w:rPr>
        <w:t>人，其中中职</w:t>
      </w:r>
      <w:r>
        <w:rPr>
          <w:rFonts w:hint="eastAsia" w:ascii="宋体" w:hAnsi="宋体" w:eastAsia="宋体" w:cs="宋体"/>
          <w:color w:val="auto"/>
          <w:sz w:val="24"/>
          <w:szCs w:val="24"/>
          <w:highlight w:val="none"/>
          <w:lang w:val="en-US" w:eastAsia="zh-CN"/>
        </w:rPr>
        <w:t>1200</w:t>
      </w:r>
      <w:r>
        <w:rPr>
          <w:rFonts w:hint="eastAsia" w:ascii="宋体" w:hAnsi="宋体" w:eastAsia="宋体" w:cs="宋体"/>
          <w:color w:val="auto"/>
          <w:sz w:val="24"/>
          <w:szCs w:val="24"/>
          <w:highlight w:val="none"/>
        </w:rPr>
        <w:t>人，高职:</w:t>
      </w:r>
      <w:r>
        <w:rPr>
          <w:rFonts w:hint="eastAsia" w:ascii="宋体" w:hAnsi="宋体" w:eastAsia="宋体" w:cs="宋体"/>
          <w:color w:val="auto"/>
          <w:sz w:val="24"/>
          <w:szCs w:val="24"/>
          <w:highlight w:val="none"/>
          <w:lang w:val="en-US" w:eastAsia="zh-CN"/>
        </w:rPr>
        <w:t>3800</w:t>
      </w:r>
      <w:r>
        <w:rPr>
          <w:rFonts w:hint="eastAsia" w:ascii="宋体" w:hAnsi="宋体" w:eastAsia="宋体" w:cs="宋体"/>
          <w:color w:val="auto"/>
          <w:sz w:val="24"/>
          <w:szCs w:val="24"/>
          <w:highlight w:val="none"/>
        </w:rPr>
        <w:t>人（最终以实际招生为准）。</w:t>
      </w:r>
    </w:p>
    <w:p>
      <w:pPr>
        <w:keepNext/>
        <w:keepLines/>
        <w:widowControl w:val="0"/>
        <w:numPr>
          <w:ilvl w:val="0"/>
          <w:numId w:val="5"/>
        </w:numPr>
        <w:spacing w:before="340" w:after="330" w:line="240" w:lineRule="auto"/>
        <w:outlineLvl w:val="1"/>
        <w:rPr>
          <w:rFonts w:ascii="宋体" w:hAnsi="宋体" w:eastAsia="宋体" w:cs="Times New Roman"/>
          <w:b/>
          <w:bCs/>
          <w:color w:val="auto"/>
          <w:kern w:val="44"/>
          <w:sz w:val="23"/>
          <w:szCs w:val="23"/>
          <w:highlight w:val="none"/>
        </w:rPr>
      </w:pPr>
      <w:bookmarkStart w:id="166" w:name="_Toc26284"/>
      <w:r>
        <w:rPr>
          <w:rFonts w:hint="eastAsia" w:ascii="宋体" w:hAnsi="宋体" w:eastAsia="宋体" w:cs="Times New Roman"/>
          <w:b/>
          <w:bCs/>
          <w:color w:val="auto"/>
          <w:kern w:val="44"/>
          <w:sz w:val="23"/>
          <w:szCs w:val="23"/>
          <w:highlight w:val="none"/>
        </w:rPr>
        <w:t>★</w:t>
      </w:r>
      <w:r>
        <w:rPr>
          <w:rFonts w:hint="eastAsia" w:ascii="宋体" w:hAnsi="宋体" w:eastAsia="宋体" w:cs="Times New Roman"/>
          <w:b/>
          <w:bCs/>
          <w:color w:val="auto"/>
          <w:kern w:val="44"/>
          <w:sz w:val="23"/>
          <w:szCs w:val="23"/>
          <w:highlight w:val="none"/>
          <w:lang w:val="en-US" w:eastAsia="zh-CN"/>
        </w:rPr>
        <w:t>采购范围及内容</w:t>
      </w:r>
      <w:bookmarkEnd w:id="166"/>
    </w:p>
    <w:tbl>
      <w:tblPr>
        <w:tblStyle w:val="18"/>
        <w:tblpPr w:leftFromText="180" w:rightFromText="180" w:vertAnchor="text" w:horzAnchor="page" w:tblpX="1202" w:tblpY="306"/>
        <w:tblOverlap w:val="never"/>
        <w:tblW w:w="8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819"/>
        <w:gridCol w:w="3290"/>
        <w:gridCol w:w="884"/>
        <w:gridCol w:w="1012"/>
        <w:gridCol w:w="1390"/>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794" w:type="dxa"/>
            <w:noWrap w:val="0"/>
            <w:vAlign w:val="center"/>
          </w:tcPr>
          <w:p>
            <w:pPr>
              <w:spacing w:line="3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4109" w:type="dxa"/>
            <w:gridSpan w:val="2"/>
            <w:noWrap w:val="0"/>
            <w:vAlign w:val="center"/>
          </w:tcPr>
          <w:p>
            <w:pPr>
              <w:spacing w:line="3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标的名称</w:t>
            </w:r>
          </w:p>
        </w:tc>
        <w:tc>
          <w:tcPr>
            <w:tcW w:w="884" w:type="dxa"/>
            <w:noWrap w:val="0"/>
            <w:vAlign w:val="center"/>
          </w:tcPr>
          <w:p>
            <w:pPr>
              <w:spacing w:line="3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1012" w:type="dxa"/>
            <w:noWrap w:val="0"/>
            <w:vAlign w:val="center"/>
          </w:tcPr>
          <w:p>
            <w:pPr>
              <w:spacing w:line="3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1390" w:type="dxa"/>
            <w:noWrap w:val="0"/>
            <w:vAlign w:val="center"/>
          </w:tcPr>
          <w:p>
            <w:pPr>
              <w:spacing w:line="3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单价最高限价</w:t>
            </w:r>
          </w:p>
        </w:tc>
        <w:tc>
          <w:tcPr>
            <w:tcW w:w="808" w:type="dxa"/>
            <w:noWrap w:val="0"/>
            <w:vAlign w:val="center"/>
          </w:tcPr>
          <w:p>
            <w:pPr>
              <w:spacing w:line="36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94" w:type="dxa"/>
            <w:vMerge w:val="restart"/>
            <w:noWrap w:val="0"/>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p>
            <w:pPr>
              <w:spacing w:line="360" w:lineRule="exact"/>
              <w:jc w:val="center"/>
              <w:rPr>
                <w:rFonts w:hint="eastAsia" w:ascii="宋体" w:hAnsi="宋体" w:eastAsia="宋体" w:cs="宋体"/>
                <w:color w:val="auto"/>
                <w:sz w:val="24"/>
                <w:szCs w:val="24"/>
                <w:highlight w:val="none"/>
              </w:rPr>
            </w:pPr>
          </w:p>
        </w:tc>
        <w:tc>
          <w:tcPr>
            <w:tcW w:w="819" w:type="dxa"/>
            <w:vMerge w:val="restart"/>
            <w:noWrap w:val="0"/>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军训服套装</w:t>
            </w:r>
          </w:p>
        </w:tc>
        <w:tc>
          <w:tcPr>
            <w:tcW w:w="3290" w:type="dxa"/>
            <w:noWrap w:val="0"/>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迷彩帽</w:t>
            </w:r>
          </w:p>
        </w:tc>
        <w:tc>
          <w:tcPr>
            <w:tcW w:w="884" w:type="dxa"/>
            <w:noWrap w:val="0"/>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12" w:type="dxa"/>
            <w:noWrap w:val="0"/>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顶</w:t>
            </w:r>
          </w:p>
        </w:tc>
        <w:tc>
          <w:tcPr>
            <w:tcW w:w="1390" w:type="dxa"/>
            <w:vMerge w:val="restart"/>
            <w:noWrap w:val="0"/>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120元/套</w:t>
            </w:r>
          </w:p>
        </w:tc>
        <w:tc>
          <w:tcPr>
            <w:tcW w:w="808" w:type="dxa"/>
            <w:vMerge w:val="restart"/>
            <w:noWrap w:val="0"/>
            <w:vAlign w:val="center"/>
          </w:tcPr>
          <w:p>
            <w:pPr>
              <w:spacing w:line="3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794" w:type="dxa"/>
            <w:vMerge w:val="continue"/>
            <w:noWrap w:val="0"/>
            <w:vAlign w:val="center"/>
          </w:tcPr>
          <w:p>
            <w:pPr>
              <w:spacing w:line="360" w:lineRule="exact"/>
              <w:jc w:val="center"/>
              <w:rPr>
                <w:rFonts w:hint="eastAsia" w:ascii="宋体" w:hAnsi="宋体" w:eastAsia="宋体" w:cs="宋体"/>
                <w:color w:val="auto"/>
                <w:sz w:val="24"/>
                <w:szCs w:val="24"/>
                <w:highlight w:val="none"/>
              </w:rPr>
            </w:pPr>
          </w:p>
        </w:tc>
        <w:tc>
          <w:tcPr>
            <w:tcW w:w="819" w:type="dxa"/>
            <w:vMerge w:val="continue"/>
            <w:noWrap w:val="0"/>
            <w:vAlign w:val="center"/>
          </w:tcPr>
          <w:p>
            <w:pPr>
              <w:spacing w:line="360" w:lineRule="exact"/>
              <w:jc w:val="center"/>
              <w:rPr>
                <w:rFonts w:hint="eastAsia" w:ascii="宋体" w:hAnsi="宋体" w:eastAsia="宋体" w:cs="宋体"/>
                <w:color w:val="auto"/>
                <w:sz w:val="24"/>
                <w:szCs w:val="24"/>
                <w:highlight w:val="none"/>
              </w:rPr>
            </w:pPr>
          </w:p>
        </w:tc>
        <w:tc>
          <w:tcPr>
            <w:tcW w:w="3290" w:type="dxa"/>
            <w:noWrap w:val="0"/>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长袖迷彩军训服（含上衣、下装）</w:t>
            </w:r>
          </w:p>
        </w:tc>
        <w:tc>
          <w:tcPr>
            <w:tcW w:w="884" w:type="dxa"/>
            <w:noWrap w:val="0"/>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12" w:type="dxa"/>
            <w:noWrap w:val="0"/>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390" w:type="dxa"/>
            <w:vMerge w:val="continue"/>
            <w:noWrap w:val="0"/>
            <w:vAlign w:val="center"/>
          </w:tcPr>
          <w:p>
            <w:pPr>
              <w:spacing w:line="360" w:lineRule="exact"/>
              <w:ind w:firstLine="560" w:firstLineChars="200"/>
              <w:jc w:val="center"/>
              <w:rPr>
                <w:rFonts w:hint="eastAsia" w:ascii="宋体" w:hAnsi="宋体" w:eastAsia="宋体" w:cs="宋体"/>
                <w:color w:val="auto"/>
                <w:sz w:val="28"/>
                <w:szCs w:val="28"/>
                <w:highlight w:val="none"/>
              </w:rPr>
            </w:pPr>
          </w:p>
        </w:tc>
        <w:tc>
          <w:tcPr>
            <w:tcW w:w="808" w:type="dxa"/>
            <w:vMerge w:val="continue"/>
            <w:noWrap w:val="0"/>
            <w:vAlign w:val="center"/>
          </w:tcPr>
          <w:p>
            <w:pPr>
              <w:spacing w:line="360" w:lineRule="exact"/>
              <w:ind w:firstLine="560" w:firstLineChars="200"/>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94" w:type="dxa"/>
            <w:vMerge w:val="continue"/>
            <w:noWrap w:val="0"/>
            <w:vAlign w:val="center"/>
          </w:tcPr>
          <w:p>
            <w:pPr>
              <w:spacing w:line="360" w:lineRule="exact"/>
              <w:jc w:val="center"/>
              <w:rPr>
                <w:rFonts w:hint="eastAsia" w:ascii="宋体" w:hAnsi="宋体" w:eastAsia="宋体" w:cs="宋体"/>
                <w:color w:val="auto"/>
                <w:sz w:val="24"/>
                <w:szCs w:val="24"/>
                <w:highlight w:val="none"/>
              </w:rPr>
            </w:pPr>
          </w:p>
        </w:tc>
        <w:tc>
          <w:tcPr>
            <w:tcW w:w="819" w:type="dxa"/>
            <w:vMerge w:val="continue"/>
            <w:noWrap w:val="0"/>
            <w:vAlign w:val="center"/>
          </w:tcPr>
          <w:p>
            <w:pPr>
              <w:spacing w:line="360" w:lineRule="exact"/>
              <w:jc w:val="center"/>
              <w:rPr>
                <w:rFonts w:hint="eastAsia" w:ascii="宋体" w:hAnsi="宋体" w:eastAsia="宋体" w:cs="宋体"/>
                <w:color w:val="auto"/>
                <w:sz w:val="24"/>
                <w:szCs w:val="24"/>
                <w:highlight w:val="none"/>
              </w:rPr>
            </w:pPr>
          </w:p>
        </w:tc>
        <w:tc>
          <w:tcPr>
            <w:tcW w:w="3290" w:type="dxa"/>
            <w:noWrap w:val="0"/>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迷彩T恤</w:t>
            </w:r>
          </w:p>
        </w:tc>
        <w:tc>
          <w:tcPr>
            <w:tcW w:w="884" w:type="dxa"/>
            <w:noWrap w:val="0"/>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12" w:type="dxa"/>
            <w:noWrap w:val="0"/>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件</w:t>
            </w:r>
          </w:p>
        </w:tc>
        <w:tc>
          <w:tcPr>
            <w:tcW w:w="1390" w:type="dxa"/>
            <w:vMerge w:val="continue"/>
            <w:noWrap w:val="0"/>
            <w:vAlign w:val="center"/>
          </w:tcPr>
          <w:p>
            <w:pPr>
              <w:spacing w:line="360" w:lineRule="exact"/>
              <w:ind w:firstLine="560" w:firstLineChars="200"/>
              <w:jc w:val="center"/>
              <w:rPr>
                <w:rFonts w:hint="eastAsia" w:ascii="宋体" w:hAnsi="宋体" w:eastAsia="宋体" w:cs="宋体"/>
                <w:color w:val="auto"/>
                <w:sz w:val="28"/>
                <w:szCs w:val="28"/>
                <w:highlight w:val="none"/>
              </w:rPr>
            </w:pPr>
          </w:p>
        </w:tc>
        <w:tc>
          <w:tcPr>
            <w:tcW w:w="808" w:type="dxa"/>
            <w:vMerge w:val="continue"/>
            <w:noWrap w:val="0"/>
            <w:vAlign w:val="center"/>
          </w:tcPr>
          <w:p>
            <w:pPr>
              <w:spacing w:line="360" w:lineRule="exact"/>
              <w:ind w:firstLine="560" w:firstLineChars="200"/>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94" w:type="dxa"/>
            <w:vMerge w:val="continue"/>
            <w:noWrap w:val="0"/>
            <w:vAlign w:val="center"/>
          </w:tcPr>
          <w:p>
            <w:pPr>
              <w:spacing w:line="360" w:lineRule="exact"/>
              <w:jc w:val="center"/>
              <w:rPr>
                <w:rFonts w:hint="eastAsia" w:ascii="宋体" w:hAnsi="宋体" w:eastAsia="宋体" w:cs="宋体"/>
                <w:color w:val="auto"/>
                <w:sz w:val="24"/>
                <w:szCs w:val="24"/>
                <w:highlight w:val="none"/>
              </w:rPr>
            </w:pPr>
          </w:p>
        </w:tc>
        <w:tc>
          <w:tcPr>
            <w:tcW w:w="819" w:type="dxa"/>
            <w:vMerge w:val="continue"/>
            <w:noWrap w:val="0"/>
            <w:vAlign w:val="center"/>
          </w:tcPr>
          <w:p>
            <w:pPr>
              <w:spacing w:line="360" w:lineRule="exact"/>
              <w:jc w:val="center"/>
              <w:rPr>
                <w:rFonts w:hint="eastAsia" w:ascii="宋体" w:hAnsi="宋体" w:eastAsia="宋体" w:cs="宋体"/>
                <w:color w:val="auto"/>
                <w:sz w:val="24"/>
                <w:szCs w:val="24"/>
                <w:highlight w:val="none"/>
              </w:rPr>
            </w:pPr>
          </w:p>
        </w:tc>
        <w:tc>
          <w:tcPr>
            <w:tcW w:w="3290" w:type="dxa"/>
            <w:noWrap w:val="0"/>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编织外腰带</w:t>
            </w:r>
          </w:p>
        </w:tc>
        <w:tc>
          <w:tcPr>
            <w:tcW w:w="884" w:type="dxa"/>
            <w:noWrap w:val="0"/>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12" w:type="dxa"/>
            <w:noWrap w:val="0"/>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w:t>
            </w:r>
          </w:p>
        </w:tc>
        <w:tc>
          <w:tcPr>
            <w:tcW w:w="1390" w:type="dxa"/>
            <w:vMerge w:val="continue"/>
            <w:noWrap w:val="0"/>
            <w:vAlign w:val="center"/>
          </w:tcPr>
          <w:p>
            <w:pPr>
              <w:spacing w:line="360" w:lineRule="exact"/>
              <w:ind w:firstLine="560" w:firstLineChars="200"/>
              <w:jc w:val="center"/>
              <w:rPr>
                <w:rFonts w:hint="eastAsia" w:ascii="宋体" w:hAnsi="宋体" w:eastAsia="宋体" w:cs="宋体"/>
                <w:color w:val="auto"/>
                <w:sz w:val="28"/>
                <w:szCs w:val="28"/>
                <w:highlight w:val="none"/>
              </w:rPr>
            </w:pPr>
          </w:p>
        </w:tc>
        <w:tc>
          <w:tcPr>
            <w:tcW w:w="808" w:type="dxa"/>
            <w:vMerge w:val="continue"/>
            <w:noWrap w:val="0"/>
            <w:vAlign w:val="center"/>
          </w:tcPr>
          <w:p>
            <w:pPr>
              <w:spacing w:line="360" w:lineRule="exact"/>
              <w:ind w:firstLine="560" w:firstLineChars="200"/>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94" w:type="dxa"/>
            <w:vMerge w:val="continue"/>
            <w:noWrap w:val="0"/>
            <w:vAlign w:val="center"/>
          </w:tcPr>
          <w:p>
            <w:pPr>
              <w:spacing w:line="360" w:lineRule="exact"/>
              <w:jc w:val="center"/>
              <w:rPr>
                <w:rFonts w:hint="eastAsia" w:ascii="宋体" w:hAnsi="宋体" w:eastAsia="宋体" w:cs="宋体"/>
                <w:color w:val="auto"/>
                <w:sz w:val="24"/>
                <w:szCs w:val="24"/>
                <w:highlight w:val="none"/>
              </w:rPr>
            </w:pPr>
          </w:p>
        </w:tc>
        <w:tc>
          <w:tcPr>
            <w:tcW w:w="819" w:type="dxa"/>
            <w:vMerge w:val="continue"/>
            <w:noWrap w:val="0"/>
            <w:vAlign w:val="center"/>
          </w:tcPr>
          <w:p>
            <w:pPr>
              <w:spacing w:line="360" w:lineRule="exact"/>
              <w:jc w:val="center"/>
              <w:rPr>
                <w:rFonts w:hint="eastAsia" w:ascii="宋体" w:hAnsi="宋体" w:eastAsia="宋体" w:cs="宋体"/>
                <w:color w:val="auto"/>
                <w:sz w:val="24"/>
                <w:szCs w:val="24"/>
                <w:highlight w:val="none"/>
              </w:rPr>
            </w:pPr>
          </w:p>
        </w:tc>
        <w:tc>
          <w:tcPr>
            <w:tcW w:w="3290" w:type="dxa"/>
            <w:noWrap w:val="0"/>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迷彩胶鞋</w:t>
            </w:r>
          </w:p>
        </w:tc>
        <w:tc>
          <w:tcPr>
            <w:tcW w:w="884" w:type="dxa"/>
            <w:noWrap w:val="0"/>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12" w:type="dxa"/>
            <w:noWrap w:val="0"/>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w:t>
            </w:r>
          </w:p>
        </w:tc>
        <w:tc>
          <w:tcPr>
            <w:tcW w:w="1390" w:type="dxa"/>
            <w:vMerge w:val="continue"/>
            <w:noWrap w:val="0"/>
            <w:vAlign w:val="center"/>
          </w:tcPr>
          <w:p>
            <w:pPr>
              <w:spacing w:line="360" w:lineRule="exact"/>
              <w:jc w:val="center"/>
              <w:rPr>
                <w:rFonts w:hint="eastAsia" w:ascii="宋体" w:hAnsi="宋体" w:eastAsia="宋体" w:cs="宋体"/>
                <w:color w:val="auto"/>
                <w:sz w:val="28"/>
                <w:szCs w:val="28"/>
                <w:highlight w:val="none"/>
              </w:rPr>
            </w:pPr>
          </w:p>
        </w:tc>
        <w:tc>
          <w:tcPr>
            <w:tcW w:w="808" w:type="dxa"/>
            <w:vMerge w:val="continue"/>
            <w:noWrap w:val="0"/>
            <w:vAlign w:val="center"/>
          </w:tcPr>
          <w:p>
            <w:pPr>
              <w:spacing w:line="360" w:lineRule="exact"/>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94" w:type="dxa"/>
            <w:vMerge w:val="continue"/>
            <w:noWrap w:val="0"/>
            <w:vAlign w:val="center"/>
          </w:tcPr>
          <w:p>
            <w:pPr>
              <w:spacing w:line="360" w:lineRule="exact"/>
              <w:jc w:val="center"/>
              <w:rPr>
                <w:rFonts w:hint="eastAsia" w:ascii="宋体" w:hAnsi="宋体" w:eastAsia="宋体" w:cs="宋体"/>
                <w:color w:val="auto"/>
                <w:sz w:val="24"/>
                <w:szCs w:val="24"/>
                <w:highlight w:val="none"/>
              </w:rPr>
            </w:pPr>
          </w:p>
        </w:tc>
        <w:tc>
          <w:tcPr>
            <w:tcW w:w="819" w:type="dxa"/>
            <w:vMerge w:val="continue"/>
            <w:noWrap w:val="0"/>
            <w:vAlign w:val="center"/>
          </w:tcPr>
          <w:p>
            <w:pPr>
              <w:spacing w:line="360" w:lineRule="exact"/>
              <w:jc w:val="center"/>
              <w:rPr>
                <w:rFonts w:hint="eastAsia" w:ascii="宋体" w:hAnsi="宋体" w:eastAsia="宋体" w:cs="宋体"/>
                <w:color w:val="auto"/>
                <w:sz w:val="24"/>
                <w:szCs w:val="24"/>
                <w:highlight w:val="none"/>
              </w:rPr>
            </w:pPr>
          </w:p>
        </w:tc>
        <w:tc>
          <w:tcPr>
            <w:tcW w:w="3290" w:type="dxa"/>
            <w:noWrap w:val="0"/>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皮内腰带</w:t>
            </w:r>
          </w:p>
        </w:tc>
        <w:tc>
          <w:tcPr>
            <w:tcW w:w="884" w:type="dxa"/>
            <w:noWrap w:val="0"/>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12" w:type="dxa"/>
            <w:noWrap w:val="0"/>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w:t>
            </w:r>
          </w:p>
        </w:tc>
        <w:tc>
          <w:tcPr>
            <w:tcW w:w="1390" w:type="dxa"/>
            <w:vMerge w:val="continue"/>
            <w:noWrap w:val="0"/>
            <w:vAlign w:val="center"/>
          </w:tcPr>
          <w:p>
            <w:pPr>
              <w:spacing w:line="360" w:lineRule="exact"/>
              <w:ind w:firstLine="560" w:firstLineChars="200"/>
              <w:jc w:val="center"/>
              <w:rPr>
                <w:rFonts w:hint="eastAsia" w:ascii="宋体" w:hAnsi="宋体" w:eastAsia="宋体" w:cs="宋体"/>
                <w:color w:val="auto"/>
                <w:sz w:val="28"/>
                <w:szCs w:val="28"/>
                <w:highlight w:val="none"/>
              </w:rPr>
            </w:pPr>
          </w:p>
        </w:tc>
        <w:tc>
          <w:tcPr>
            <w:tcW w:w="808" w:type="dxa"/>
            <w:vMerge w:val="continue"/>
            <w:noWrap w:val="0"/>
            <w:vAlign w:val="center"/>
          </w:tcPr>
          <w:p>
            <w:pPr>
              <w:spacing w:line="360" w:lineRule="exact"/>
              <w:ind w:firstLine="560" w:firstLineChars="200"/>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94" w:type="dxa"/>
            <w:vMerge w:val="continue"/>
            <w:noWrap w:val="0"/>
            <w:vAlign w:val="center"/>
          </w:tcPr>
          <w:p>
            <w:pPr>
              <w:spacing w:line="360" w:lineRule="exact"/>
              <w:jc w:val="center"/>
              <w:rPr>
                <w:rFonts w:hint="eastAsia" w:ascii="宋体" w:hAnsi="宋体" w:eastAsia="宋体" w:cs="宋体"/>
                <w:color w:val="auto"/>
                <w:sz w:val="24"/>
                <w:szCs w:val="24"/>
                <w:highlight w:val="none"/>
              </w:rPr>
            </w:pPr>
          </w:p>
        </w:tc>
        <w:tc>
          <w:tcPr>
            <w:tcW w:w="819" w:type="dxa"/>
            <w:vMerge w:val="continue"/>
            <w:noWrap w:val="0"/>
            <w:vAlign w:val="center"/>
          </w:tcPr>
          <w:p>
            <w:pPr>
              <w:spacing w:line="360" w:lineRule="exact"/>
              <w:jc w:val="center"/>
              <w:rPr>
                <w:rFonts w:hint="eastAsia" w:ascii="宋体" w:hAnsi="宋体" w:eastAsia="宋体" w:cs="宋体"/>
                <w:color w:val="auto"/>
                <w:sz w:val="24"/>
                <w:szCs w:val="24"/>
                <w:highlight w:val="none"/>
              </w:rPr>
            </w:pPr>
          </w:p>
        </w:tc>
        <w:tc>
          <w:tcPr>
            <w:tcW w:w="3290" w:type="dxa"/>
            <w:noWrap w:val="0"/>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肩章</w:t>
            </w:r>
          </w:p>
        </w:tc>
        <w:tc>
          <w:tcPr>
            <w:tcW w:w="884" w:type="dxa"/>
            <w:noWrap w:val="0"/>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12" w:type="dxa"/>
            <w:noWrap w:val="0"/>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副</w:t>
            </w:r>
          </w:p>
        </w:tc>
        <w:tc>
          <w:tcPr>
            <w:tcW w:w="1390" w:type="dxa"/>
            <w:vMerge w:val="continue"/>
            <w:noWrap w:val="0"/>
            <w:vAlign w:val="center"/>
          </w:tcPr>
          <w:p>
            <w:pPr>
              <w:spacing w:line="360" w:lineRule="exact"/>
              <w:ind w:firstLine="560" w:firstLineChars="200"/>
              <w:jc w:val="center"/>
              <w:rPr>
                <w:rFonts w:hint="eastAsia" w:ascii="宋体" w:hAnsi="宋体" w:eastAsia="宋体" w:cs="宋体"/>
                <w:color w:val="auto"/>
                <w:sz w:val="28"/>
                <w:szCs w:val="28"/>
                <w:highlight w:val="none"/>
              </w:rPr>
            </w:pPr>
          </w:p>
        </w:tc>
        <w:tc>
          <w:tcPr>
            <w:tcW w:w="808" w:type="dxa"/>
            <w:vMerge w:val="continue"/>
            <w:noWrap w:val="0"/>
            <w:vAlign w:val="center"/>
          </w:tcPr>
          <w:p>
            <w:pPr>
              <w:spacing w:line="360" w:lineRule="exact"/>
              <w:ind w:firstLine="560" w:firstLineChars="200"/>
              <w:jc w:val="center"/>
              <w:rPr>
                <w:rFonts w:hint="eastAsia" w:ascii="宋体" w:hAnsi="宋体" w:eastAsia="宋体" w:cs="宋体"/>
                <w:color w:val="auto"/>
                <w:sz w:val="28"/>
                <w:szCs w:val="28"/>
                <w:highlight w:val="none"/>
              </w:rPr>
            </w:pPr>
          </w:p>
        </w:tc>
      </w:tr>
    </w:tbl>
    <w:p>
      <w:pPr>
        <w:keepNext/>
        <w:keepLines/>
        <w:widowControl w:val="0"/>
        <w:numPr>
          <w:ilvl w:val="0"/>
          <w:numId w:val="5"/>
        </w:numPr>
        <w:spacing w:before="340" w:after="330" w:line="240" w:lineRule="auto"/>
        <w:outlineLvl w:val="1"/>
        <w:rPr>
          <w:rFonts w:hint="eastAsia" w:ascii="宋体" w:hAnsi="宋体" w:eastAsia="宋体" w:cs="Times New Roman"/>
          <w:b/>
          <w:bCs/>
          <w:color w:val="auto"/>
          <w:kern w:val="44"/>
          <w:sz w:val="23"/>
          <w:szCs w:val="23"/>
          <w:highlight w:val="none"/>
          <w:lang w:val="en-US" w:eastAsia="zh-CN"/>
        </w:rPr>
      </w:pPr>
      <w:bookmarkStart w:id="167" w:name="_Toc8745"/>
      <w:r>
        <w:rPr>
          <w:rFonts w:hint="eastAsia" w:ascii="宋体" w:hAnsi="宋体" w:eastAsia="宋体" w:cs="Times New Roman"/>
          <w:b/>
          <w:bCs/>
          <w:color w:val="auto"/>
          <w:kern w:val="44"/>
          <w:sz w:val="23"/>
          <w:szCs w:val="23"/>
          <w:highlight w:val="none"/>
          <w:lang w:val="en-US" w:eastAsia="zh-CN"/>
        </w:rPr>
        <w:t>技术要求（功能和质量要求）</w:t>
      </w:r>
      <w:bookmarkEnd w:id="167"/>
    </w:p>
    <w:tbl>
      <w:tblPr>
        <w:tblStyle w:val="18"/>
        <w:tblpPr w:leftFromText="180" w:rightFromText="180" w:vertAnchor="text" w:horzAnchor="page" w:tblpX="1618" w:tblpY="310"/>
        <w:tblOverlap w:val="never"/>
        <w:tblW w:w="9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777"/>
        <w:gridCol w:w="1121"/>
        <w:gridCol w:w="6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4" w:type="dxa"/>
            <w:noWrap w:val="0"/>
            <w:vAlign w:val="center"/>
          </w:tcPr>
          <w:p>
            <w:pPr>
              <w:spacing w:line="36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1898" w:type="dxa"/>
            <w:gridSpan w:val="2"/>
            <w:noWrap w:val="0"/>
            <w:vAlign w:val="center"/>
          </w:tcPr>
          <w:p>
            <w:pPr>
              <w:spacing w:line="36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标的名称</w:t>
            </w:r>
          </w:p>
        </w:tc>
        <w:tc>
          <w:tcPr>
            <w:tcW w:w="6677" w:type="dxa"/>
            <w:noWrap w:val="0"/>
            <w:vAlign w:val="center"/>
          </w:tcPr>
          <w:p>
            <w:pPr>
              <w:spacing w:line="36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技术参数及要求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784" w:type="dxa"/>
            <w:vMerge w:val="restart"/>
            <w:noWrap w:val="0"/>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p>
            <w:pPr>
              <w:spacing w:line="360" w:lineRule="exact"/>
              <w:jc w:val="center"/>
              <w:rPr>
                <w:rFonts w:hint="eastAsia" w:ascii="仿宋" w:hAnsi="仿宋" w:eastAsia="仿宋" w:cs="仿宋"/>
                <w:color w:val="auto"/>
                <w:sz w:val="24"/>
                <w:highlight w:val="none"/>
              </w:rPr>
            </w:pPr>
          </w:p>
        </w:tc>
        <w:tc>
          <w:tcPr>
            <w:tcW w:w="777" w:type="dxa"/>
            <w:vMerge w:val="restart"/>
            <w:noWrap w:val="0"/>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军训服套装</w:t>
            </w:r>
          </w:p>
        </w:tc>
        <w:tc>
          <w:tcPr>
            <w:tcW w:w="1121" w:type="dxa"/>
            <w:noWrap w:val="0"/>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迷彩帽</w:t>
            </w:r>
          </w:p>
        </w:tc>
        <w:tc>
          <w:tcPr>
            <w:tcW w:w="6677" w:type="dxa"/>
            <w:noWrap w:val="0"/>
            <w:vAlign w:val="center"/>
          </w:tcPr>
          <w:p>
            <w:pPr>
              <w:spacing w:line="320" w:lineRule="exact"/>
              <w:jc w:val="left"/>
              <w:rPr>
                <w:rFonts w:hint="eastAsia" w:ascii="仿宋" w:hAnsi="仿宋" w:eastAsia="仿宋" w:cs="仿宋"/>
                <w:bCs/>
                <w:color w:val="auto"/>
                <w:kern w:val="0"/>
                <w:sz w:val="24"/>
                <w:highlight w:val="none"/>
              </w:rPr>
            </w:pPr>
            <w:r>
              <w:rPr>
                <w:rFonts w:hint="eastAsia" w:ascii="仿宋" w:hAnsi="仿宋" w:eastAsia="仿宋" w:cs="仿宋"/>
                <w:color w:val="auto"/>
                <w:sz w:val="24"/>
                <w:highlight w:val="none"/>
              </w:rPr>
              <w:t>★</w:t>
            </w:r>
            <w:r>
              <w:rPr>
                <w:rFonts w:hint="eastAsia" w:ascii="仿宋" w:hAnsi="仿宋" w:eastAsia="仿宋" w:cs="仿宋"/>
                <w:bCs/>
                <w:color w:val="auto"/>
                <w:kern w:val="0"/>
                <w:sz w:val="24"/>
                <w:highlight w:val="none"/>
              </w:rPr>
              <w:t>1.面料：</w:t>
            </w:r>
            <w:r>
              <w:rPr>
                <w:rFonts w:hint="eastAsia" w:ascii="仿宋" w:hAnsi="仿宋" w:eastAsia="仿宋" w:cs="仿宋"/>
                <w:color w:val="auto"/>
                <w:sz w:val="24"/>
                <w:highlight w:val="none"/>
              </w:rPr>
              <w:t>涤棉面料，含棉</w:t>
            </w:r>
            <w:r>
              <w:rPr>
                <w:rFonts w:hint="eastAsia" w:ascii="仿宋" w:hAnsi="仿宋" w:eastAsia="仿宋" w:cs="仿宋"/>
                <w:color w:val="auto"/>
                <w:sz w:val="24"/>
                <w:highlight w:val="none"/>
                <w:lang w:eastAsia="zh-CN"/>
              </w:rPr>
              <w:t>量大于</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%；面料缩水率不高于 0.5%；</w:t>
            </w:r>
            <w:r>
              <w:rPr>
                <w:rFonts w:hint="eastAsia" w:ascii="仿宋" w:hAnsi="仿宋" w:eastAsia="仿宋" w:cs="仿宋"/>
                <w:bCs/>
                <w:color w:val="auto"/>
                <w:kern w:val="0"/>
                <w:sz w:val="24"/>
                <w:highlight w:val="none"/>
              </w:rPr>
              <w:t>透气性好，不褪色，易干。</w:t>
            </w:r>
          </w:p>
          <w:p>
            <w:pPr>
              <w:spacing w:line="320" w:lineRule="exact"/>
              <w:jc w:val="lef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2.款式：大檐帽，平顶，短檐，有帽徽。</w:t>
            </w:r>
          </w:p>
          <w:p>
            <w:pPr>
              <w:spacing w:line="320" w:lineRule="exact"/>
              <w:jc w:val="lef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3.做工：微孔透气，帽檐坚固缝线牢实。</w:t>
            </w:r>
          </w:p>
          <w:p>
            <w:pPr>
              <w:spacing w:line="360" w:lineRule="exact"/>
              <w:jc w:val="lef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w:t>
            </w:r>
            <w:r>
              <w:rPr>
                <w:rFonts w:hint="eastAsia" w:ascii="仿宋" w:hAnsi="仿宋" w:eastAsia="仿宋" w:cs="仿宋"/>
                <w:bCs/>
                <w:color w:val="auto"/>
                <w:kern w:val="0"/>
                <w:sz w:val="24"/>
                <w:highlight w:val="none"/>
              </w:rPr>
              <w:t>4.符合《</w:t>
            </w:r>
            <w:r>
              <w:rPr>
                <w:rFonts w:hint="eastAsia" w:ascii="仿宋" w:hAnsi="仿宋" w:eastAsia="仿宋" w:cs="仿宋"/>
                <w:bCs/>
                <w:color w:val="auto"/>
                <w:kern w:val="0"/>
                <w:sz w:val="24"/>
                <w:highlight w:val="none"/>
                <w:lang w:eastAsia="zh-CN"/>
              </w:rPr>
              <w:t>国家纺织产品基本安全技术规范</w:t>
            </w:r>
            <w:r>
              <w:rPr>
                <w:rFonts w:hint="eastAsia" w:ascii="仿宋" w:hAnsi="仿宋" w:eastAsia="仿宋" w:cs="仿宋"/>
                <w:bCs/>
                <w:color w:val="auto"/>
                <w:kern w:val="0"/>
                <w:sz w:val="24"/>
                <w:highlight w:val="none"/>
              </w:rPr>
              <w:t>》GB18401-2010中的</w:t>
            </w:r>
            <w:r>
              <w:rPr>
                <w:rFonts w:hint="eastAsia" w:ascii="仿宋" w:hAnsi="仿宋" w:eastAsia="仿宋" w:cs="仿宋"/>
                <w:bCs/>
                <w:color w:val="auto"/>
                <w:kern w:val="0"/>
                <w:sz w:val="24"/>
                <w:highlight w:val="none"/>
                <w:lang w:val="en-US" w:eastAsia="zh-CN"/>
              </w:rPr>
              <w:t>B</w:t>
            </w:r>
            <w:r>
              <w:rPr>
                <w:rFonts w:hint="eastAsia" w:ascii="仿宋" w:hAnsi="仿宋" w:eastAsia="仿宋" w:cs="仿宋"/>
                <w:bCs/>
                <w:color w:val="auto"/>
                <w:kern w:val="0"/>
                <w:sz w:val="24"/>
                <w:highlight w:val="none"/>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4" w:hRule="atLeast"/>
        </w:trPr>
        <w:tc>
          <w:tcPr>
            <w:tcW w:w="784" w:type="dxa"/>
            <w:vMerge w:val="continue"/>
            <w:noWrap w:val="0"/>
            <w:vAlign w:val="center"/>
          </w:tcPr>
          <w:p>
            <w:pPr>
              <w:spacing w:line="360" w:lineRule="exact"/>
              <w:jc w:val="center"/>
              <w:rPr>
                <w:rFonts w:hint="eastAsia" w:ascii="仿宋" w:hAnsi="仿宋" w:eastAsia="仿宋" w:cs="仿宋"/>
                <w:color w:val="auto"/>
                <w:sz w:val="24"/>
                <w:highlight w:val="none"/>
              </w:rPr>
            </w:pPr>
          </w:p>
        </w:tc>
        <w:tc>
          <w:tcPr>
            <w:tcW w:w="777" w:type="dxa"/>
            <w:vMerge w:val="continue"/>
            <w:noWrap w:val="0"/>
            <w:vAlign w:val="center"/>
          </w:tcPr>
          <w:p>
            <w:pPr>
              <w:spacing w:line="360" w:lineRule="exact"/>
              <w:jc w:val="center"/>
              <w:rPr>
                <w:rFonts w:hint="eastAsia" w:ascii="仿宋" w:hAnsi="仿宋" w:eastAsia="仿宋" w:cs="仿宋"/>
                <w:color w:val="auto"/>
                <w:sz w:val="24"/>
                <w:highlight w:val="none"/>
              </w:rPr>
            </w:pPr>
          </w:p>
        </w:tc>
        <w:tc>
          <w:tcPr>
            <w:tcW w:w="1121" w:type="dxa"/>
            <w:noWrap w:val="0"/>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长袖迷彩军训服（含上衣、下装）</w:t>
            </w:r>
          </w:p>
        </w:tc>
        <w:tc>
          <w:tcPr>
            <w:tcW w:w="6677" w:type="dxa"/>
            <w:noWrap w:val="0"/>
            <w:vAlign w:val="center"/>
          </w:tcPr>
          <w:p>
            <w:pPr>
              <w:spacing w:line="36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bCs/>
                <w:color w:val="auto"/>
                <w:kern w:val="0"/>
                <w:sz w:val="24"/>
                <w:highlight w:val="none"/>
              </w:rPr>
              <w:t>面料</w:t>
            </w:r>
            <w:r>
              <w:rPr>
                <w:rFonts w:hint="eastAsia" w:ascii="仿宋" w:hAnsi="仿宋" w:eastAsia="仿宋" w:cs="仿宋"/>
                <w:color w:val="auto"/>
                <w:sz w:val="24"/>
                <w:highlight w:val="none"/>
              </w:rPr>
              <w:t>：涤棉面料，含棉</w:t>
            </w:r>
            <w:r>
              <w:rPr>
                <w:rFonts w:hint="eastAsia" w:ascii="仿宋" w:hAnsi="仿宋" w:eastAsia="仿宋" w:cs="仿宋"/>
                <w:color w:val="auto"/>
                <w:sz w:val="24"/>
                <w:highlight w:val="none"/>
                <w:lang w:eastAsia="zh-CN"/>
              </w:rPr>
              <w:t>量大于</w:t>
            </w: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%；面料缩水率不高于 0.5%；不褪色，易干，质地轻盈，透气性强，吸汗；数码迷彩。</w:t>
            </w:r>
          </w:p>
          <w:p>
            <w:pPr>
              <w:spacing w:line="36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2.款式：可自由调节袖口、裤脚。</w:t>
            </w:r>
          </w:p>
          <w:p>
            <w:pPr>
              <w:spacing w:line="36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3.做工：服装做工精细，不崩线，钮扣缝线牢实，拉链灵活，结合牢靠不掉齿。</w:t>
            </w:r>
          </w:p>
          <w:p>
            <w:pPr>
              <w:spacing w:line="36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bCs/>
                <w:color w:val="auto"/>
                <w:kern w:val="0"/>
                <w:sz w:val="24"/>
                <w:highlight w:val="none"/>
              </w:rPr>
              <w:t>符合《</w:t>
            </w:r>
            <w:r>
              <w:rPr>
                <w:rFonts w:hint="eastAsia" w:ascii="仿宋" w:hAnsi="仿宋" w:eastAsia="仿宋" w:cs="仿宋"/>
                <w:bCs/>
                <w:color w:val="auto"/>
                <w:kern w:val="0"/>
                <w:sz w:val="24"/>
                <w:highlight w:val="none"/>
                <w:lang w:eastAsia="zh-CN"/>
              </w:rPr>
              <w:t>国家纺织产品基本安全技术规范</w:t>
            </w:r>
            <w:r>
              <w:rPr>
                <w:rFonts w:hint="eastAsia" w:ascii="仿宋" w:hAnsi="仿宋" w:eastAsia="仿宋" w:cs="仿宋"/>
                <w:bCs/>
                <w:color w:val="auto"/>
                <w:kern w:val="0"/>
                <w:sz w:val="24"/>
                <w:highlight w:val="none"/>
              </w:rPr>
              <w:t>》GB18401-2010中的</w:t>
            </w:r>
            <w:r>
              <w:rPr>
                <w:rFonts w:hint="eastAsia" w:ascii="仿宋" w:hAnsi="仿宋" w:eastAsia="仿宋" w:cs="仿宋"/>
                <w:bCs/>
                <w:color w:val="auto"/>
                <w:kern w:val="0"/>
                <w:sz w:val="24"/>
                <w:highlight w:val="none"/>
                <w:lang w:val="en-US" w:eastAsia="zh-CN"/>
              </w:rPr>
              <w:t>B</w:t>
            </w:r>
            <w:r>
              <w:rPr>
                <w:rFonts w:hint="eastAsia" w:ascii="仿宋" w:hAnsi="仿宋" w:eastAsia="仿宋" w:cs="仿宋"/>
                <w:bCs/>
                <w:color w:val="auto"/>
                <w:kern w:val="0"/>
                <w:sz w:val="24"/>
                <w:highlight w:val="none"/>
              </w:rPr>
              <w:t>类标准</w:t>
            </w:r>
            <w:r>
              <w:rPr>
                <w:rFonts w:hint="eastAsia" w:ascii="仿宋" w:hAnsi="仿宋" w:eastAsia="仿宋" w:cs="仿宋"/>
                <w:color w:val="auto"/>
                <w:sz w:val="24"/>
                <w:highlight w:val="none"/>
              </w:rPr>
              <w:t>。</w:t>
            </w:r>
          </w:p>
          <w:p>
            <w:pPr>
              <w:spacing w:line="360" w:lineRule="exact"/>
              <w:rPr>
                <w:rFonts w:hint="eastAsia"/>
              </w:rPr>
            </w:pPr>
            <w:r>
              <w:rPr>
                <w:rFonts w:hint="eastAsia" w:ascii="仿宋" w:hAnsi="仿宋" w:eastAsia="仿宋" w:cs="仿宋"/>
                <w:color w:val="auto"/>
                <w:sz w:val="24"/>
                <w:highlight w:val="none"/>
              </w:rPr>
              <w:t>5.其他：具抗皱免烫性能，耐穿耐磨。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8" w:hRule="atLeast"/>
        </w:trPr>
        <w:tc>
          <w:tcPr>
            <w:tcW w:w="784" w:type="dxa"/>
            <w:vMerge w:val="continue"/>
            <w:noWrap w:val="0"/>
            <w:vAlign w:val="center"/>
          </w:tcPr>
          <w:p>
            <w:pPr>
              <w:spacing w:line="360" w:lineRule="exact"/>
              <w:jc w:val="center"/>
              <w:rPr>
                <w:rFonts w:hint="eastAsia" w:ascii="仿宋" w:hAnsi="仿宋" w:eastAsia="仿宋" w:cs="仿宋"/>
                <w:color w:val="auto"/>
                <w:sz w:val="24"/>
                <w:highlight w:val="none"/>
              </w:rPr>
            </w:pPr>
          </w:p>
        </w:tc>
        <w:tc>
          <w:tcPr>
            <w:tcW w:w="777" w:type="dxa"/>
            <w:vMerge w:val="continue"/>
            <w:noWrap w:val="0"/>
            <w:vAlign w:val="center"/>
          </w:tcPr>
          <w:p>
            <w:pPr>
              <w:spacing w:line="360" w:lineRule="exact"/>
              <w:jc w:val="center"/>
              <w:rPr>
                <w:rFonts w:hint="eastAsia" w:ascii="仿宋" w:hAnsi="仿宋" w:eastAsia="仿宋" w:cs="仿宋"/>
                <w:color w:val="auto"/>
                <w:sz w:val="24"/>
                <w:highlight w:val="none"/>
              </w:rPr>
            </w:pPr>
          </w:p>
        </w:tc>
        <w:tc>
          <w:tcPr>
            <w:tcW w:w="1121" w:type="dxa"/>
            <w:noWrap w:val="0"/>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迷彩</w:t>
            </w:r>
          </w:p>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T恤</w:t>
            </w:r>
          </w:p>
        </w:tc>
        <w:tc>
          <w:tcPr>
            <w:tcW w:w="6677" w:type="dxa"/>
            <w:noWrap w:val="0"/>
            <w:vAlign w:val="center"/>
          </w:tcPr>
          <w:p>
            <w:pPr>
              <w:spacing w:line="36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★1.面料：含棉100%，手感柔软，不褪色，易干，质地轻盈，透气性强，吸汗。</w:t>
            </w:r>
          </w:p>
          <w:p>
            <w:pPr>
              <w:spacing w:line="36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2.款式：圆领；短袖。</w:t>
            </w:r>
          </w:p>
          <w:p>
            <w:pPr>
              <w:spacing w:line="36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3.做工：服装做工精细，不崩线。 </w:t>
            </w:r>
          </w:p>
          <w:p>
            <w:pPr>
              <w:spacing w:line="360" w:lineRule="exact"/>
              <w:jc w:val="left"/>
              <w:rPr>
                <w:rFonts w:hint="eastAsia"/>
              </w:rPr>
            </w:pPr>
            <w:r>
              <w:rPr>
                <w:rFonts w:hint="eastAsia" w:ascii="仿宋" w:hAnsi="仿宋" w:eastAsia="仿宋" w:cs="仿宋"/>
                <w:color w:val="auto"/>
                <w:sz w:val="24"/>
                <w:highlight w:val="none"/>
              </w:rPr>
              <w:t>★4.</w:t>
            </w:r>
            <w:r>
              <w:rPr>
                <w:rFonts w:hint="eastAsia" w:ascii="仿宋" w:hAnsi="仿宋" w:eastAsia="仿宋" w:cs="仿宋"/>
                <w:bCs/>
                <w:color w:val="auto"/>
                <w:kern w:val="0"/>
                <w:sz w:val="24"/>
                <w:highlight w:val="none"/>
              </w:rPr>
              <w:t>符合《</w:t>
            </w:r>
            <w:r>
              <w:rPr>
                <w:rFonts w:hint="eastAsia" w:ascii="仿宋" w:hAnsi="仿宋" w:eastAsia="仿宋" w:cs="仿宋"/>
                <w:bCs/>
                <w:color w:val="auto"/>
                <w:kern w:val="0"/>
                <w:sz w:val="24"/>
                <w:highlight w:val="none"/>
                <w:lang w:eastAsia="zh-CN"/>
              </w:rPr>
              <w:t>国家纺织产品基本安全技术规范</w:t>
            </w:r>
            <w:r>
              <w:rPr>
                <w:rFonts w:hint="eastAsia" w:ascii="仿宋" w:hAnsi="仿宋" w:eastAsia="仿宋" w:cs="仿宋"/>
                <w:bCs/>
                <w:color w:val="auto"/>
                <w:kern w:val="0"/>
                <w:sz w:val="24"/>
                <w:highlight w:val="none"/>
              </w:rPr>
              <w:t>》GB18401-2010中的B类标准</w:t>
            </w:r>
            <w:r>
              <w:rPr>
                <w:rFonts w:hint="eastAsia" w:ascii="仿宋" w:hAnsi="仿宋" w:eastAsia="仿宋" w:cs="仿宋"/>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84" w:type="dxa"/>
            <w:vMerge w:val="continue"/>
            <w:noWrap w:val="0"/>
            <w:vAlign w:val="center"/>
          </w:tcPr>
          <w:p>
            <w:pPr>
              <w:spacing w:line="360" w:lineRule="exact"/>
              <w:jc w:val="center"/>
              <w:rPr>
                <w:rFonts w:hint="eastAsia" w:ascii="仿宋" w:hAnsi="仿宋" w:eastAsia="仿宋" w:cs="仿宋"/>
                <w:color w:val="auto"/>
                <w:sz w:val="24"/>
                <w:highlight w:val="none"/>
              </w:rPr>
            </w:pPr>
          </w:p>
        </w:tc>
        <w:tc>
          <w:tcPr>
            <w:tcW w:w="777" w:type="dxa"/>
            <w:vMerge w:val="continue"/>
            <w:noWrap w:val="0"/>
            <w:vAlign w:val="center"/>
          </w:tcPr>
          <w:p>
            <w:pPr>
              <w:spacing w:line="360" w:lineRule="exact"/>
              <w:jc w:val="center"/>
              <w:rPr>
                <w:rFonts w:hint="eastAsia" w:ascii="仿宋" w:hAnsi="仿宋" w:eastAsia="仿宋" w:cs="仿宋"/>
                <w:color w:val="auto"/>
                <w:sz w:val="24"/>
                <w:highlight w:val="none"/>
              </w:rPr>
            </w:pPr>
          </w:p>
        </w:tc>
        <w:tc>
          <w:tcPr>
            <w:tcW w:w="1121" w:type="dxa"/>
            <w:noWrap w:val="0"/>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编织外腰带</w:t>
            </w:r>
          </w:p>
        </w:tc>
        <w:tc>
          <w:tcPr>
            <w:tcW w:w="6677" w:type="dxa"/>
            <w:noWrap w:val="0"/>
            <w:vAlign w:val="center"/>
          </w:tcPr>
          <w:p>
            <w:pPr>
              <w:spacing w:line="36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★1.尼龙编织物、塑料扣头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84" w:type="dxa"/>
            <w:vMerge w:val="continue"/>
            <w:noWrap w:val="0"/>
            <w:vAlign w:val="center"/>
          </w:tcPr>
          <w:p>
            <w:pPr>
              <w:spacing w:line="360" w:lineRule="exact"/>
              <w:jc w:val="center"/>
              <w:rPr>
                <w:rFonts w:hint="eastAsia" w:ascii="仿宋" w:hAnsi="仿宋" w:eastAsia="仿宋" w:cs="仿宋"/>
                <w:color w:val="auto"/>
                <w:sz w:val="24"/>
                <w:highlight w:val="none"/>
              </w:rPr>
            </w:pPr>
          </w:p>
        </w:tc>
        <w:tc>
          <w:tcPr>
            <w:tcW w:w="777" w:type="dxa"/>
            <w:vMerge w:val="continue"/>
            <w:noWrap w:val="0"/>
            <w:vAlign w:val="center"/>
          </w:tcPr>
          <w:p>
            <w:pPr>
              <w:spacing w:line="360" w:lineRule="exact"/>
              <w:jc w:val="center"/>
              <w:rPr>
                <w:rFonts w:hint="eastAsia" w:ascii="仿宋" w:hAnsi="仿宋" w:eastAsia="仿宋" w:cs="仿宋"/>
                <w:color w:val="auto"/>
                <w:sz w:val="24"/>
                <w:highlight w:val="none"/>
              </w:rPr>
            </w:pPr>
          </w:p>
        </w:tc>
        <w:tc>
          <w:tcPr>
            <w:tcW w:w="1121" w:type="dxa"/>
            <w:noWrap w:val="0"/>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迷彩</w:t>
            </w:r>
          </w:p>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胶鞋</w:t>
            </w:r>
          </w:p>
        </w:tc>
        <w:tc>
          <w:tcPr>
            <w:tcW w:w="6677" w:type="dxa"/>
            <w:noWrap w:val="0"/>
            <w:vAlign w:val="center"/>
          </w:tcPr>
          <w:p>
            <w:pPr>
              <w:spacing w:line="36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★1.帆布面料、橡胶鞋底</w:t>
            </w:r>
          </w:p>
          <w:p>
            <w:pPr>
              <w:spacing w:line="36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2.不得使用再生橡胶底，拉伸强度≥8.0MPa,扯断伸长率（%）≥360，硬度（绍尔A）度≤75，围条与鞋帮粘附强度≥2.0Kn/m。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84" w:type="dxa"/>
            <w:vMerge w:val="continue"/>
            <w:noWrap w:val="0"/>
            <w:vAlign w:val="center"/>
          </w:tcPr>
          <w:p>
            <w:pPr>
              <w:spacing w:line="360" w:lineRule="exact"/>
              <w:jc w:val="center"/>
              <w:rPr>
                <w:rFonts w:hint="eastAsia" w:ascii="仿宋" w:hAnsi="仿宋" w:eastAsia="仿宋" w:cs="仿宋"/>
                <w:color w:val="auto"/>
                <w:sz w:val="24"/>
                <w:highlight w:val="none"/>
              </w:rPr>
            </w:pPr>
          </w:p>
        </w:tc>
        <w:tc>
          <w:tcPr>
            <w:tcW w:w="777" w:type="dxa"/>
            <w:vMerge w:val="continue"/>
            <w:noWrap w:val="0"/>
            <w:vAlign w:val="center"/>
          </w:tcPr>
          <w:p>
            <w:pPr>
              <w:spacing w:line="360" w:lineRule="exact"/>
              <w:jc w:val="center"/>
              <w:rPr>
                <w:rFonts w:hint="eastAsia" w:ascii="仿宋" w:hAnsi="仿宋" w:eastAsia="仿宋" w:cs="仿宋"/>
                <w:color w:val="auto"/>
                <w:sz w:val="24"/>
                <w:highlight w:val="none"/>
              </w:rPr>
            </w:pPr>
          </w:p>
        </w:tc>
        <w:tc>
          <w:tcPr>
            <w:tcW w:w="1121" w:type="dxa"/>
            <w:noWrap w:val="0"/>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皮内</w:t>
            </w:r>
          </w:p>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腰带</w:t>
            </w:r>
          </w:p>
        </w:tc>
        <w:tc>
          <w:tcPr>
            <w:tcW w:w="6677" w:type="dxa"/>
            <w:noWrap w:val="0"/>
            <w:vAlign w:val="center"/>
          </w:tcPr>
          <w:p>
            <w:pPr>
              <w:spacing w:line="36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★1.人造仿皮质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84" w:type="dxa"/>
            <w:vMerge w:val="continue"/>
            <w:noWrap w:val="0"/>
            <w:vAlign w:val="center"/>
          </w:tcPr>
          <w:p>
            <w:pPr>
              <w:spacing w:line="360" w:lineRule="exact"/>
              <w:jc w:val="center"/>
              <w:rPr>
                <w:rFonts w:hint="eastAsia" w:ascii="仿宋" w:hAnsi="仿宋" w:eastAsia="仿宋" w:cs="仿宋"/>
                <w:color w:val="auto"/>
                <w:sz w:val="24"/>
                <w:highlight w:val="none"/>
              </w:rPr>
            </w:pPr>
          </w:p>
        </w:tc>
        <w:tc>
          <w:tcPr>
            <w:tcW w:w="777" w:type="dxa"/>
            <w:vMerge w:val="continue"/>
            <w:noWrap w:val="0"/>
            <w:vAlign w:val="center"/>
          </w:tcPr>
          <w:p>
            <w:pPr>
              <w:spacing w:line="360" w:lineRule="exact"/>
              <w:jc w:val="center"/>
              <w:rPr>
                <w:rFonts w:hint="eastAsia" w:ascii="仿宋" w:hAnsi="仿宋" w:eastAsia="仿宋" w:cs="仿宋"/>
                <w:color w:val="auto"/>
                <w:sz w:val="24"/>
                <w:highlight w:val="none"/>
              </w:rPr>
            </w:pPr>
          </w:p>
        </w:tc>
        <w:tc>
          <w:tcPr>
            <w:tcW w:w="1121" w:type="dxa"/>
            <w:noWrap w:val="0"/>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肩章</w:t>
            </w:r>
          </w:p>
        </w:tc>
        <w:tc>
          <w:tcPr>
            <w:tcW w:w="6677" w:type="dxa"/>
            <w:noWrap w:val="0"/>
            <w:vAlign w:val="center"/>
          </w:tcPr>
          <w:p>
            <w:pPr>
              <w:spacing w:line="36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技师</w:t>
            </w:r>
            <w:r>
              <w:rPr>
                <w:rFonts w:hint="eastAsia" w:ascii="仿宋" w:hAnsi="仿宋" w:eastAsia="仿宋" w:cs="仿宋"/>
                <w:color w:val="auto"/>
                <w:sz w:val="24"/>
                <w:highlight w:val="none"/>
              </w:rPr>
              <w:t>(红硬肩章)、</w:t>
            </w:r>
            <w:r>
              <w:rPr>
                <w:rFonts w:hint="eastAsia" w:ascii="仿宋" w:hAnsi="仿宋" w:eastAsia="仿宋" w:cs="仿宋"/>
                <w:color w:val="auto"/>
                <w:sz w:val="24"/>
                <w:highlight w:val="none"/>
                <w:lang w:eastAsia="zh-CN"/>
              </w:rPr>
              <w:t>工贸</w:t>
            </w:r>
            <w:r>
              <w:rPr>
                <w:rFonts w:hint="eastAsia" w:ascii="仿宋" w:hAnsi="仿宋" w:eastAsia="仿宋" w:cs="仿宋"/>
                <w:color w:val="auto"/>
                <w:sz w:val="24"/>
                <w:highlight w:val="none"/>
              </w:rPr>
              <w:t>（绿硬肩章）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9359" w:type="dxa"/>
            <w:gridSpan w:val="4"/>
            <w:noWrap w:val="0"/>
            <w:vAlign w:val="center"/>
          </w:tcPr>
          <w:p>
            <w:pPr>
              <w:spacing w:line="36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r>
              <w:rPr>
                <w:rFonts w:hint="eastAsia" w:ascii="仿宋" w:hAnsi="仿宋" w:eastAsia="仿宋" w:cs="仿宋"/>
                <w:color w:val="auto"/>
                <w:sz w:val="24"/>
                <w:highlight w:val="none"/>
                <w:lang w:eastAsia="zh-CN"/>
              </w:rPr>
              <w:t>工贸</w:t>
            </w:r>
            <w:r>
              <w:rPr>
                <w:rFonts w:hint="eastAsia" w:ascii="仿宋" w:hAnsi="仿宋" w:eastAsia="仿宋" w:cs="仿宋"/>
                <w:color w:val="auto"/>
                <w:sz w:val="24"/>
                <w:highlight w:val="none"/>
              </w:rPr>
              <w:t>为</w:t>
            </w:r>
            <w:r>
              <w:rPr>
                <w:rFonts w:hint="eastAsia" w:ascii="仿宋" w:hAnsi="仿宋" w:eastAsia="仿宋" w:cs="仿宋"/>
                <w:color w:val="auto"/>
                <w:sz w:val="24"/>
                <w:highlight w:val="none"/>
                <w:lang w:eastAsia="zh-CN"/>
              </w:rPr>
              <w:t>海洋</w:t>
            </w:r>
            <w:r>
              <w:rPr>
                <w:rFonts w:hint="eastAsia" w:ascii="仿宋" w:hAnsi="仿宋" w:eastAsia="仿宋" w:cs="仿宋"/>
                <w:color w:val="auto"/>
                <w:sz w:val="24"/>
                <w:highlight w:val="none"/>
              </w:rPr>
              <w:t>数码迷彩，</w:t>
            </w:r>
            <w:r>
              <w:rPr>
                <w:rFonts w:hint="eastAsia" w:ascii="仿宋" w:hAnsi="仿宋" w:eastAsia="仿宋" w:cs="仿宋"/>
                <w:color w:val="auto"/>
                <w:sz w:val="24"/>
                <w:highlight w:val="none"/>
                <w:lang w:eastAsia="zh-CN"/>
              </w:rPr>
              <w:t>技师</w:t>
            </w:r>
            <w:r>
              <w:rPr>
                <w:rFonts w:hint="eastAsia" w:ascii="仿宋" w:hAnsi="仿宋" w:eastAsia="仿宋" w:cs="仿宋"/>
                <w:color w:val="auto"/>
                <w:sz w:val="24"/>
                <w:highlight w:val="none"/>
              </w:rPr>
              <w:t>为</w:t>
            </w:r>
            <w:r>
              <w:rPr>
                <w:rFonts w:hint="eastAsia" w:ascii="仿宋" w:hAnsi="仿宋" w:eastAsia="仿宋" w:cs="仿宋"/>
                <w:color w:val="auto"/>
                <w:sz w:val="24"/>
                <w:highlight w:val="none"/>
                <w:lang w:eastAsia="zh-CN"/>
              </w:rPr>
              <w:t>林地</w:t>
            </w:r>
            <w:r>
              <w:rPr>
                <w:rFonts w:hint="eastAsia" w:ascii="仿宋" w:hAnsi="仿宋" w:eastAsia="仿宋" w:cs="仿宋"/>
                <w:color w:val="auto"/>
                <w:sz w:val="24"/>
                <w:highlight w:val="none"/>
              </w:rPr>
              <w:t>数码迷彩。</w:t>
            </w:r>
          </w:p>
        </w:tc>
      </w:tr>
    </w:tbl>
    <w:p>
      <w:pPr>
        <w:bidi w:val="0"/>
        <w:spacing w:line="240" w:lineRule="auto"/>
        <w:rPr>
          <w:color w:val="auto"/>
          <w:highlight w:val="none"/>
        </w:rPr>
      </w:pPr>
    </w:p>
    <w:p>
      <w:pPr>
        <w:keepNext/>
        <w:keepLines/>
        <w:widowControl w:val="0"/>
        <w:numPr>
          <w:ilvl w:val="0"/>
          <w:numId w:val="5"/>
        </w:numPr>
        <w:spacing w:before="340" w:after="330" w:line="240" w:lineRule="auto"/>
        <w:outlineLvl w:val="1"/>
        <w:rPr>
          <w:rFonts w:ascii="宋体" w:hAnsi="宋体" w:eastAsia="宋体" w:cs="Times New Roman"/>
          <w:b/>
          <w:bCs/>
          <w:color w:val="auto"/>
          <w:kern w:val="44"/>
          <w:sz w:val="23"/>
          <w:szCs w:val="23"/>
          <w:highlight w:val="none"/>
        </w:rPr>
      </w:pPr>
      <w:bookmarkStart w:id="168" w:name="_Toc30142"/>
      <w:bookmarkStart w:id="169" w:name="_Toc602"/>
      <w:r>
        <w:rPr>
          <w:rFonts w:hint="eastAsia" w:ascii="宋体" w:hAnsi="宋体" w:eastAsia="宋体" w:cs="Times New Roman"/>
          <w:b/>
          <w:bCs/>
          <w:color w:val="auto"/>
          <w:kern w:val="44"/>
          <w:sz w:val="23"/>
          <w:szCs w:val="23"/>
          <w:highlight w:val="none"/>
        </w:rPr>
        <w:t>★商务要求</w:t>
      </w:r>
      <w:bookmarkEnd w:id="168"/>
      <w:bookmarkEnd w:id="169"/>
      <w:r>
        <w:rPr>
          <w:rFonts w:hint="eastAsia" w:ascii="宋体" w:hAnsi="宋体" w:eastAsia="宋体" w:cs="Times New Roman"/>
          <w:b/>
          <w:bCs/>
          <w:color w:val="auto"/>
          <w:kern w:val="44"/>
          <w:sz w:val="23"/>
          <w:szCs w:val="23"/>
          <w:highlight w:val="none"/>
        </w:rPr>
        <w:t xml:space="preserve"> </w:t>
      </w:r>
    </w:p>
    <w:p>
      <w:pPr>
        <w:bidi w:val="0"/>
        <w:spacing w:line="240" w:lineRule="auto"/>
        <w:rPr>
          <w:color w:val="auto"/>
          <w:highlight w:val="none"/>
        </w:rPr>
      </w:pPr>
    </w:p>
    <w:tbl>
      <w:tblPr>
        <w:tblStyle w:val="19"/>
        <w:tblW w:w="8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7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532" w:type="dxa"/>
            <w:noWrap w:val="0"/>
            <w:vAlign w:val="center"/>
          </w:tcPr>
          <w:p>
            <w:pPr>
              <w:adjustRightInd w:val="0"/>
              <w:snapToGrid w:val="0"/>
              <w:spacing w:line="320" w:lineRule="exact"/>
              <w:jc w:val="left"/>
              <w:rPr>
                <w:rFonts w:hint="eastAsia" w:ascii="宋体" w:hAnsi="宋体" w:eastAsia="宋体" w:cs="宋体"/>
                <w:b w:val="0"/>
                <w:bCs/>
                <w:i w:val="0"/>
                <w:iCs w:val="0"/>
                <w:color w:val="auto"/>
                <w:sz w:val="21"/>
                <w:szCs w:val="21"/>
                <w:highlight w:val="none"/>
              </w:rPr>
            </w:pPr>
            <w:r>
              <w:rPr>
                <w:rFonts w:hint="eastAsia" w:ascii="仿宋_GB2312" w:hAnsi="仿宋_GB2312" w:eastAsia="仿宋_GB2312" w:cs="仿宋_GB2312"/>
                <w:bCs/>
                <w:color w:val="auto"/>
                <w:sz w:val="28"/>
                <w:szCs w:val="28"/>
                <w:highlight w:val="none"/>
              </w:rPr>
              <w:t>履行时间（期限）</w:t>
            </w:r>
          </w:p>
        </w:tc>
        <w:tc>
          <w:tcPr>
            <w:tcW w:w="7266" w:type="dxa"/>
            <w:noWrap w:val="0"/>
            <w:vAlign w:val="top"/>
          </w:tcPr>
          <w:p>
            <w:pPr>
              <w:spacing w:line="36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1.履约期：合同签订之日起至202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日</w:t>
            </w:r>
          </w:p>
          <w:p>
            <w:pPr>
              <w:spacing w:line="36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2.投标人收到</w:t>
            </w:r>
            <w:r>
              <w:rPr>
                <w:rFonts w:hint="eastAsia" w:ascii="仿宋" w:hAnsi="仿宋" w:eastAsia="仿宋" w:cs="仿宋"/>
                <w:color w:val="auto"/>
                <w:sz w:val="24"/>
                <w:highlight w:val="none"/>
                <w:lang w:eastAsia="zh-CN"/>
              </w:rPr>
              <w:t>招标人</w:t>
            </w:r>
            <w:r>
              <w:rPr>
                <w:rFonts w:hint="eastAsia" w:ascii="仿宋" w:hAnsi="仿宋" w:eastAsia="仿宋" w:cs="仿宋"/>
                <w:color w:val="auto"/>
                <w:sz w:val="24"/>
                <w:highlight w:val="none"/>
              </w:rPr>
              <w:t>书面送货通知之日起,根据</w:t>
            </w:r>
            <w:r>
              <w:rPr>
                <w:rFonts w:hint="eastAsia" w:ascii="仿宋" w:hAnsi="仿宋" w:eastAsia="仿宋" w:cs="仿宋"/>
                <w:color w:val="auto"/>
                <w:sz w:val="24"/>
                <w:highlight w:val="none"/>
                <w:lang w:eastAsia="zh-CN"/>
              </w:rPr>
              <w:t>招标人</w:t>
            </w:r>
            <w:r>
              <w:rPr>
                <w:rFonts w:hint="eastAsia" w:ascii="仿宋" w:hAnsi="仿宋" w:eastAsia="仿宋" w:cs="仿宋"/>
                <w:color w:val="auto"/>
                <w:sz w:val="24"/>
                <w:highlight w:val="none"/>
              </w:rPr>
              <w:t>当次所需要的货物品类以及数量,2个工作日内，按照</w:t>
            </w:r>
            <w:r>
              <w:rPr>
                <w:rFonts w:hint="eastAsia" w:ascii="仿宋" w:hAnsi="仿宋" w:eastAsia="仿宋" w:cs="仿宋"/>
                <w:color w:val="auto"/>
                <w:sz w:val="24"/>
                <w:highlight w:val="none"/>
                <w:lang w:eastAsia="zh-CN"/>
              </w:rPr>
              <w:t>招标人</w:t>
            </w:r>
            <w:r>
              <w:rPr>
                <w:rFonts w:hint="eastAsia" w:ascii="仿宋" w:hAnsi="仿宋" w:eastAsia="仿宋" w:cs="仿宋"/>
                <w:color w:val="auto"/>
                <w:sz w:val="24"/>
                <w:highlight w:val="none"/>
              </w:rPr>
              <w:t>的订单配送。</w:t>
            </w:r>
          </w:p>
          <w:p>
            <w:pPr>
              <w:spacing w:line="360" w:lineRule="exact"/>
              <w:jc w:val="left"/>
              <w:rPr>
                <w:rFonts w:hint="eastAsia" w:ascii="宋体" w:hAnsi="宋体" w:eastAsia="宋体" w:cs="宋体"/>
                <w:color w:val="auto"/>
                <w:sz w:val="21"/>
                <w:szCs w:val="21"/>
                <w:highlight w:val="none"/>
              </w:rPr>
            </w:pPr>
            <w:r>
              <w:rPr>
                <w:rFonts w:hint="eastAsia" w:ascii="仿宋" w:hAnsi="仿宋" w:eastAsia="仿宋" w:cs="仿宋"/>
                <w:color w:val="auto"/>
                <w:sz w:val="24"/>
                <w:highlight w:val="none"/>
              </w:rPr>
              <w:t>3.售后服务期为15个日历天，售后服务期的起始日期为学生购买之日起开始计算。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532" w:type="dxa"/>
            <w:noWrap w:val="0"/>
            <w:vAlign w:val="center"/>
          </w:tcPr>
          <w:p>
            <w:pPr>
              <w:adjustRightInd w:val="0"/>
              <w:snapToGrid w:val="0"/>
              <w:spacing w:line="320" w:lineRule="exact"/>
              <w:jc w:val="center"/>
              <w:rPr>
                <w:rFonts w:hint="eastAsia" w:ascii="宋体" w:hAnsi="宋体" w:eastAsia="宋体" w:cs="宋体"/>
                <w:b w:val="0"/>
                <w:bCs/>
                <w:i w:val="0"/>
                <w:iCs w:val="0"/>
                <w:color w:val="auto"/>
                <w:sz w:val="21"/>
                <w:szCs w:val="21"/>
                <w:highlight w:val="none"/>
              </w:rPr>
            </w:pPr>
            <w:r>
              <w:rPr>
                <w:rFonts w:hint="eastAsia" w:ascii="仿宋_GB2312" w:hAnsi="仿宋_GB2312" w:eastAsia="仿宋_GB2312" w:cs="仿宋_GB2312"/>
                <w:bCs/>
                <w:color w:val="auto"/>
                <w:sz w:val="28"/>
                <w:szCs w:val="28"/>
                <w:highlight w:val="none"/>
              </w:rPr>
              <w:t>履行地点（范围）</w:t>
            </w:r>
          </w:p>
        </w:tc>
        <w:tc>
          <w:tcPr>
            <w:tcW w:w="7266" w:type="dxa"/>
            <w:noWrap w:val="0"/>
            <w:vAlign w:val="top"/>
          </w:tcPr>
          <w:p>
            <w:pPr>
              <w:spacing w:line="36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1.成都市郫都区红光街道港通北三路1899号</w:t>
            </w:r>
          </w:p>
          <w:p>
            <w:pPr>
              <w:spacing w:line="36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2.成都市郫都区红光街道高店路1666号</w:t>
            </w:r>
          </w:p>
          <w:p>
            <w:pPr>
              <w:spacing w:line="36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3.成都市成华区万年街道外东槐树店路32号</w:t>
            </w:r>
          </w:p>
          <w:p>
            <w:pPr>
              <w:spacing w:line="360" w:lineRule="exact"/>
              <w:jc w:val="left"/>
              <w:rPr>
                <w:rFonts w:hint="eastAsia" w:ascii="宋体" w:hAnsi="宋体" w:eastAsia="宋体" w:cs="宋体"/>
                <w:color w:val="auto"/>
                <w:sz w:val="21"/>
                <w:szCs w:val="21"/>
                <w:highlight w:val="none"/>
                <w:lang w:eastAsia="zh-CN"/>
              </w:rPr>
            </w:pPr>
            <w:r>
              <w:rPr>
                <w:rFonts w:hint="eastAsia" w:ascii="仿宋" w:hAnsi="仿宋" w:eastAsia="仿宋" w:cs="仿宋"/>
                <w:color w:val="auto"/>
                <w:sz w:val="24"/>
                <w:highlight w:val="none"/>
              </w:rPr>
              <w:t>4.成都市新都区西北村301号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532" w:type="dxa"/>
            <w:noWrap w:val="0"/>
            <w:vAlign w:val="center"/>
          </w:tcPr>
          <w:p>
            <w:pPr>
              <w:adjustRightInd w:val="0"/>
              <w:snapToGrid w:val="0"/>
              <w:spacing w:line="320" w:lineRule="exact"/>
              <w:jc w:val="center"/>
              <w:rPr>
                <w:rFonts w:hint="eastAsia" w:ascii="宋体" w:hAnsi="宋体" w:eastAsia="宋体" w:cs="宋体"/>
                <w:b w:val="0"/>
                <w:bCs/>
                <w:i w:val="0"/>
                <w:iCs w:val="0"/>
                <w:color w:val="auto"/>
                <w:sz w:val="21"/>
                <w:szCs w:val="21"/>
                <w:highlight w:val="none"/>
              </w:rPr>
            </w:pPr>
            <w:r>
              <w:rPr>
                <w:rFonts w:hint="eastAsia" w:ascii="仿宋_GB2312" w:hAnsi="仿宋_GB2312" w:eastAsia="仿宋_GB2312" w:cs="仿宋_GB2312"/>
                <w:bCs/>
                <w:color w:val="auto"/>
                <w:sz w:val="28"/>
                <w:szCs w:val="28"/>
                <w:highlight w:val="none"/>
              </w:rPr>
              <w:t>付款进度安排、资金支付方式</w:t>
            </w:r>
          </w:p>
        </w:tc>
        <w:tc>
          <w:tcPr>
            <w:tcW w:w="7266" w:type="dxa"/>
            <w:noWrap w:val="0"/>
            <w:vAlign w:val="top"/>
          </w:tcPr>
          <w:p>
            <w:pPr>
              <w:spacing w:line="36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1.成交单价为固定包干价格，包括但不限于服装的供货、包装、运输、售后服务（修补、更换）、人工、质检、税费等与完成服装交付的所有费用。</w:t>
            </w:r>
          </w:p>
          <w:p>
            <w:pPr>
              <w:spacing w:line="360" w:lineRule="exact"/>
              <w:jc w:val="left"/>
              <w:rPr>
                <w:rFonts w:hint="eastAsia" w:ascii="宋体" w:hAnsi="宋体" w:eastAsia="宋体" w:cs="宋体"/>
                <w:color w:val="auto"/>
                <w:sz w:val="21"/>
                <w:szCs w:val="21"/>
                <w:highlight w:val="none"/>
              </w:rPr>
            </w:pPr>
            <w:r>
              <w:rPr>
                <w:rFonts w:hint="eastAsia" w:ascii="仿宋" w:hAnsi="仿宋" w:eastAsia="仿宋" w:cs="仿宋"/>
                <w:color w:val="auto"/>
                <w:sz w:val="24"/>
                <w:highlight w:val="none"/>
              </w:rPr>
              <w:t>2.学生在现场可选择微信、支付宝</w:t>
            </w:r>
            <w:r>
              <w:rPr>
                <w:rFonts w:hint="eastAsia" w:ascii="仿宋" w:hAnsi="仿宋" w:eastAsia="仿宋" w:cs="仿宋"/>
                <w:color w:val="auto"/>
                <w:sz w:val="24"/>
                <w:highlight w:val="none"/>
                <w:lang w:val="en-US" w:eastAsia="zh-CN"/>
              </w:rPr>
              <w:t>等非现金形式或</w:t>
            </w:r>
            <w:r>
              <w:rPr>
                <w:rFonts w:hint="eastAsia" w:ascii="仿宋" w:hAnsi="仿宋" w:eastAsia="仿宋" w:cs="仿宋"/>
                <w:color w:val="auto"/>
                <w:sz w:val="24"/>
                <w:highlight w:val="none"/>
              </w:rPr>
              <w:t>现金</w:t>
            </w:r>
            <w:r>
              <w:rPr>
                <w:rFonts w:hint="eastAsia" w:ascii="仿宋" w:hAnsi="仿宋" w:eastAsia="仿宋" w:cs="仿宋"/>
                <w:color w:val="auto"/>
                <w:sz w:val="24"/>
                <w:highlight w:val="none"/>
                <w:lang w:val="en-US" w:eastAsia="zh-CN"/>
              </w:rPr>
              <w:t>形式</w:t>
            </w:r>
            <w:r>
              <w:rPr>
                <w:rFonts w:hint="eastAsia" w:ascii="仿宋" w:hAnsi="仿宋" w:eastAsia="仿宋" w:cs="仿宋"/>
                <w:color w:val="auto"/>
                <w:sz w:val="24"/>
                <w:highlight w:val="none"/>
              </w:rPr>
              <w:t>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532" w:type="dxa"/>
            <w:noWrap w:val="0"/>
            <w:vAlign w:val="center"/>
          </w:tcPr>
          <w:p>
            <w:pPr>
              <w:adjustRightInd w:val="0"/>
              <w:snapToGrid w:val="0"/>
              <w:spacing w:line="320" w:lineRule="exact"/>
              <w:jc w:val="center"/>
              <w:rPr>
                <w:rFonts w:hint="eastAsia" w:ascii="宋体" w:hAnsi="宋体" w:eastAsia="宋体" w:cs="宋体"/>
                <w:b w:val="0"/>
                <w:bCs/>
                <w:i w:val="0"/>
                <w:iCs w:val="0"/>
                <w:color w:val="auto"/>
                <w:sz w:val="21"/>
                <w:szCs w:val="21"/>
                <w:highlight w:val="none"/>
              </w:rPr>
            </w:pPr>
            <w:r>
              <w:rPr>
                <w:rFonts w:hint="eastAsia" w:ascii="仿宋_GB2312" w:hAnsi="仿宋_GB2312" w:eastAsia="仿宋_GB2312" w:cs="仿宋_GB2312"/>
                <w:bCs/>
                <w:color w:val="auto"/>
                <w:sz w:val="28"/>
                <w:szCs w:val="28"/>
                <w:highlight w:val="none"/>
              </w:rPr>
              <w:t>质量及供货渠道要求</w:t>
            </w:r>
          </w:p>
        </w:tc>
        <w:tc>
          <w:tcPr>
            <w:tcW w:w="7266" w:type="dxa"/>
            <w:noWrap w:val="0"/>
            <w:vAlign w:val="top"/>
          </w:tcPr>
          <w:p>
            <w:pPr>
              <w:pStyle w:val="8"/>
              <w:spacing w:line="400" w:lineRule="exact"/>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1.投标人应保证服装是全新、未使用过的原装合格正品。尺寸符合国家标准，穿着后无皮肤过敏等问题。</w:t>
            </w:r>
          </w:p>
          <w:p>
            <w:pPr>
              <w:adjustRightInd w:val="0"/>
              <w:snapToGrid w:val="0"/>
              <w:spacing w:line="400" w:lineRule="exact"/>
              <w:jc w:val="left"/>
              <w:rPr>
                <w:rFonts w:hint="eastAsia" w:ascii="宋体" w:hAnsi="宋体" w:eastAsia="宋体" w:cs="宋体"/>
                <w:color w:val="auto"/>
                <w:sz w:val="21"/>
                <w:szCs w:val="21"/>
                <w:highlight w:val="none"/>
                <w:lang w:val="en-US" w:eastAsia="zh-CN"/>
              </w:rPr>
            </w:pPr>
            <w:r>
              <w:rPr>
                <w:rFonts w:hint="eastAsia" w:ascii="仿宋" w:hAnsi="仿宋" w:eastAsia="仿宋" w:cs="仿宋"/>
                <w:color w:val="auto"/>
                <w:sz w:val="24"/>
                <w:highlight w:val="none"/>
              </w:rPr>
              <w:t>2.投标人提供的服装必须符合本项目招标文件规定的质量、规格的要求。如果投标人提供的服装的质量或规格与招标文件和投标人的投标文件不符，或证实服装是有缺陷的，包括潜在的缺陷等，投标人应在接到</w:t>
            </w:r>
            <w:r>
              <w:rPr>
                <w:rFonts w:hint="eastAsia" w:ascii="仿宋" w:hAnsi="仿宋" w:eastAsia="仿宋" w:cs="仿宋"/>
                <w:color w:val="auto"/>
                <w:sz w:val="24"/>
                <w:highlight w:val="none"/>
                <w:lang w:eastAsia="zh-CN"/>
              </w:rPr>
              <w:t>招标人</w:t>
            </w:r>
            <w:r>
              <w:rPr>
                <w:rFonts w:hint="eastAsia" w:ascii="仿宋" w:hAnsi="仿宋" w:eastAsia="仿宋" w:cs="仿宋"/>
                <w:color w:val="auto"/>
                <w:sz w:val="24"/>
                <w:highlight w:val="none"/>
              </w:rPr>
              <w:t>通知后12小时内完成换货，因换货产生的费用由投标人承担，如因不合格服装给</w:t>
            </w:r>
            <w:r>
              <w:rPr>
                <w:rFonts w:hint="eastAsia" w:ascii="仿宋" w:hAnsi="仿宋" w:eastAsia="仿宋" w:cs="仿宋"/>
                <w:color w:val="auto"/>
                <w:sz w:val="24"/>
                <w:highlight w:val="none"/>
                <w:lang w:eastAsia="zh-CN"/>
              </w:rPr>
              <w:t>招标人</w:t>
            </w:r>
            <w:r>
              <w:rPr>
                <w:rFonts w:hint="eastAsia" w:ascii="仿宋" w:hAnsi="仿宋" w:eastAsia="仿宋" w:cs="仿宋"/>
                <w:color w:val="auto"/>
                <w:sz w:val="24"/>
                <w:highlight w:val="none"/>
              </w:rPr>
              <w:t>及学生造成损失，投标人还应承担赔偿责任。因服装质量问题产生的质监处罚、医疗缺陷和医疗纠纷</w:t>
            </w:r>
            <w:r>
              <w:rPr>
                <w:rFonts w:hint="eastAsia" w:ascii="仿宋" w:hAnsi="仿宋" w:eastAsia="仿宋" w:cs="仿宋"/>
                <w:color w:val="auto"/>
                <w:sz w:val="24"/>
                <w:highlight w:val="none"/>
                <w:lang w:val="en-US" w:eastAsia="zh-CN"/>
              </w:rPr>
              <w:t>等问题</w:t>
            </w:r>
            <w:r>
              <w:rPr>
                <w:rFonts w:hint="eastAsia" w:ascii="仿宋" w:hAnsi="仿宋" w:eastAsia="仿宋" w:cs="仿宋"/>
                <w:color w:val="auto"/>
                <w:sz w:val="24"/>
                <w:highlight w:val="none"/>
              </w:rPr>
              <w:t>均由投标人负全部经济和法律责任。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532" w:type="dxa"/>
            <w:noWrap w:val="0"/>
            <w:vAlign w:val="center"/>
          </w:tcPr>
          <w:p>
            <w:pPr>
              <w:adjustRightInd w:val="0"/>
              <w:snapToGrid w:val="0"/>
              <w:spacing w:line="320" w:lineRule="exact"/>
              <w:jc w:val="center"/>
              <w:rPr>
                <w:rFonts w:hint="eastAsia" w:ascii="宋体" w:hAnsi="宋体" w:eastAsia="宋体" w:cs="宋体"/>
                <w:b w:val="0"/>
                <w:bCs/>
                <w:i w:val="0"/>
                <w:iCs w:val="0"/>
                <w:color w:val="auto"/>
                <w:sz w:val="21"/>
                <w:szCs w:val="21"/>
                <w:highlight w:val="none"/>
              </w:rPr>
            </w:pPr>
            <w:r>
              <w:rPr>
                <w:rFonts w:hint="eastAsia" w:ascii="仿宋_GB2312" w:hAnsi="仿宋_GB2312" w:eastAsia="仿宋_GB2312" w:cs="仿宋_GB2312"/>
                <w:bCs/>
                <w:color w:val="auto"/>
                <w:sz w:val="28"/>
                <w:szCs w:val="28"/>
                <w:highlight w:val="none"/>
              </w:rPr>
              <w:t>包装和运输要求</w:t>
            </w:r>
          </w:p>
        </w:tc>
        <w:tc>
          <w:tcPr>
            <w:tcW w:w="7266" w:type="dxa"/>
            <w:noWrap w:val="0"/>
            <w:vAlign w:val="top"/>
          </w:tcPr>
          <w:p>
            <w:pPr>
              <w:pStyle w:val="8"/>
              <w:spacing w:line="400" w:lineRule="exact"/>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1.投标人严格按照</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送货要求按时、按质、按量配送服装，送达</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指定地点后负责服装的发放。</w:t>
            </w:r>
          </w:p>
          <w:p>
            <w:pPr>
              <w:pStyle w:val="8"/>
              <w:spacing w:line="400" w:lineRule="exact"/>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如有紧急配送需求时，投标人应积极配合，并按时、按质、按量配送服装。</w:t>
            </w:r>
          </w:p>
          <w:p>
            <w:pPr>
              <w:pStyle w:val="8"/>
              <w:spacing w:line="400" w:lineRule="exact"/>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有调、换货需求时，投标人应积极配合调、换货，并按时、按质、按量配送服装。</w:t>
            </w:r>
          </w:p>
          <w:p>
            <w:pPr>
              <w:pStyle w:val="8"/>
              <w:spacing w:line="400" w:lineRule="exact"/>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4.若服装有质量问题的，投标人应无条件更换。</w:t>
            </w:r>
          </w:p>
          <w:p>
            <w:pPr>
              <w:pStyle w:val="8"/>
              <w:spacing w:line="400" w:lineRule="exact"/>
              <w:ind w:firstLine="0" w:firstLineChars="0"/>
              <w:rPr>
                <w:rFonts w:hint="eastAsia" w:ascii="宋体" w:hAnsi="宋体" w:eastAsia="宋体" w:cs="宋体"/>
                <w:color w:val="auto"/>
                <w:sz w:val="21"/>
                <w:szCs w:val="21"/>
                <w:highlight w:val="none"/>
              </w:rPr>
            </w:pPr>
            <w:r>
              <w:rPr>
                <w:rFonts w:hint="eastAsia" w:ascii="仿宋" w:hAnsi="仿宋" w:eastAsia="仿宋" w:cs="仿宋"/>
                <w:color w:val="auto"/>
                <w:sz w:val="24"/>
                <w:szCs w:val="24"/>
                <w:highlight w:val="none"/>
              </w:rPr>
              <w:t>5.服装必须标明：产品型号、规格、原料成份和材质含量及等级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532" w:type="dxa"/>
            <w:noWrap w:val="0"/>
            <w:vAlign w:val="center"/>
          </w:tcPr>
          <w:p>
            <w:pPr>
              <w:adjustRightInd w:val="0"/>
              <w:snapToGrid w:val="0"/>
              <w:spacing w:line="320" w:lineRule="exact"/>
              <w:jc w:val="center"/>
              <w:rPr>
                <w:rFonts w:hint="eastAsia" w:ascii="宋体" w:hAnsi="宋体" w:eastAsia="宋体" w:cs="宋体"/>
                <w:b w:val="0"/>
                <w:bCs/>
                <w:i w:val="0"/>
                <w:iCs w:val="0"/>
                <w:color w:val="auto"/>
                <w:sz w:val="21"/>
                <w:szCs w:val="21"/>
                <w:highlight w:val="none"/>
              </w:rPr>
            </w:pPr>
            <w:r>
              <w:rPr>
                <w:rFonts w:hint="eastAsia" w:ascii="仿宋_GB2312" w:hAnsi="仿宋_GB2312" w:eastAsia="仿宋_GB2312" w:cs="仿宋_GB2312"/>
                <w:bCs/>
                <w:color w:val="auto"/>
                <w:sz w:val="28"/>
                <w:szCs w:val="28"/>
                <w:highlight w:val="none"/>
              </w:rPr>
              <w:t>售后服务要求</w:t>
            </w:r>
          </w:p>
        </w:tc>
        <w:tc>
          <w:tcPr>
            <w:tcW w:w="7266" w:type="dxa"/>
            <w:noWrap w:val="0"/>
            <w:vAlign w:val="top"/>
          </w:tcPr>
          <w:p>
            <w:pPr>
              <w:pStyle w:val="8"/>
              <w:spacing w:line="400" w:lineRule="exact"/>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1.学生购买服装之日起15日内若出现服装破损、褪色或学生皮肤不适等情况，投标人在接到</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通知后12小时内完成修补或替换。</w:t>
            </w:r>
          </w:p>
          <w:p>
            <w:pPr>
              <w:pStyle w:val="8"/>
              <w:spacing w:line="400" w:lineRule="exact"/>
              <w:ind w:firstLine="0" w:firstLineChars="0"/>
              <w:rPr>
                <w:rFonts w:hint="eastAsia" w:ascii="宋体" w:hAnsi="宋体" w:eastAsia="宋体" w:cs="宋体"/>
                <w:color w:val="auto"/>
                <w:sz w:val="21"/>
                <w:szCs w:val="21"/>
                <w:highlight w:val="none"/>
              </w:rPr>
            </w:pPr>
            <w:r>
              <w:rPr>
                <w:rFonts w:hint="eastAsia" w:ascii="仿宋" w:hAnsi="仿宋" w:eastAsia="仿宋" w:cs="仿宋"/>
                <w:color w:val="auto"/>
                <w:sz w:val="24"/>
                <w:szCs w:val="24"/>
                <w:highlight w:val="none"/>
              </w:rPr>
              <w:t>2.投标人当批次服装发放完毕后，投标人提供10%的备货，存放在</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指定地点，便于</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临时补发，备货服装费按实际发生量结合成交单价在军训结束后结算。</w:t>
            </w:r>
          </w:p>
        </w:tc>
      </w:tr>
    </w:tbl>
    <w:p>
      <w:pPr>
        <w:spacing w:line="240" w:lineRule="auto"/>
        <w:ind w:right="35" w:firstLine="480" w:firstLineChars="200"/>
        <w:rPr>
          <w:rFonts w:hint="eastAsia"/>
          <w:color w:val="auto"/>
          <w:sz w:val="24"/>
          <w:szCs w:val="24"/>
          <w:highlight w:val="none"/>
          <w:lang w:val="en-US" w:eastAsia="zh-CN"/>
        </w:rPr>
      </w:pPr>
    </w:p>
    <w:p>
      <w:pPr>
        <w:keepNext/>
        <w:keepLines/>
        <w:widowControl w:val="0"/>
        <w:numPr>
          <w:ilvl w:val="0"/>
          <w:numId w:val="5"/>
        </w:numPr>
        <w:spacing w:before="340" w:after="330" w:line="240" w:lineRule="auto"/>
        <w:outlineLvl w:val="1"/>
        <w:rPr>
          <w:rFonts w:hint="eastAsia" w:ascii="宋体" w:hAnsi="宋体" w:eastAsia="宋体" w:cs="宋体"/>
          <w:b/>
          <w:bCs/>
          <w:color w:val="auto"/>
          <w:sz w:val="24"/>
          <w:szCs w:val="24"/>
          <w:highlight w:val="none"/>
          <w:lang w:val="en-US" w:eastAsia="zh-CN"/>
        </w:rPr>
      </w:pPr>
      <w:bookmarkStart w:id="170" w:name="_Toc8889"/>
      <w:r>
        <w:rPr>
          <w:rFonts w:hint="eastAsia" w:ascii="Times New Roman" w:hAnsi="Times New Roman" w:eastAsia="宋体" w:cs="Times New Roman"/>
          <w:b/>
          <w:bCs/>
          <w:color w:val="auto"/>
          <w:sz w:val="28"/>
          <w:szCs w:val="28"/>
          <w:highlight w:val="none"/>
        </w:rPr>
        <w:t>★</w:t>
      </w:r>
      <w:r>
        <w:rPr>
          <w:rFonts w:hint="eastAsia" w:ascii="宋体" w:hAnsi="宋体" w:eastAsia="宋体" w:cs="宋体"/>
          <w:b/>
          <w:bCs/>
          <w:color w:val="auto"/>
          <w:sz w:val="24"/>
          <w:szCs w:val="24"/>
          <w:highlight w:val="none"/>
          <w:lang w:eastAsia="zh-CN"/>
        </w:rPr>
        <w:t>履约保证金要求</w:t>
      </w:r>
      <w:bookmarkEnd w:id="170"/>
    </w:p>
    <w:p>
      <w:pPr>
        <w:spacing w:line="240" w:lineRule="auto"/>
        <w:ind w:right="35"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履约保证金为30000元，（大写：人民币叁万元整），投标人应在中标通知书发出之日起至合同签订前以银行转账</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形式向招标人提交履约保证金。</w:t>
      </w:r>
    </w:p>
    <w:p>
      <w:pPr>
        <w:spacing w:line="240" w:lineRule="auto"/>
        <w:ind w:right="35" w:firstLine="520" w:firstLineChars="200"/>
        <w:rPr>
          <w:rFonts w:hint="eastAsia" w:ascii="宋体" w:hAnsi="宋体" w:eastAsia="宋体" w:cs="宋体"/>
          <w:snapToGrid w:val="0"/>
          <w:color w:val="auto"/>
          <w:spacing w:val="10"/>
          <w:sz w:val="24"/>
          <w:szCs w:val="24"/>
          <w:highlight w:val="none"/>
          <w:lang w:val="en-US" w:eastAsia="zh-CN" w:bidi="ar-SA"/>
        </w:rPr>
      </w:pPr>
      <w:r>
        <w:rPr>
          <w:rFonts w:hint="eastAsia" w:ascii="宋体" w:hAnsi="宋体" w:eastAsia="宋体" w:cs="宋体"/>
          <w:snapToGrid w:val="0"/>
          <w:color w:val="auto"/>
          <w:spacing w:val="10"/>
          <w:sz w:val="24"/>
          <w:szCs w:val="24"/>
          <w:highlight w:val="none"/>
          <w:lang w:val="en-US" w:eastAsia="zh-CN" w:bidi="ar-SA"/>
        </w:rPr>
        <w:t>2.履行合同约定(含售后服务)完毕且货物和售后服务全部验收合格后，无质量问题和违约责任情况。10个日历天内无息退还投标人应退部分履约保证金。因招标人原因逾期退还的，应当以未退还金额为基数，按合同订立时1年期贷款市场报价利率标准向投标人支付相应违约金，但违约金最高不得超过未退还金额的百分之二十。若因投标人不及时或未提供“收到退还履约保证金的收据”、“履约保证金退还申请”的，则招标人不承担逾期退还违约责任。</w:t>
      </w:r>
    </w:p>
    <w:p>
      <w:pPr>
        <w:spacing w:line="240" w:lineRule="auto"/>
        <w:ind w:right="35" w:firstLine="520" w:firstLineChars="200"/>
        <w:rPr>
          <w:rFonts w:hint="eastAsia" w:ascii="宋体" w:hAnsi="宋体" w:eastAsia="宋体" w:cs="宋体"/>
          <w:snapToGrid w:val="0"/>
          <w:color w:val="auto"/>
          <w:spacing w:val="10"/>
          <w:sz w:val="24"/>
          <w:szCs w:val="24"/>
          <w:highlight w:val="none"/>
          <w:lang w:val="en-US" w:eastAsia="zh-CN" w:bidi="ar-SA"/>
        </w:rPr>
      </w:pPr>
      <w:r>
        <w:rPr>
          <w:rFonts w:hint="eastAsia" w:ascii="宋体" w:hAnsi="宋体" w:eastAsia="宋体" w:cs="宋体"/>
          <w:snapToGrid w:val="0"/>
          <w:color w:val="auto"/>
          <w:spacing w:val="10"/>
          <w:sz w:val="24"/>
          <w:szCs w:val="24"/>
          <w:highlight w:val="none"/>
          <w:lang w:val="en-US" w:eastAsia="zh-CN" w:bidi="ar-SA"/>
        </w:rPr>
        <w:t>3.履约保证金汇入的银行及账号：</w:t>
      </w:r>
    </w:p>
    <w:p>
      <w:pPr>
        <w:spacing w:line="240" w:lineRule="auto"/>
        <w:ind w:right="35" w:firstLine="520" w:firstLineChars="200"/>
        <w:rPr>
          <w:rFonts w:hint="eastAsia" w:ascii="宋体" w:hAnsi="宋体" w:eastAsia="宋体" w:cs="宋体"/>
          <w:snapToGrid w:val="0"/>
          <w:color w:val="auto"/>
          <w:spacing w:val="10"/>
          <w:sz w:val="24"/>
          <w:szCs w:val="24"/>
          <w:highlight w:val="none"/>
          <w:lang w:val="en-US" w:eastAsia="zh-CN" w:bidi="ar-SA"/>
        </w:rPr>
      </w:pPr>
      <w:r>
        <w:rPr>
          <w:rFonts w:hint="eastAsia" w:ascii="宋体" w:hAnsi="宋体" w:eastAsia="宋体" w:cs="宋体"/>
          <w:snapToGrid w:val="0"/>
          <w:color w:val="auto"/>
          <w:spacing w:val="10"/>
          <w:sz w:val="24"/>
          <w:szCs w:val="24"/>
          <w:highlight w:val="none"/>
          <w:lang w:val="en-US" w:eastAsia="zh-CN" w:bidi="ar-SA"/>
        </w:rPr>
        <w:t xml:space="preserve"> 收款账号：成都市技师学院</w:t>
      </w:r>
    </w:p>
    <w:p>
      <w:pPr>
        <w:spacing w:line="240" w:lineRule="auto"/>
        <w:ind w:right="35" w:firstLine="520" w:firstLineChars="200"/>
        <w:rPr>
          <w:rFonts w:hint="eastAsia" w:ascii="宋体" w:hAnsi="宋体" w:eastAsia="宋体" w:cs="宋体"/>
          <w:snapToGrid w:val="0"/>
          <w:color w:val="auto"/>
          <w:spacing w:val="10"/>
          <w:sz w:val="24"/>
          <w:szCs w:val="24"/>
          <w:highlight w:val="none"/>
          <w:lang w:val="en-US" w:eastAsia="zh-CN" w:bidi="ar-SA"/>
        </w:rPr>
      </w:pPr>
      <w:r>
        <w:rPr>
          <w:rFonts w:hint="eastAsia" w:ascii="宋体" w:hAnsi="宋体" w:eastAsia="宋体" w:cs="宋体"/>
          <w:snapToGrid w:val="0"/>
          <w:color w:val="auto"/>
          <w:spacing w:val="10"/>
          <w:sz w:val="24"/>
          <w:szCs w:val="24"/>
          <w:highlight w:val="none"/>
          <w:lang w:val="en-US" w:eastAsia="zh-CN" w:bidi="ar-SA"/>
        </w:rPr>
        <w:t xml:space="preserve"> 开户行：工行四川成都红光支行</w:t>
      </w:r>
    </w:p>
    <w:p>
      <w:pPr>
        <w:spacing w:line="240" w:lineRule="auto"/>
        <w:ind w:right="35" w:firstLine="520" w:firstLineChars="200"/>
        <w:rPr>
          <w:rFonts w:hint="eastAsia" w:ascii="宋体" w:hAnsi="宋体" w:eastAsia="宋体" w:cs="宋体"/>
          <w:snapToGrid w:val="0"/>
          <w:color w:val="auto"/>
          <w:spacing w:val="10"/>
          <w:sz w:val="24"/>
          <w:szCs w:val="24"/>
          <w:highlight w:val="none"/>
          <w:lang w:val="en-US" w:eastAsia="zh-CN" w:bidi="ar-SA"/>
        </w:rPr>
      </w:pPr>
      <w:r>
        <w:rPr>
          <w:rFonts w:hint="eastAsia" w:ascii="宋体" w:hAnsi="宋体" w:eastAsia="宋体" w:cs="宋体"/>
          <w:snapToGrid w:val="0"/>
          <w:color w:val="auto"/>
          <w:spacing w:val="10"/>
          <w:sz w:val="24"/>
          <w:szCs w:val="24"/>
          <w:highlight w:val="none"/>
          <w:lang w:val="en-US" w:eastAsia="zh-CN" w:bidi="ar-SA"/>
        </w:rPr>
        <w:t xml:space="preserve"> 银行账号：4402054609100031151</w:t>
      </w:r>
    </w:p>
    <w:p>
      <w:pPr>
        <w:spacing w:line="240" w:lineRule="auto"/>
        <w:ind w:right="35" w:firstLine="520" w:firstLineChars="200"/>
        <w:rPr>
          <w:rFonts w:hint="eastAsia" w:ascii="宋体" w:hAnsi="宋体" w:eastAsia="宋体" w:cs="宋体"/>
          <w:snapToGrid w:val="0"/>
          <w:color w:val="auto"/>
          <w:spacing w:val="10"/>
          <w:sz w:val="24"/>
          <w:szCs w:val="24"/>
          <w:highlight w:val="none"/>
          <w:lang w:val="en-US" w:eastAsia="zh-CN" w:bidi="ar-SA"/>
        </w:rPr>
      </w:pPr>
      <w:r>
        <w:rPr>
          <w:rFonts w:hint="eastAsia" w:ascii="宋体" w:hAnsi="宋体" w:eastAsia="宋体" w:cs="宋体"/>
          <w:snapToGrid w:val="0"/>
          <w:color w:val="auto"/>
          <w:spacing w:val="10"/>
          <w:sz w:val="24"/>
          <w:szCs w:val="24"/>
          <w:highlight w:val="none"/>
          <w:lang w:val="en-US" w:eastAsia="zh-CN" w:bidi="ar-SA"/>
        </w:rPr>
        <w:t>4.履约保证金不予退还情形:一是投标人未按合同要求履行的，其履约保证金全部扣除。二是投标人缴纳了履约保证金，但因自身原因被取消成交资格或在成交公示期满之日起30个日历天(含法定节假日)内投标人不按招标文件确定的事项与招标人签订合同的，其履约保证金不予退还。三是法律法规或合同约定的其他情形。</w:t>
      </w:r>
    </w:p>
    <w:p>
      <w:pPr>
        <w:keepNext/>
        <w:keepLines/>
        <w:widowControl w:val="0"/>
        <w:numPr>
          <w:ilvl w:val="0"/>
          <w:numId w:val="5"/>
        </w:numPr>
        <w:spacing w:before="340" w:after="330" w:line="240" w:lineRule="auto"/>
        <w:outlineLvl w:val="1"/>
        <w:rPr>
          <w:rFonts w:hint="eastAsia" w:ascii="宋体" w:hAnsi="宋体" w:eastAsia="宋体" w:cs="宋体"/>
          <w:b/>
          <w:bCs/>
          <w:color w:val="auto"/>
          <w:kern w:val="44"/>
          <w:sz w:val="24"/>
          <w:szCs w:val="24"/>
          <w:highlight w:val="none"/>
          <w:lang w:eastAsia="zh-CN"/>
        </w:rPr>
      </w:pPr>
      <w:bookmarkStart w:id="171" w:name="_Toc21491"/>
      <w:r>
        <w:rPr>
          <w:rFonts w:hint="eastAsia" w:ascii="宋体" w:hAnsi="宋体" w:eastAsia="宋体" w:cs="宋体"/>
          <w:b/>
          <w:bCs/>
          <w:color w:val="auto"/>
          <w:kern w:val="44"/>
          <w:sz w:val="24"/>
          <w:szCs w:val="24"/>
          <w:highlight w:val="none"/>
          <w:lang w:eastAsia="zh-CN"/>
        </w:rPr>
        <w:t>方案要求</w:t>
      </w:r>
      <w:bookmarkEnd w:id="171"/>
      <w:r>
        <w:rPr>
          <w:rFonts w:hint="eastAsia" w:ascii="宋体" w:hAnsi="宋体" w:eastAsia="宋体" w:cs="宋体"/>
          <w:b/>
          <w:bCs/>
          <w:color w:val="auto"/>
          <w:kern w:val="44"/>
          <w:sz w:val="24"/>
          <w:szCs w:val="24"/>
          <w:highlight w:val="none"/>
          <w:lang w:eastAsia="zh-CN"/>
        </w:rPr>
        <w:t>（实施方案、售后服务方案等）</w:t>
      </w:r>
    </w:p>
    <w:p>
      <w:pPr>
        <w:spacing w:line="240" w:lineRule="auto"/>
        <w:ind w:right="35" w:firstLine="520" w:firstLineChars="200"/>
        <w:rPr>
          <w:rFonts w:hint="eastAsia" w:ascii="宋体" w:hAnsi="宋体" w:eastAsia="宋体" w:cs="宋体"/>
          <w:snapToGrid w:val="0"/>
          <w:color w:val="auto"/>
          <w:spacing w:val="10"/>
          <w:sz w:val="24"/>
          <w:szCs w:val="24"/>
          <w:highlight w:val="none"/>
          <w:lang w:val="en-US" w:eastAsia="zh-CN" w:bidi="ar-SA"/>
        </w:rPr>
      </w:pPr>
      <w:r>
        <w:rPr>
          <w:rFonts w:hint="eastAsia" w:ascii="宋体" w:hAnsi="宋体" w:eastAsia="宋体" w:cs="宋体"/>
          <w:snapToGrid w:val="0"/>
          <w:color w:val="auto"/>
          <w:spacing w:val="10"/>
          <w:sz w:val="24"/>
          <w:szCs w:val="24"/>
          <w:highlight w:val="none"/>
          <w:lang w:val="en-US" w:eastAsia="zh-CN" w:bidi="ar-SA"/>
        </w:rPr>
        <w:t>1.投标人制定详细的项目实施方案，至少包含备货、配送、质量保证措施、应急措施等。</w:t>
      </w:r>
    </w:p>
    <w:p>
      <w:pPr>
        <w:spacing w:line="240" w:lineRule="auto"/>
        <w:ind w:right="35" w:firstLine="520" w:firstLineChars="200"/>
        <w:rPr>
          <w:rFonts w:hint="eastAsia" w:ascii="宋体" w:hAnsi="宋体" w:eastAsia="宋体" w:cs="宋体"/>
          <w:snapToGrid w:val="0"/>
          <w:color w:val="auto"/>
          <w:spacing w:val="10"/>
          <w:sz w:val="24"/>
          <w:szCs w:val="24"/>
          <w:highlight w:val="none"/>
          <w:lang w:val="en-US" w:eastAsia="zh-CN" w:bidi="ar-SA"/>
        </w:rPr>
      </w:pPr>
      <w:r>
        <w:rPr>
          <w:rFonts w:hint="eastAsia" w:ascii="宋体" w:hAnsi="宋体" w:eastAsia="宋体" w:cs="宋体"/>
          <w:snapToGrid w:val="0"/>
          <w:color w:val="auto"/>
          <w:spacing w:val="10"/>
          <w:sz w:val="24"/>
          <w:szCs w:val="24"/>
          <w:highlight w:val="none"/>
          <w:lang w:val="en-US" w:eastAsia="zh-CN" w:bidi="ar-SA"/>
        </w:rPr>
        <w:t>2.投标人制定详细的售后服务方案，至少包含服务人员配置、故障响应时间、响应方式、售后服务期内的维护措施等。</w:t>
      </w:r>
    </w:p>
    <w:p>
      <w:pPr>
        <w:keepNext/>
        <w:keepLines/>
        <w:widowControl w:val="0"/>
        <w:numPr>
          <w:ilvl w:val="0"/>
          <w:numId w:val="5"/>
        </w:numPr>
        <w:spacing w:before="340" w:after="330" w:line="240" w:lineRule="auto"/>
        <w:outlineLvl w:val="1"/>
        <w:rPr>
          <w:rFonts w:hint="eastAsia" w:ascii="宋体" w:hAnsi="宋体" w:eastAsia="宋体" w:cs="宋体"/>
          <w:b/>
          <w:bCs/>
          <w:color w:val="auto"/>
          <w:kern w:val="44"/>
          <w:sz w:val="24"/>
          <w:szCs w:val="24"/>
          <w:highlight w:val="none"/>
          <w:lang w:eastAsia="zh-CN"/>
        </w:rPr>
      </w:pPr>
      <w:bookmarkStart w:id="172" w:name="_Toc18869"/>
      <w:r>
        <w:rPr>
          <w:rFonts w:hint="eastAsia" w:ascii="宋体" w:hAnsi="宋体" w:eastAsia="宋体" w:cs="宋体"/>
          <w:b/>
          <w:bCs/>
          <w:color w:val="auto"/>
          <w:kern w:val="44"/>
          <w:sz w:val="24"/>
          <w:szCs w:val="24"/>
          <w:highlight w:val="none"/>
          <w:lang w:val="en-US" w:eastAsia="zh-CN"/>
        </w:rPr>
        <w:t>样品要求</w:t>
      </w:r>
      <w:bookmarkEnd w:id="172"/>
    </w:p>
    <w:p>
      <w:pPr>
        <w:ind w:right="35" w:firstLine="520" w:firstLineChars="200"/>
        <w:rPr>
          <w:rFonts w:hint="eastAsia"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val="en-US" w:eastAsia="zh-CN"/>
        </w:rPr>
        <w:t>1.投标人应在递交投标文件同时提交样品（军训服套装一套)。样品须在投标截止时间前送达，在投标截止时间后提交的任何形式的样品，均将拒绝接收。</w:t>
      </w:r>
    </w:p>
    <w:p>
      <w:pPr>
        <w:ind w:right="35" w:firstLine="520" w:firstLineChars="200"/>
        <w:rPr>
          <w:rFonts w:hint="eastAsia"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val="en-US" w:eastAsia="zh-CN"/>
        </w:rPr>
        <w:t>2.样品单独密封包装,均为盲样（不得具有标注投标人名称、产品品牌、生产厂家等的信息的商标、背标、洗标等）。样品的设计、生产、运输费、保管费等一切费用由投标人自行承担。 </w:t>
      </w:r>
    </w:p>
    <w:p>
      <w:pPr>
        <w:ind w:right="35" w:firstLine="520" w:firstLineChars="200"/>
        <w:rPr>
          <w:rFonts w:hint="eastAsia"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val="en-US" w:eastAsia="zh-CN"/>
        </w:rPr>
        <w:t>3.中标投标人样品封样留存，作为交货验收的依据。其他未中标投标人的样品在收到中标结果通知书后7个工作日内领回，逾期的将视为投标人放弃领回。代理机构有权对进行集中处置且不承担任何责任。</w:t>
      </w:r>
    </w:p>
    <w:p>
      <w:pPr>
        <w:keepNext/>
        <w:keepLines/>
        <w:widowControl w:val="0"/>
        <w:numPr>
          <w:ilvl w:val="0"/>
          <w:numId w:val="5"/>
        </w:numPr>
        <w:spacing w:before="340" w:after="330" w:line="240" w:lineRule="auto"/>
        <w:outlineLvl w:val="1"/>
        <w:rPr>
          <w:rFonts w:hint="eastAsia" w:ascii="宋体" w:hAnsi="宋体" w:eastAsia="宋体" w:cs="宋体"/>
          <w:b/>
          <w:bCs/>
          <w:color w:val="auto"/>
          <w:kern w:val="44"/>
          <w:sz w:val="24"/>
          <w:szCs w:val="24"/>
          <w:highlight w:val="none"/>
          <w:lang w:eastAsia="zh-CN"/>
        </w:rPr>
      </w:pPr>
      <w:r>
        <w:rPr>
          <w:rFonts w:hint="eastAsia" w:ascii="宋体" w:hAnsi="宋体" w:eastAsia="宋体" w:cs="宋体"/>
          <w:b/>
          <w:bCs/>
          <w:color w:val="auto"/>
          <w:kern w:val="44"/>
          <w:sz w:val="24"/>
          <w:szCs w:val="24"/>
          <w:highlight w:val="none"/>
          <w:lang w:val="en-US" w:eastAsia="zh-CN"/>
        </w:rPr>
        <w:t>履约验收方案</w:t>
      </w:r>
    </w:p>
    <w:p>
      <w:pPr>
        <w:pStyle w:val="2"/>
        <w:ind w:firstLine="520" w:firstLineChars="200"/>
        <w:rPr>
          <w:rFonts w:hint="eastAsia" w:ascii="宋体" w:hAnsi="宋体" w:eastAsia="宋体" w:cs="宋体"/>
          <w:snapToGrid w:val="0"/>
          <w:color w:val="auto"/>
          <w:spacing w:val="10"/>
          <w:sz w:val="24"/>
          <w:szCs w:val="24"/>
          <w:highlight w:val="none"/>
          <w:lang w:val="en-US" w:eastAsia="zh-CN" w:bidi="ar-SA"/>
        </w:rPr>
      </w:pPr>
      <w:r>
        <w:rPr>
          <w:rFonts w:hint="eastAsia" w:ascii="宋体" w:hAnsi="宋体" w:eastAsia="宋体" w:cs="宋体"/>
          <w:snapToGrid w:val="0"/>
          <w:color w:val="auto"/>
          <w:spacing w:val="10"/>
          <w:sz w:val="24"/>
          <w:szCs w:val="24"/>
          <w:highlight w:val="none"/>
          <w:lang w:val="en-US" w:eastAsia="zh-CN" w:bidi="ar-SA"/>
        </w:rPr>
        <w:t>1.验收的主体：成都市技师学院</w:t>
      </w:r>
    </w:p>
    <w:p>
      <w:pPr>
        <w:pStyle w:val="2"/>
        <w:ind w:firstLine="520" w:firstLineChars="200"/>
        <w:rPr>
          <w:rFonts w:hint="eastAsia" w:ascii="宋体" w:hAnsi="宋体" w:eastAsia="宋体" w:cs="宋体"/>
          <w:snapToGrid w:val="0"/>
          <w:color w:val="auto"/>
          <w:spacing w:val="10"/>
          <w:sz w:val="24"/>
          <w:szCs w:val="24"/>
          <w:highlight w:val="none"/>
          <w:lang w:val="en-US" w:eastAsia="zh-CN" w:bidi="ar-SA"/>
        </w:rPr>
      </w:pPr>
      <w:r>
        <w:rPr>
          <w:rFonts w:hint="eastAsia" w:ascii="宋体" w:hAnsi="宋体" w:eastAsia="宋体" w:cs="宋体"/>
          <w:snapToGrid w:val="0"/>
          <w:color w:val="auto"/>
          <w:spacing w:val="10"/>
          <w:sz w:val="24"/>
          <w:szCs w:val="24"/>
          <w:highlight w:val="none"/>
          <w:lang w:val="en-US" w:eastAsia="zh-CN" w:bidi="ar-SA"/>
        </w:rPr>
        <w:t>2.验收时间及程序：</w:t>
      </w:r>
    </w:p>
    <w:p>
      <w:pPr>
        <w:pStyle w:val="2"/>
        <w:ind w:firstLine="520" w:firstLineChars="200"/>
        <w:rPr>
          <w:rFonts w:hint="eastAsia" w:ascii="宋体" w:hAnsi="宋体" w:eastAsia="宋体" w:cs="宋体"/>
          <w:snapToGrid w:val="0"/>
          <w:color w:val="auto"/>
          <w:spacing w:val="10"/>
          <w:sz w:val="24"/>
          <w:szCs w:val="24"/>
          <w:highlight w:val="none"/>
          <w:lang w:val="en-US" w:eastAsia="zh-CN" w:bidi="ar-SA"/>
        </w:rPr>
      </w:pPr>
      <w:r>
        <w:rPr>
          <w:rFonts w:hint="eastAsia" w:ascii="宋体" w:hAnsi="宋体" w:eastAsia="宋体" w:cs="宋体"/>
          <w:snapToGrid w:val="0"/>
          <w:color w:val="auto"/>
          <w:spacing w:val="10"/>
          <w:sz w:val="24"/>
          <w:szCs w:val="24"/>
          <w:highlight w:val="none"/>
          <w:lang w:val="en-US" w:eastAsia="zh-CN" w:bidi="ar-SA"/>
        </w:rPr>
        <w:t>（1）货物验收：投标人将当批次服装送达指定地点的当天，招标人随机抽取10％进行验收。</w:t>
      </w:r>
    </w:p>
    <w:p>
      <w:pPr>
        <w:pStyle w:val="2"/>
        <w:ind w:firstLine="520" w:firstLineChars="200"/>
        <w:rPr>
          <w:rFonts w:hint="eastAsia" w:ascii="宋体" w:hAnsi="宋体" w:eastAsia="宋体" w:cs="宋体"/>
          <w:snapToGrid w:val="0"/>
          <w:color w:val="auto"/>
          <w:spacing w:val="10"/>
          <w:sz w:val="24"/>
          <w:szCs w:val="24"/>
          <w:highlight w:val="none"/>
          <w:lang w:val="en-US" w:eastAsia="zh-CN" w:bidi="ar-SA"/>
        </w:rPr>
      </w:pPr>
      <w:r>
        <w:rPr>
          <w:rFonts w:hint="eastAsia" w:ascii="宋体" w:hAnsi="宋体" w:eastAsia="宋体" w:cs="宋体"/>
          <w:snapToGrid w:val="0"/>
          <w:color w:val="auto"/>
          <w:spacing w:val="10"/>
          <w:sz w:val="24"/>
          <w:szCs w:val="24"/>
          <w:highlight w:val="none"/>
          <w:lang w:val="en-US" w:eastAsia="zh-CN" w:bidi="ar-SA"/>
        </w:rPr>
        <w:t>（2）售后服务验收：当批次服装售后服务期结束，自招标人收到售后服务验收申请之日起5个工作日内组织验收</w:t>
      </w:r>
    </w:p>
    <w:p>
      <w:pPr>
        <w:pStyle w:val="2"/>
        <w:ind w:firstLine="520" w:firstLineChars="200"/>
        <w:rPr>
          <w:rFonts w:hint="eastAsia" w:ascii="宋体" w:hAnsi="宋体" w:eastAsia="宋体" w:cs="宋体"/>
          <w:snapToGrid w:val="0"/>
          <w:color w:val="auto"/>
          <w:spacing w:val="10"/>
          <w:sz w:val="24"/>
          <w:szCs w:val="24"/>
          <w:highlight w:val="none"/>
          <w:lang w:val="en-US" w:eastAsia="zh-CN" w:bidi="ar-SA"/>
        </w:rPr>
      </w:pPr>
      <w:r>
        <w:rPr>
          <w:rFonts w:hint="eastAsia" w:ascii="宋体" w:hAnsi="宋体" w:eastAsia="宋体" w:cs="宋体"/>
          <w:snapToGrid w:val="0"/>
          <w:color w:val="auto"/>
          <w:spacing w:val="10"/>
          <w:sz w:val="24"/>
          <w:szCs w:val="24"/>
          <w:highlight w:val="none"/>
          <w:lang w:val="en-US" w:eastAsia="zh-CN" w:bidi="ar-SA"/>
        </w:rPr>
        <w:t xml:space="preserve">3.验收方式：单位内部验收 </w:t>
      </w:r>
    </w:p>
    <w:p>
      <w:pPr>
        <w:pStyle w:val="2"/>
        <w:ind w:firstLine="520" w:firstLineChars="200"/>
        <w:rPr>
          <w:rFonts w:hint="eastAsia" w:ascii="宋体" w:hAnsi="宋体" w:eastAsia="宋体" w:cs="宋体"/>
          <w:snapToGrid w:val="0"/>
          <w:color w:val="auto"/>
          <w:spacing w:val="10"/>
          <w:sz w:val="24"/>
          <w:szCs w:val="24"/>
          <w:highlight w:val="none"/>
          <w:lang w:val="en-US" w:eastAsia="zh-CN" w:bidi="ar-SA"/>
        </w:rPr>
      </w:pPr>
      <w:r>
        <w:rPr>
          <w:rFonts w:hint="eastAsia" w:ascii="宋体" w:hAnsi="宋体" w:eastAsia="宋体" w:cs="宋体"/>
          <w:snapToGrid w:val="0"/>
          <w:color w:val="auto"/>
          <w:spacing w:val="10"/>
          <w:sz w:val="24"/>
          <w:szCs w:val="24"/>
          <w:highlight w:val="none"/>
          <w:lang w:val="en-US" w:eastAsia="zh-CN" w:bidi="ar-SA"/>
        </w:rPr>
        <w:t>4.验收的内容：</w:t>
      </w:r>
    </w:p>
    <w:p>
      <w:pPr>
        <w:pStyle w:val="2"/>
        <w:ind w:firstLine="520" w:firstLineChars="200"/>
        <w:rPr>
          <w:rFonts w:hint="eastAsia" w:ascii="宋体" w:hAnsi="宋体" w:eastAsia="宋体" w:cs="宋体"/>
          <w:snapToGrid w:val="0"/>
          <w:color w:val="auto"/>
          <w:spacing w:val="10"/>
          <w:sz w:val="24"/>
          <w:szCs w:val="24"/>
          <w:highlight w:val="none"/>
          <w:lang w:val="en-US" w:eastAsia="zh-CN" w:bidi="ar-SA"/>
        </w:rPr>
      </w:pPr>
      <w:r>
        <w:rPr>
          <w:rFonts w:hint="eastAsia" w:ascii="宋体" w:hAnsi="宋体" w:eastAsia="宋体" w:cs="宋体"/>
          <w:snapToGrid w:val="0"/>
          <w:color w:val="auto"/>
          <w:spacing w:val="10"/>
          <w:sz w:val="24"/>
          <w:szCs w:val="24"/>
          <w:highlight w:val="none"/>
          <w:lang w:val="en-US" w:eastAsia="zh-CN" w:bidi="ar-SA"/>
        </w:rPr>
        <w:t>（1）验收内容包括品牌、型号、数量、外观等每一项技术和商务要求（不含售后服务）的履约情况；</w:t>
      </w:r>
    </w:p>
    <w:p>
      <w:pPr>
        <w:pStyle w:val="2"/>
        <w:ind w:firstLine="520" w:firstLineChars="200"/>
        <w:rPr>
          <w:rFonts w:hint="eastAsia" w:ascii="宋体" w:hAnsi="宋体" w:eastAsia="宋体" w:cs="宋体"/>
          <w:snapToGrid w:val="0"/>
          <w:color w:val="auto"/>
          <w:spacing w:val="10"/>
          <w:sz w:val="24"/>
          <w:szCs w:val="24"/>
          <w:highlight w:val="none"/>
          <w:lang w:val="en-US" w:eastAsia="zh-CN" w:bidi="ar-SA"/>
        </w:rPr>
      </w:pPr>
      <w:r>
        <w:rPr>
          <w:rFonts w:hint="eastAsia" w:ascii="宋体" w:hAnsi="宋体" w:eastAsia="宋体" w:cs="宋体"/>
          <w:snapToGrid w:val="0"/>
          <w:color w:val="auto"/>
          <w:spacing w:val="10"/>
          <w:sz w:val="24"/>
          <w:szCs w:val="24"/>
          <w:highlight w:val="none"/>
          <w:lang w:val="en-US" w:eastAsia="zh-CN" w:bidi="ar-SA"/>
        </w:rPr>
        <w:t>（2）售后服务验收内容包括售后服务要求中每一项要求的履约情况。</w:t>
      </w:r>
    </w:p>
    <w:p>
      <w:pPr>
        <w:pStyle w:val="2"/>
        <w:ind w:firstLine="520" w:firstLineChars="200"/>
        <w:rPr>
          <w:rFonts w:hint="eastAsia" w:ascii="宋体" w:hAnsi="宋体" w:eastAsia="宋体" w:cs="宋体"/>
          <w:snapToGrid w:val="0"/>
          <w:color w:val="auto"/>
          <w:spacing w:val="10"/>
          <w:sz w:val="24"/>
          <w:szCs w:val="24"/>
          <w:highlight w:val="none"/>
          <w:lang w:val="en-US" w:eastAsia="zh-CN" w:bidi="ar-SA"/>
        </w:rPr>
      </w:pPr>
      <w:r>
        <w:rPr>
          <w:rFonts w:hint="eastAsia" w:ascii="宋体" w:hAnsi="宋体" w:eastAsia="宋体" w:cs="宋体"/>
          <w:snapToGrid w:val="0"/>
          <w:color w:val="auto"/>
          <w:spacing w:val="10"/>
          <w:sz w:val="24"/>
          <w:szCs w:val="24"/>
          <w:highlight w:val="none"/>
          <w:lang w:val="en-US" w:eastAsia="zh-CN" w:bidi="ar-SA"/>
        </w:rPr>
        <w:t xml:space="preserve"> 5.验收标准：按国家有关规定以及招标人招标文件的质量要求和技术指标、投标人的投标文件及承诺与本合同约定标准进行验收；其他未尽事宜应参照《财政部关于进一步加强政府采购需求和履约验收管理的指导意见》(财库〔2016〕205号)的要求进行验收。</w:t>
      </w:r>
    </w:p>
    <w:p>
      <w:pPr>
        <w:pStyle w:val="2"/>
        <w:ind w:firstLine="520" w:firstLineChars="200"/>
        <w:rPr>
          <w:rFonts w:hint="eastAsia"/>
          <w:lang w:val="en-US" w:eastAsia="zh-CN"/>
        </w:rPr>
      </w:pPr>
      <w:r>
        <w:rPr>
          <w:rFonts w:hint="eastAsia" w:ascii="宋体" w:hAnsi="宋体" w:eastAsia="宋体" w:cs="宋体"/>
          <w:snapToGrid w:val="0"/>
          <w:color w:val="auto"/>
          <w:spacing w:val="10"/>
          <w:sz w:val="24"/>
          <w:szCs w:val="24"/>
          <w:highlight w:val="none"/>
          <w:lang w:val="en-US" w:eastAsia="zh-CN" w:bidi="ar-SA"/>
        </w:rPr>
        <w:t>6.交付标准和方法：投标人按合同约定提供服装和售后服务且该批次验收合格，视为投标人完成当批次服装的交付。</w:t>
      </w:r>
    </w:p>
    <w:p>
      <w:pPr>
        <w:spacing w:line="240" w:lineRule="auto"/>
        <w:rPr>
          <w:color w:val="auto"/>
          <w:sz w:val="24"/>
          <w:szCs w:val="24"/>
          <w:highlight w:val="none"/>
        </w:rPr>
      </w:pPr>
    </w:p>
    <w:p>
      <w:pPr>
        <w:spacing w:line="240" w:lineRule="auto"/>
        <w:rPr>
          <w:rFonts w:ascii="宋体" w:hAnsi="宋体" w:eastAsia="宋体" w:cs="宋体"/>
          <w:color w:val="auto"/>
          <w:spacing w:val="9"/>
          <w:position w:val="1"/>
          <w:sz w:val="23"/>
          <w:szCs w:val="23"/>
          <w:highlight w:val="none"/>
          <w14:textOutline w14:w="4356" w14:cap="sq" w14:cmpd="sng" w14:algn="ctr">
            <w14:solidFill>
              <w14:srgbClr w14:val="000000"/>
            </w14:solidFill>
            <w14:prstDash w14:val="solid"/>
            <w14:bevel/>
          </w14:textOutline>
        </w:rPr>
      </w:pPr>
      <w:r>
        <w:rPr>
          <w:rFonts w:hint="eastAsia" w:ascii="宋体" w:hAnsi="宋体" w:eastAsia="宋体" w:cs="宋体"/>
          <w:b/>
          <w:bCs/>
          <w:color w:val="auto"/>
          <w:sz w:val="24"/>
          <w:szCs w:val="24"/>
          <w:highlight w:val="none"/>
        </w:rPr>
        <w:t>注：本章中标注“★”的条款为实质性要求，不允许有负偏离，有任意一项负偏离的，作无效投标处理</w:t>
      </w:r>
      <w:r>
        <w:rPr>
          <w:rFonts w:hint="eastAsia" w:ascii="宋体" w:hAnsi="宋体" w:eastAsia="宋体" w:cs="宋体"/>
          <w:color w:val="auto"/>
          <w:spacing w:val="9"/>
          <w:position w:val="1"/>
          <w:sz w:val="24"/>
          <w:szCs w:val="24"/>
          <w:highlight w:val="none"/>
          <w14:textOutline w14:w="4356" w14:cap="sq" w14:cmpd="sng" w14:algn="ctr">
            <w14:solidFill>
              <w14:srgbClr w14:val="000000"/>
            </w14:solidFill>
            <w14:prstDash w14:val="solid"/>
            <w14:bevel/>
          </w14:textOutline>
        </w:rPr>
        <w:t>。</w:t>
      </w: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sectPr>
          <w:headerReference r:id="rId41" w:type="default"/>
          <w:footerReference r:id="rId42" w:type="default"/>
          <w:pgSz w:w="11905" w:h="16838"/>
          <w:pgMar w:top="1417" w:right="1417" w:bottom="1417" w:left="1417" w:header="0" w:footer="1134" w:gutter="0"/>
          <w:cols w:space="0" w:num="1"/>
        </w:sectPr>
      </w:pPr>
    </w:p>
    <w:p>
      <w:pPr>
        <w:spacing w:before="114" w:line="240" w:lineRule="auto"/>
        <w:jc w:val="center"/>
        <w:outlineLvl w:val="0"/>
        <w:rPr>
          <w:rFonts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pPr>
      <w:bookmarkStart w:id="173" w:name="_Toc19151"/>
      <w:r>
        <w:rPr>
          <w:rFonts w:hint="eastAsia"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t>第七章  评标办法</w:t>
      </w:r>
      <w:bookmarkEnd w:id="173"/>
    </w:p>
    <w:p>
      <w:pPr>
        <w:spacing w:line="240" w:lineRule="auto"/>
        <w:ind w:firstLine="482" w:firstLineChars="200"/>
        <w:outlineLvl w:val="1"/>
        <w:rPr>
          <w:rFonts w:ascii="宋体" w:hAnsi="宋体" w:eastAsia="宋体" w:cs="宋体"/>
          <w:b/>
          <w:bCs/>
          <w:color w:val="auto"/>
          <w:sz w:val="24"/>
          <w:szCs w:val="24"/>
          <w:highlight w:val="none"/>
        </w:rPr>
      </w:pPr>
      <w:bookmarkStart w:id="174" w:name="_Toc5040"/>
      <w:bookmarkStart w:id="175" w:name="_Toc622"/>
      <w:bookmarkStart w:id="176" w:name="_Toc25682"/>
      <w:r>
        <w:rPr>
          <w:rFonts w:hint="eastAsia" w:ascii="宋体" w:hAnsi="宋体" w:eastAsia="宋体" w:cs="宋体"/>
          <w:b/>
          <w:bCs/>
          <w:color w:val="auto"/>
          <w:sz w:val="24"/>
          <w:szCs w:val="24"/>
          <w:highlight w:val="none"/>
          <w:lang w:eastAsia="zh-CN"/>
        </w:rPr>
        <w:t>一、</w:t>
      </w:r>
      <w:r>
        <w:rPr>
          <w:rFonts w:hint="eastAsia" w:ascii="宋体" w:hAnsi="宋体" w:eastAsia="宋体" w:cs="宋体"/>
          <w:b/>
          <w:bCs/>
          <w:color w:val="auto"/>
          <w:sz w:val="24"/>
          <w:szCs w:val="24"/>
          <w:highlight w:val="none"/>
        </w:rPr>
        <w:t>总则</w:t>
      </w:r>
      <w:bookmarkEnd w:id="174"/>
      <w:bookmarkEnd w:id="175"/>
      <w:bookmarkEnd w:id="176"/>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1.1 根据《中华人民共和国政府采购法》《中华人民共和国政府采购法实施条例》《政府采购货物和服务招标投标管理办法》等法律制度，结合采购项目特点制定本评标办法。</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1.2 评标工作由招标代理机构负责组织，具体评标事务由招标代理机构依法组建的评标委员会负责。评标委员会由招标人代表和有关技术、经济、法律等方面的专家组成。</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1.3 评标工作应遵循公平、公正、科学及择优的原则，并以相同的评标程序和标准对待所有的投标人。</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1.4 评标委员会按照招标文件规定的评标方法和标准进行评标，并独立履行下列职责：</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1.4.1 熟悉和理解招标文件；</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1.4.2 审查投标人投标文件等是否满足招标文件要求，并作出评价；</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1.4.3 根据需要要求招标采购单位对招标文件作出解释；根据需要要求投标人对投标文件有关事项作出澄清、说明或者更正；</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1.4.4 推荐中标候选人，或者受招标人委托确定中标人；</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1.4.5 起草评标报告并进行签署；</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1.4.6 向招标采购单位、财政部门或者其他监督部门报告非法干预评标工作的行为；</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1.4.7 法律、法规和规章规定的其他职责。</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1.5 评标过程独立、保密。投标人非法干预</w:t>
      </w:r>
      <w:r>
        <w:rPr>
          <w:rFonts w:hint="eastAsia" w:ascii="宋体" w:hAnsi="宋体" w:eastAsia="宋体" w:cs="宋体"/>
          <w:color w:val="auto"/>
          <w:spacing w:val="6"/>
          <w:sz w:val="24"/>
          <w:szCs w:val="24"/>
          <w:highlight w:val="none"/>
          <w:lang w:eastAsia="zh-CN"/>
        </w:rPr>
        <w:t>评标</w:t>
      </w:r>
      <w:r>
        <w:rPr>
          <w:rFonts w:hint="eastAsia" w:ascii="宋体" w:hAnsi="宋体" w:eastAsia="宋体" w:cs="宋体"/>
          <w:color w:val="auto"/>
          <w:spacing w:val="6"/>
          <w:sz w:val="24"/>
          <w:szCs w:val="24"/>
          <w:highlight w:val="none"/>
        </w:rPr>
        <w:t>过程的行为将导致其投标文件作为无效处理。</w:t>
      </w:r>
    </w:p>
    <w:p>
      <w:pPr>
        <w:spacing w:line="240" w:lineRule="auto"/>
        <w:ind w:firstLine="504" w:firstLineChars="200"/>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1.6 评标委员会评价投标文件的响应性，对于投标人而言，除评标委员会要求其澄清、说明或者更正而提供的资料外，仅依据投标文件本身的内容，不寻求其他外部证据。</w:t>
      </w:r>
    </w:p>
    <w:p>
      <w:pPr>
        <w:spacing w:line="240" w:lineRule="auto"/>
        <w:ind w:firstLine="482" w:firstLineChars="200"/>
        <w:outlineLvl w:val="1"/>
        <w:rPr>
          <w:rFonts w:ascii="宋体" w:hAnsi="宋体" w:eastAsia="宋体" w:cs="宋体"/>
          <w:b/>
          <w:bCs/>
          <w:color w:val="auto"/>
          <w:sz w:val="24"/>
          <w:szCs w:val="24"/>
          <w:highlight w:val="none"/>
        </w:rPr>
      </w:pPr>
      <w:bookmarkStart w:id="177" w:name="_Toc26276"/>
      <w:bookmarkStart w:id="178" w:name="_Toc13707"/>
      <w:bookmarkStart w:id="179" w:name="_Toc15913"/>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rPr>
        <w:t>评标方法</w:t>
      </w:r>
      <w:bookmarkEnd w:id="177"/>
      <w:bookmarkEnd w:id="178"/>
      <w:bookmarkEnd w:id="179"/>
    </w:p>
    <w:p>
      <w:pPr>
        <w:spacing w:before="75" w:line="240" w:lineRule="auto"/>
        <w:ind w:left="504"/>
        <w:rPr>
          <w:rFonts w:ascii="宋体" w:hAnsi="宋体" w:eastAsia="宋体" w:cs="宋体"/>
          <w:color w:val="auto"/>
          <w:spacing w:val="8"/>
          <w:sz w:val="24"/>
          <w:szCs w:val="24"/>
          <w:highlight w:val="none"/>
        </w:rPr>
      </w:pPr>
      <w:r>
        <w:rPr>
          <w:rFonts w:hint="eastAsia" w:ascii="宋体" w:hAnsi="宋体" w:eastAsia="宋体" w:cs="宋体"/>
          <w:color w:val="auto"/>
          <w:spacing w:val="6"/>
          <w:sz w:val="24"/>
          <w:szCs w:val="24"/>
          <w:highlight w:val="none"/>
        </w:rPr>
        <w:t>本项目评标方法为：</w:t>
      </w:r>
      <w:r>
        <w:rPr>
          <w:rFonts w:hint="eastAsia" w:ascii="宋体" w:hAnsi="宋体" w:eastAsia="宋体" w:cs="宋体"/>
          <w:b/>
          <w:bCs/>
          <w:color w:val="auto"/>
          <w:sz w:val="24"/>
          <w:szCs w:val="24"/>
          <w:highlight w:val="none"/>
        </w:rPr>
        <w:t>综合评分法</w:t>
      </w:r>
      <w:r>
        <w:rPr>
          <w:rFonts w:ascii="宋体" w:hAnsi="宋体" w:eastAsia="宋体" w:cs="宋体"/>
          <w:color w:val="auto"/>
          <w:spacing w:val="8"/>
          <w:sz w:val="24"/>
          <w:szCs w:val="24"/>
          <w:highlight w:val="none"/>
        </w:rPr>
        <w:t>。</w:t>
      </w:r>
    </w:p>
    <w:p>
      <w:pPr>
        <w:spacing w:line="240" w:lineRule="auto"/>
        <w:ind w:firstLine="482" w:firstLineChars="200"/>
        <w:outlineLvl w:val="1"/>
        <w:rPr>
          <w:rFonts w:ascii="宋体" w:hAnsi="宋体" w:eastAsia="宋体" w:cs="宋体"/>
          <w:b/>
          <w:bCs/>
          <w:color w:val="auto"/>
          <w:sz w:val="24"/>
          <w:szCs w:val="24"/>
          <w:highlight w:val="none"/>
        </w:rPr>
      </w:pPr>
      <w:bookmarkStart w:id="180" w:name="_Toc19465"/>
      <w:bookmarkStart w:id="181" w:name="_Toc11326"/>
      <w:bookmarkStart w:id="182" w:name="_Toc30788"/>
      <w:r>
        <w:rPr>
          <w:rFonts w:hint="eastAsia" w:ascii="宋体" w:hAnsi="宋体" w:eastAsia="宋体" w:cs="宋体"/>
          <w:b/>
          <w:bCs/>
          <w:color w:val="auto"/>
          <w:sz w:val="24"/>
          <w:szCs w:val="24"/>
          <w:highlight w:val="none"/>
          <w:lang w:eastAsia="zh-CN"/>
        </w:rPr>
        <w:t>三、</w:t>
      </w:r>
      <w:r>
        <w:rPr>
          <w:rFonts w:hint="eastAsia" w:ascii="宋体" w:hAnsi="宋体" w:eastAsia="宋体" w:cs="宋体"/>
          <w:b/>
          <w:bCs/>
          <w:color w:val="auto"/>
          <w:sz w:val="24"/>
          <w:szCs w:val="24"/>
          <w:highlight w:val="none"/>
        </w:rPr>
        <w:t>评标程序</w:t>
      </w:r>
      <w:bookmarkEnd w:id="180"/>
      <w:bookmarkEnd w:id="181"/>
      <w:bookmarkEnd w:id="182"/>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招标人或者招标代理机构应当依法对投标人的资格进行审查，合格投标人不少于3人时，进入评标委员会正式评标环节。</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 熟悉和理解招标文件和停止评标。</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3.1.1 评标委员会正式评标前，应当对招标文件进行熟悉和理解，内容主要包括招标文件中实质性要求、采购项目技术、服务和商务要求、评标方法和标准以及可能涉及签订采购合同的内容等。</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3.1.2 评标委员会熟悉和理解招标文件以及评标过程中，发现本招标文件有下列情形之一的，评标委员会应当停止评标：</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3.1.2.1 招标文件的规定存在歧义、重大缺陷的；</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3.1.2.2 招标文件明显以不合理条件对供应商实行差别待遇或者歧视待遇的；</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3.1.2.3 采购项目属于国家规定的优先、强制采购范围，但是招标文件未依法体现优先、强制采购相关规定的；</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3.1.2.4 采购项目属于政府采购促进中小企业发展的范围，但是招标文件未依法体现促进中小企业发展相关规定的；</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3.1.2.5 招标文件规定的评标方法是综合评分法、最低评标价法之外的评标方法，或者虽然名称为综合评分法、最低评标价法，但实际上不符合国家规定；</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3.1.2.6 招标文件将投标人的资格条件列为评分因素的；</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3.1.2.7 招标文件有违反国家其他有关强制性规定的情形。</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3.1.3 出现本条 3.1.2 规定应当停止评标情形的，评标委员会成员应当向招标采购单位书面说明情况。除本条规定和评标委员会无法依法组建的情形外，评标委员会成员不得以任何方式和理由停止评标。</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 符合性检查。</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3.2.1 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3.2.2 投标文件(包括单独递交的开标一览表)有下列情形的，本项目不作为实质性要求进行规定，即不作为符合性审查事项，不得作为无效投标处理：</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3.2.2.1 存在个别地方(不超过2个)没有法定代表人(负责人)签字，但有法定代表人(负责人)的私人印章或者有效授权代理人签字的；</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3.2.2.2 除招标文件明确要求加盖单位(法人)公章的以外，其他地方以相关专用章加盖的；</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3.2.2.3 以骑缝章的形式代替投标文件内容逐页盖章的(但是骑缝章模糊不清，印章名称无法辨认的除外)；</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3.2.2.4 其他不影响采购项目实质性要求的情形。</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3.2.3 除政府采购法律制度规定的情形外，本项目投标人或者其投标文件有下列情形之一的，作为无效投标处理：</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3.2.3.1 投标文件正副本数量不足的；</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3.2.3.2 投标文件未按照招标文件要求签署、盖章的；</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3.2.3.3 投标文件组成明显不符合招标文件的规定要求，影响评标委员会评判的；</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3.2.3.4 投标文件的格式、语言、计量单位、报价货币、知识产权、投标有效期等不符合招标文件的规定，影响评标委员会评判的；</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3.2.3.5 投标报价不符合招标文件规定的价格标底和其他报价规定的；</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3.2.3.6 技术应答内容没有完全响应招标文件的实质性要求的；</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3.2.3.7 招标文件有明确要求，但投标文件未载明或者载明的采购项目履约时间、方式、数量与招标文件要求不一致的；</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3.2.3.8 投标文件含有招标人不能接受的附加条件的。</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3.3 比较与评价。按招标文件中规定的评标方法和标准，对未作无效投标处理的投标文件进行技术、服务、商务等方面评估，综合比较与评价。</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3.4 复核。评分汇总结束后，评标委员会应当进行复核，特别要对拟推荐为中标候选人的、报价最低的、投标文件被认定为无效的进行重点复核。</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3.5 推荐三名中标候选人。中标候选人应当排序。</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候选人；报价相同且满足招标文件全部实质性要求且按照评审因素的量化指标评审得分也相同的并列，优先选择不发达地区或少数民族地区或脱贫攻坚地区的投标人；报价相同且满足招标文件全部实质性要求且按照评审因素的量化指标评审得分也相同无投标人属于不发达地区或少数民族地区或脱贫攻坚地区的或投标人均属于不发达地区或少数民族地区或脱贫攻坚地区的并列，由招标人自主采取公平、择优的方式选择中标候选人。(不发达地区或脱贫攻坚地区的投标人需提供属于不发达地区或脱贫攻坚的相关证明材料，少数民族地区提供相关证明材料或投标人注册地为少数民族地区。)</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评标委员会可推荐的中标候选人数量不能满足招标文件规定的数量的，只有在获得招标人书面同意后，可以根据实际情况推荐中标候选供应商。未获得招标人的书面同意,评标委员会不得在招标文件规定之外推荐中标候选人，否则，招标人可以不予认可。</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3.6 出具评标报告。评标委员会推荐中标候选人后，应当向招标采购单位出具评标报告。评标报告应当包括下列内容：</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3.6.1 招标公告刊登的媒体名称、开标日期和地点；</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3.6.2 获取招标文件的投标人名单和评标委员会成员名单；</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3.6.3 评标方法和标准；</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3.6.4 开标记录和评标情况及说明，包括无效投标人名单及原因；</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3.6.5 评标结果和中标候选供应商排序表；</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3.6.6 评标委员会授标建议；</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3.6.7 报价最高的投标人为中标候选人的，评标委员会应当对其报价的合理性予以特别说明。</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3.7 评标争议处理规则。评标委员会在评审过程中，对于符合性审查、对投标人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 投标人应当书面澄清、说明或者更正。</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3.8.1 在评标过程中，投标人投标文件实质性符合招标文件要求的前提下，评标委员会对投标文件中含义不明确、同类问题表述不一致或者有明显文字和计算错误的内容，应当以书面形式(须由评标委员会全体成员签字)要求投标人作出必要的书面澄清、说明或者更正，并给予投标人必要的反馈时间。</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3.8.2 投标人应当书面澄清、说明或者更正，并加盖公章或签字确认(投标人为法人的，应当由其法定代表人/单位负责人或者授权代表签字确认；投标人为其他组织的，应当由其主要负责人或者代理人签字确认；投标人为自然人的，应当由其本人或者代理人签字确认)，否则无效。澄清、说明或者更正不影响投标文件的效力，有效的澄清、说明或者更正材料，是投标文件的组成部分。</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3.8.3 评标委员会要求投标人澄清、说明或者更正，不得超出招标文件的范围，不得以此让投标人实质改变投标文件的内容，不得影响投标人公平竞争。本项目下列内容不得澄清：</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3.8.3.1 按财政部规定应当在评标时不予承认的投标文件内容事项；</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3.8.3.2 投标文件中已经明确的内容事项；</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3.8.3.3 投标文件未提供的材料。</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3.8.4 本项目采购过程中，投标文件出现下列情况的，按照下列规定修正：</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3.8.4.1 投标文件中开标一览表(报价表)内容与投标文件中响应内容不一致的，以开标一览表(报价表)为准；</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3.8.4.2 大写金额和小写金额不一致的，以大写金额为准；</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3.8.4.3 单价金额小数点或者百分比有明显错位的，以开标一览表的总价为准，并修改单价；</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3.8.4.4 总价金额与按单价汇总金额不一致的，以单价金额计算结果为准。</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出现3.8.4.4规定情形，单价汇总金额比总价金额高，且超过采购预算或者本项目最高限价的，投标人投标文件应作为无效投标处理；单价汇总金额比总价金额高，但未超过采购预算或者本项目最高限价的，应以单价汇总金额作为价格评分依据。</w:t>
      </w:r>
    </w:p>
    <w:p>
      <w:pPr>
        <w:spacing w:line="24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同时出现两种以上不一致的，按照前款规定的顺序修正。修正后的报价经投标人确认后产生约束力，投标人不确认的，其投标无效。</w:t>
      </w:r>
    </w:p>
    <w:p>
      <w:pPr>
        <w:spacing w:line="24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注：评标委员会当积极履行澄清、说明或者更正的职责，不得滥用权力。投标人的投标文件可以要求澄清、说明或者更正的，不得未经澄清、说明或者更正而直接作无效投标处理。</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3.9 低于成本价投标处理。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投标人书面说明应当按照国家财务会计制度的规定要求，逐项就投标人提供的货物、工程和服务的主营业务成本(应根据投标人企业类型予以区别)、税金及附加、销售费用、管理费用、财务费用等成本构成事项详细陈述。</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投标人书面说明应当签字确认或者加盖公章，否则无效。书面说明的签字确认，投标人为法人的，由其法定代表人或其授权代表签字确认；投标人为其他组织的，由其主要负责人或其授权代表签字确认；投标人为自然人的，由其本人或其授权代表签字确认。</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投标人提供书面说明后，评标委员会应当结合采购项目采购需求、专业实际情况、投标人财务状况报告、与其他投标人比较情况等就投标人书面说明进行审查评价。投标人拒绝或者变相拒绝提供有效书面说明或者书面说明不能证明其报价合理性的，评标委员会应当将其投标文件、响应文件作为无效处理。</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3.10招标采购单位现场复核评标结果。</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3.10.1评标结果汇总完成后，招标采购单位应当组织2名以上的本单位工作人员，在采购现场监督人员的监督之下，依据有关的法律制度和采购文件对评标结果进行复核，出具复核报告。存在下列情形之一的，招标采购单位应当根据情况书面建议评标委员会现场修改评标结果或者重新评标：</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3.10.1.1分值汇总计算错误的；</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3.10.1.2分项评分超出评分标准范围的；</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3.10.1.3评标委员会成员对客观评审因素评分不一致的；</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3.10.1.4经评标委员会认定评分畸高、畸低的。</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存在本条上述规定情形的，应当按照规定现场修改评标结果或者重新评审，并在评标报告中详细记载有关事宜；不采纳招标采购单位书面建议的，应当书面说明理由。招标采购单位书面建议未被评标委员会采纳的，应当按照规定程序要求继续组织实施采购活动，不得擅自中止采购活动。</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3.10.2有下列情形之一的，不得修改评标结果或者重新评标：</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3.10.2.1评标委员会已经出具评标报告并且离开评标现场的；</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3.10.2.2招标采购单位现场复核时，复核工作人员数量不足的；</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3.10.2.3招标采购单位现场复核时，没有采购监督人员现场监督的；</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3.10.2.4招标采购单位现场复核内容超出规定范围的；</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3.10.2.5招标采购单位未提供书面建议的。 </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3.11. 评标细则及标准</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3.11.1 本次综合评分的因素是：详见“综合评分明细表”。</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3.11.2 评标委员会成员应当根据自身专业情况对每个有效投标人的投标文件进行独立评分，加权汇总每项评分因素的得分，得出每个有效投标人的总分。技术类评分因素由技术方面评标委员会成员独立评分。经济类评分因素由经济方面评标委员会成员独立评分。政策合同类的评分因素由法律方面评标委员会成员独立评分。招标人代表原则上对技术类评分因素独立评分。价格和其他不能明确区分的评分因素由评标委员会成员共同评分。</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3.11.3 综合评分明细表</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3.11.3.1 综合评分明细表的制定以科学合理、降低评委会自由裁量权为原则。</w:t>
      </w:r>
    </w:p>
    <w:p>
      <w:pPr>
        <w:spacing w:line="240" w:lineRule="auto"/>
        <w:ind w:firstLine="504" w:firstLineChars="200"/>
        <w:rPr>
          <w:rFonts w:ascii="宋体" w:hAnsi="宋体" w:eastAsia="宋体" w:cs="宋体"/>
          <w:color w:val="auto"/>
          <w:spacing w:val="6"/>
          <w:sz w:val="23"/>
          <w:szCs w:val="23"/>
          <w:highlight w:val="none"/>
        </w:rPr>
      </w:pPr>
      <w:r>
        <w:rPr>
          <w:rFonts w:hint="eastAsia" w:ascii="宋体" w:hAnsi="宋体" w:eastAsia="宋体" w:cs="宋体"/>
          <w:color w:val="auto"/>
          <w:spacing w:val="6"/>
          <w:sz w:val="24"/>
          <w:szCs w:val="24"/>
          <w:highlight w:val="none"/>
        </w:rPr>
        <w:t>3.11.3.2 综合评分明细表</w:t>
      </w:r>
    </w:p>
    <w:p>
      <w:pPr>
        <w:spacing w:line="240" w:lineRule="auto"/>
        <w:rPr>
          <w:color w:val="auto"/>
          <w:sz w:val="2"/>
          <w:highlight w:val="none"/>
        </w:rPr>
      </w:pPr>
    </w:p>
    <w:p>
      <w:pPr>
        <w:spacing w:line="240" w:lineRule="auto"/>
        <w:rPr>
          <w:rFonts w:ascii="宋体" w:hAnsi="宋体" w:eastAsia="宋体" w:cs="宋体"/>
          <w:b/>
          <w:bCs/>
          <w:color w:val="auto"/>
          <w:spacing w:val="6"/>
          <w:sz w:val="28"/>
          <w:szCs w:val="28"/>
          <w:highlight w:val="none"/>
        </w:rPr>
      </w:pPr>
      <w:r>
        <w:rPr>
          <w:rFonts w:ascii="宋体" w:hAnsi="宋体" w:eastAsia="宋体" w:cs="宋体"/>
          <w:b/>
          <w:bCs/>
          <w:color w:val="auto"/>
          <w:spacing w:val="6"/>
          <w:sz w:val="28"/>
          <w:szCs w:val="28"/>
          <w:highlight w:val="none"/>
        </w:rPr>
        <w:br w:type="page"/>
      </w:r>
    </w:p>
    <w:p>
      <w:pPr>
        <w:pStyle w:val="2"/>
        <w:spacing w:line="240" w:lineRule="auto"/>
        <w:rPr>
          <w:color w:val="auto"/>
          <w:highlight w:val="none"/>
        </w:rPr>
      </w:pPr>
    </w:p>
    <w:p>
      <w:pPr>
        <w:spacing w:line="240" w:lineRule="auto"/>
        <w:ind w:firstLine="586" w:firstLineChars="200"/>
        <w:jc w:val="center"/>
        <w:outlineLvl w:val="9"/>
        <w:rPr>
          <w:rFonts w:ascii="宋体" w:hAnsi="宋体" w:eastAsia="宋体" w:cs="宋体"/>
          <w:b/>
          <w:bCs/>
          <w:color w:val="auto"/>
          <w:spacing w:val="6"/>
          <w:sz w:val="28"/>
          <w:szCs w:val="28"/>
          <w:highlight w:val="none"/>
        </w:rPr>
      </w:pPr>
      <w:bookmarkStart w:id="183" w:name="_Toc13872"/>
      <w:bookmarkStart w:id="184" w:name="_Toc22288"/>
      <w:r>
        <w:rPr>
          <w:rFonts w:hint="eastAsia" w:ascii="宋体" w:hAnsi="宋体" w:eastAsia="宋体" w:cs="宋体"/>
          <w:b/>
          <w:bCs/>
          <w:color w:val="auto"/>
          <w:spacing w:val="6"/>
          <w:sz w:val="28"/>
          <w:szCs w:val="28"/>
          <w:highlight w:val="none"/>
        </w:rPr>
        <w:t xml:space="preserve">   综合评分明细表</w:t>
      </w:r>
      <w:bookmarkEnd w:id="183"/>
      <w:bookmarkEnd w:id="184"/>
    </w:p>
    <w:tbl>
      <w:tblPr>
        <w:tblStyle w:val="18"/>
        <w:tblW w:w="0" w:type="auto"/>
        <w:jc w:val="center"/>
        <w:tblLayout w:type="fixed"/>
        <w:tblCellMar>
          <w:top w:w="0" w:type="dxa"/>
          <w:left w:w="108" w:type="dxa"/>
          <w:bottom w:w="0" w:type="dxa"/>
          <w:right w:w="108" w:type="dxa"/>
        </w:tblCellMar>
      </w:tblPr>
      <w:tblGrid>
        <w:gridCol w:w="813"/>
        <w:gridCol w:w="1071"/>
        <w:gridCol w:w="815"/>
        <w:gridCol w:w="5231"/>
        <w:gridCol w:w="1002"/>
      </w:tblGrid>
      <w:tr>
        <w:tblPrEx>
          <w:tblCellMar>
            <w:top w:w="0" w:type="dxa"/>
            <w:left w:w="108" w:type="dxa"/>
            <w:bottom w:w="0" w:type="dxa"/>
            <w:right w:w="108" w:type="dxa"/>
          </w:tblCellMar>
        </w:tblPrEx>
        <w:trPr>
          <w:trHeight w:val="684" w:hRule="atLeast"/>
          <w:jc w:val="center"/>
        </w:trPr>
        <w:tc>
          <w:tcPr>
            <w:tcW w:w="8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ind w:firstLine="28"/>
              <w:jc w:val="center"/>
              <w:rPr>
                <w:rFonts w:hint="eastAsia" w:ascii="宋体" w:hAnsi="宋体" w:eastAsia="宋体" w:cs="宋体"/>
                <w:b/>
                <w:color w:val="auto"/>
                <w:sz w:val="24"/>
                <w:szCs w:val="24"/>
                <w:highlight w:val="none"/>
              </w:rPr>
            </w:pPr>
            <w:bookmarkStart w:id="185" w:name="_Toc1463"/>
            <w:r>
              <w:rPr>
                <w:rFonts w:hint="eastAsia" w:ascii="宋体" w:hAnsi="宋体" w:eastAsia="宋体" w:cs="宋体"/>
                <w:b/>
                <w:color w:val="auto"/>
                <w:sz w:val="24"/>
                <w:szCs w:val="24"/>
                <w:highlight w:val="none"/>
              </w:rPr>
              <w:t>序号</w:t>
            </w:r>
          </w:p>
        </w:tc>
        <w:tc>
          <w:tcPr>
            <w:tcW w:w="107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ind w:firstLine="2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w:t>
            </w:r>
          </w:p>
          <w:p>
            <w:pPr>
              <w:autoSpaceDN w:val="0"/>
              <w:spacing w:line="400" w:lineRule="exact"/>
              <w:ind w:firstLine="2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因素</w:t>
            </w:r>
          </w:p>
        </w:tc>
        <w:tc>
          <w:tcPr>
            <w:tcW w:w="815"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ind w:firstLine="2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权重分值</w:t>
            </w:r>
          </w:p>
        </w:tc>
        <w:tc>
          <w:tcPr>
            <w:tcW w:w="523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ind w:firstLine="2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c>
          <w:tcPr>
            <w:tcW w:w="1002" w:type="dxa"/>
            <w:tcBorders>
              <w:top w:val="single" w:color="000000" w:sz="4" w:space="0"/>
              <w:bottom w:val="single" w:color="000000" w:sz="4" w:space="0"/>
              <w:right w:val="single" w:color="000000" w:sz="4" w:space="0"/>
            </w:tcBorders>
            <w:noWrap w:val="0"/>
            <w:vAlign w:val="center"/>
          </w:tcPr>
          <w:p>
            <w:pPr>
              <w:autoSpaceDN w:val="0"/>
              <w:spacing w:line="400" w:lineRule="exact"/>
              <w:ind w:firstLine="2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tblPrEx>
          <w:tblCellMar>
            <w:top w:w="0" w:type="dxa"/>
            <w:left w:w="108" w:type="dxa"/>
            <w:bottom w:w="0" w:type="dxa"/>
            <w:right w:w="108" w:type="dxa"/>
          </w:tblCellMar>
        </w:tblPrEx>
        <w:trPr>
          <w:trHeight w:val="350" w:hRule="atLeast"/>
          <w:jc w:val="center"/>
        </w:trPr>
        <w:tc>
          <w:tcPr>
            <w:tcW w:w="8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7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报价（30%）</w:t>
            </w:r>
          </w:p>
        </w:tc>
        <w:tc>
          <w:tcPr>
            <w:tcW w:w="815"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30</w:t>
            </w:r>
            <w:r>
              <w:rPr>
                <w:rFonts w:hint="eastAsia" w:ascii="宋体" w:hAnsi="宋体" w:eastAsia="宋体" w:cs="宋体"/>
                <w:color w:val="auto"/>
                <w:sz w:val="24"/>
                <w:szCs w:val="24"/>
                <w:highlight w:val="none"/>
              </w:rPr>
              <w:t>分</w:t>
            </w:r>
          </w:p>
        </w:tc>
        <w:tc>
          <w:tcPr>
            <w:tcW w:w="523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1.通过资格性审查和符合性审查的投标人，且投标报价最低的投标报价为评审基准价，其价格分为满分。其他投标人的价格分统一按照下列公式计算：报价得分=(评审基准价／投标报价)×</w:t>
            </w:r>
            <w:r>
              <w:rPr>
                <w:rFonts w:hint="eastAsia" w:ascii="宋体" w:hAnsi="宋体" w:eastAsia="宋体" w:cs="宋体"/>
                <w:color w:val="auto"/>
                <w:sz w:val="24"/>
                <w:szCs w:val="24"/>
                <w:highlight w:val="none"/>
                <w:lang w:val="en-US"/>
              </w:rPr>
              <w:t>30</w:t>
            </w:r>
            <w:r>
              <w:rPr>
                <w:rFonts w:hint="eastAsia" w:ascii="宋体" w:hAnsi="宋体" w:eastAsia="宋体" w:cs="宋体"/>
                <w:color w:val="auto"/>
                <w:sz w:val="24"/>
                <w:szCs w:val="24"/>
                <w:highlight w:val="none"/>
              </w:rPr>
              <w:t>×100%。</w:t>
            </w:r>
          </w:p>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2.投标报价高于本项目单价最高限价的为无效报价。</w:t>
            </w:r>
          </w:p>
          <w:p>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3.计算结果四舍五入到小数点后2位。</w:t>
            </w:r>
          </w:p>
        </w:tc>
        <w:tc>
          <w:tcPr>
            <w:tcW w:w="1002" w:type="dxa"/>
            <w:tcBorders>
              <w:top w:val="single" w:color="000000" w:sz="4" w:space="0"/>
              <w:bottom w:val="single" w:color="000000" w:sz="4" w:space="0"/>
              <w:right w:val="single" w:color="000000" w:sz="4" w:space="0"/>
            </w:tcBorders>
            <w:noWrap w:val="0"/>
            <w:vAlign w:val="center"/>
          </w:tcPr>
          <w:p>
            <w:pPr>
              <w:autoSpaceDN w:val="0"/>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350" w:hRule="atLeast"/>
          <w:jc w:val="center"/>
        </w:trPr>
        <w:tc>
          <w:tcPr>
            <w:tcW w:w="8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07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技术参数响应性得分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w:t>
            </w:r>
          </w:p>
        </w:tc>
        <w:tc>
          <w:tcPr>
            <w:tcW w:w="815"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20分</w:t>
            </w:r>
          </w:p>
        </w:tc>
        <w:tc>
          <w:tcPr>
            <w:tcW w:w="523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rPr>
              <w:t>投标的产品满足技术参数及要求中非实质性要求（未加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号）</w:t>
            </w:r>
            <w:r>
              <w:rPr>
                <w:rFonts w:hint="eastAsia" w:ascii="宋体" w:hAnsi="宋体" w:eastAsia="宋体" w:cs="宋体"/>
                <w:color w:val="auto"/>
                <w:kern w:val="2"/>
                <w:sz w:val="24"/>
                <w:szCs w:val="24"/>
                <w:highlight w:val="none"/>
                <w:lang w:val="en-US" w:eastAsia="zh-CN"/>
              </w:rPr>
              <w:t>的得20分，每有一项不满足的扣2.5分，直至20分扣完为止。</w:t>
            </w:r>
          </w:p>
        </w:tc>
        <w:tc>
          <w:tcPr>
            <w:tcW w:w="1002" w:type="dxa"/>
            <w:tcBorders>
              <w:top w:val="single" w:color="000000" w:sz="4" w:space="0"/>
              <w:bottom w:val="single" w:color="000000" w:sz="4" w:space="0"/>
              <w:right w:val="single" w:color="000000" w:sz="4" w:space="0"/>
            </w:tcBorders>
            <w:noWrap w:val="0"/>
            <w:vAlign w:val="center"/>
          </w:tcPr>
          <w:p>
            <w:pPr>
              <w:autoSpaceDN w:val="0"/>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350" w:hRule="atLeast"/>
          <w:jc w:val="center"/>
        </w:trPr>
        <w:tc>
          <w:tcPr>
            <w:tcW w:w="8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107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p>
        </w:tc>
        <w:tc>
          <w:tcPr>
            <w:tcW w:w="815"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523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年1月1日（含1日）以来每有一个服装供应业绩的得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分，本项最多得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pPr>
              <w:spacing w:line="400" w:lineRule="exac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说明：提供完整版合同</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中标（成交）通知书复印件</w:t>
            </w:r>
            <w:r>
              <w:rPr>
                <w:rFonts w:hint="eastAsia" w:ascii="宋体" w:hAnsi="宋体" w:eastAsia="宋体" w:cs="宋体"/>
                <w:color w:val="auto"/>
                <w:sz w:val="24"/>
                <w:szCs w:val="24"/>
                <w:highlight w:val="none"/>
                <w:lang w:val="en-US" w:eastAsia="zh-CN"/>
              </w:rPr>
              <w:t>并加盖投标人公章</w:t>
            </w:r>
            <w:r>
              <w:rPr>
                <w:rFonts w:hint="eastAsia" w:ascii="宋体" w:hAnsi="宋体" w:eastAsia="宋体" w:cs="宋体"/>
                <w:color w:val="auto"/>
                <w:sz w:val="24"/>
                <w:szCs w:val="24"/>
                <w:highlight w:val="none"/>
              </w:rPr>
              <w:t>。</w:t>
            </w:r>
          </w:p>
        </w:tc>
        <w:tc>
          <w:tcPr>
            <w:tcW w:w="1002" w:type="dxa"/>
            <w:tcBorders>
              <w:top w:val="single" w:color="000000" w:sz="4" w:space="0"/>
              <w:bottom w:val="single" w:color="000000" w:sz="4" w:space="0"/>
              <w:right w:val="single" w:color="000000" w:sz="4" w:space="0"/>
            </w:tcBorders>
            <w:noWrap w:val="0"/>
            <w:vAlign w:val="center"/>
          </w:tcPr>
          <w:p>
            <w:pPr>
              <w:autoSpaceDN w:val="0"/>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350" w:hRule="atLeast"/>
          <w:jc w:val="center"/>
        </w:trPr>
        <w:tc>
          <w:tcPr>
            <w:tcW w:w="8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107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w:t>
            </w:r>
          </w:p>
        </w:tc>
        <w:tc>
          <w:tcPr>
            <w:tcW w:w="815"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分</w:t>
            </w:r>
          </w:p>
        </w:tc>
        <w:tc>
          <w:tcPr>
            <w:tcW w:w="523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1.根据投标人制定的项目实施方案进行综合评审，方案包含备货、配送、质量保证措施、应急措施的得</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分。在此基础上，</w:t>
            </w:r>
          </w:p>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每缺少一项内容或每有一项内容存在缺陷的扣</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分扣完为止。</w:t>
            </w:r>
          </w:p>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2.根据投标人制定的售后服务方案进行综合评审，方案包含服务人员配置、响应时间、响应方式、</w:t>
            </w:r>
            <w:r>
              <w:rPr>
                <w:rFonts w:hint="eastAsia" w:ascii="宋体" w:hAnsi="宋体" w:eastAsia="宋体" w:cs="宋体"/>
                <w:color w:val="auto"/>
                <w:sz w:val="24"/>
                <w:szCs w:val="24"/>
                <w:highlight w:val="none"/>
                <w:lang w:val="en-US" w:eastAsia="zh-CN"/>
              </w:rPr>
              <w:t>售后服务期</w:t>
            </w:r>
            <w:r>
              <w:rPr>
                <w:rFonts w:hint="eastAsia" w:ascii="宋体" w:hAnsi="宋体" w:eastAsia="宋体" w:cs="宋体"/>
                <w:color w:val="auto"/>
                <w:sz w:val="24"/>
                <w:szCs w:val="24"/>
                <w:highlight w:val="none"/>
              </w:rPr>
              <w:t>内的维护措施的得</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分。在此基础上，每缺少一项内容或每有一项内容存在缺陷的扣</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分， </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分扣完为止。</w:t>
            </w:r>
          </w:p>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说明：内容存在缺陷是指内容与项目无关或与项目不匹配或项目名称、涉及的规范、技术服务标准要求与本项目不一致等情形</w:t>
            </w:r>
            <w:r>
              <w:rPr>
                <w:rFonts w:hint="eastAsia" w:ascii="宋体" w:hAnsi="宋体" w:eastAsia="宋体" w:cs="宋体"/>
                <w:color w:val="auto"/>
                <w:sz w:val="24"/>
                <w:szCs w:val="24"/>
                <w:highlight w:val="none"/>
                <w:lang w:eastAsia="zh-CN"/>
              </w:rPr>
              <w:t>。</w:t>
            </w:r>
          </w:p>
        </w:tc>
        <w:tc>
          <w:tcPr>
            <w:tcW w:w="1002" w:type="dxa"/>
            <w:tcBorders>
              <w:top w:val="single" w:color="000000" w:sz="4" w:space="0"/>
              <w:bottom w:val="single" w:color="000000" w:sz="4" w:space="0"/>
              <w:right w:val="single" w:color="000000" w:sz="4" w:space="0"/>
            </w:tcBorders>
            <w:noWrap w:val="0"/>
            <w:vAlign w:val="center"/>
          </w:tcPr>
          <w:p>
            <w:pPr>
              <w:autoSpaceDN w:val="0"/>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1228" w:hRule="atLeast"/>
          <w:jc w:val="center"/>
        </w:trPr>
        <w:tc>
          <w:tcPr>
            <w:tcW w:w="8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107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样品（</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w:t>
            </w:r>
          </w:p>
        </w:tc>
        <w:tc>
          <w:tcPr>
            <w:tcW w:w="815"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分</w:t>
            </w:r>
          </w:p>
        </w:tc>
        <w:tc>
          <w:tcPr>
            <w:tcW w:w="523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djustRightInd w:val="0"/>
              <w:snapToGrid w:val="0"/>
              <w:spacing w:line="4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rPr>
              <w:t>投标人应提供样品一套</w:t>
            </w:r>
            <w:r>
              <w:rPr>
                <w:rFonts w:hint="eastAsia" w:ascii="宋体" w:hAnsi="宋体" w:eastAsia="宋体" w:cs="宋体"/>
                <w:color w:val="auto"/>
                <w:kern w:val="2"/>
                <w:sz w:val="24"/>
                <w:szCs w:val="24"/>
                <w:highlight w:val="none"/>
              </w:rPr>
              <w:t>实物样品</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包括①</w:t>
            </w:r>
            <w:r>
              <w:rPr>
                <w:rFonts w:hint="eastAsia" w:ascii="宋体" w:hAnsi="宋体" w:eastAsia="宋体" w:cs="宋体"/>
                <w:color w:val="auto"/>
                <w:sz w:val="24"/>
                <w:szCs w:val="24"/>
                <w:highlight w:val="none"/>
              </w:rPr>
              <w:t>迷彩帽1顶、长袖迷彩军训服1套（</w:t>
            </w: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rPr>
              <w:t>含上衣1件、</w:t>
            </w: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rPr>
              <w:t>下装1条）、</w:t>
            </w:r>
            <w:r>
              <w:rPr>
                <w:rFonts w:hint="eastAsia" w:ascii="宋体" w:hAnsi="宋体" w:eastAsia="宋体" w:cs="宋体"/>
                <w:color w:val="auto"/>
                <w:sz w:val="24"/>
                <w:szCs w:val="24"/>
                <w:highlight w:val="none"/>
                <w:lang w:val="en-US" w:eastAsia="zh-CN"/>
              </w:rPr>
              <w:t>④</w:t>
            </w:r>
            <w:r>
              <w:rPr>
                <w:rFonts w:hint="eastAsia" w:ascii="宋体" w:hAnsi="宋体" w:eastAsia="宋体" w:cs="宋体"/>
                <w:color w:val="auto"/>
                <w:sz w:val="24"/>
                <w:szCs w:val="24"/>
                <w:highlight w:val="none"/>
              </w:rPr>
              <w:t>迷彩T恤1件、</w:t>
            </w:r>
            <w:r>
              <w:rPr>
                <w:rFonts w:hint="eastAsia" w:ascii="宋体" w:hAnsi="宋体" w:eastAsia="宋体" w:cs="宋体"/>
                <w:color w:val="auto"/>
                <w:sz w:val="24"/>
                <w:szCs w:val="24"/>
                <w:highlight w:val="none"/>
                <w:lang w:val="en-US" w:eastAsia="zh-CN"/>
              </w:rPr>
              <w:t>⑤</w:t>
            </w:r>
            <w:r>
              <w:rPr>
                <w:rFonts w:hint="eastAsia" w:ascii="宋体" w:hAnsi="宋体" w:eastAsia="宋体" w:cs="宋体"/>
                <w:color w:val="auto"/>
                <w:sz w:val="24"/>
                <w:szCs w:val="24"/>
                <w:highlight w:val="none"/>
              </w:rPr>
              <w:t>编织外腰带1条、</w:t>
            </w:r>
            <w:r>
              <w:rPr>
                <w:rFonts w:hint="eastAsia" w:ascii="宋体" w:hAnsi="宋体" w:eastAsia="宋体" w:cs="宋体"/>
                <w:color w:val="auto"/>
                <w:sz w:val="24"/>
                <w:szCs w:val="24"/>
                <w:highlight w:val="none"/>
                <w:lang w:val="en-US" w:eastAsia="zh-CN"/>
              </w:rPr>
              <w:t>⑥</w:t>
            </w:r>
            <w:r>
              <w:rPr>
                <w:rFonts w:hint="eastAsia" w:ascii="宋体" w:hAnsi="宋体" w:eastAsia="宋体" w:cs="宋体"/>
                <w:color w:val="auto"/>
                <w:sz w:val="24"/>
                <w:szCs w:val="24"/>
                <w:highlight w:val="none"/>
              </w:rPr>
              <w:t>迷彩胶鞋1双、</w:t>
            </w:r>
            <w:r>
              <w:rPr>
                <w:rFonts w:hint="eastAsia" w:ascii="宋体" w:hAnsi="宋体" w:eastAsia="宋体" w:cs="宋体"/>
                <w:color w:val="auto"/>
                <w:sz w:val="24"/>
                <w:szCs w:val="24"/>
                <w:highlight w:val="none"/>
                <w:lang w:val="en-US" w:eastAsia="zh-CN"/>
              </w:rPr>
              <w:t>⑦</w:t>
            </w:r>
            <w:r>
              <w:rPr>
                <w:rFonts w:hint="eastAsia" w:ascii="宋体" w:hAnsi="宋体" w:eastAsia="宋体" w:cs="宋体"/>
                <w:color w:val="auto"/>
                <w:sz w:val="24"/>
                <w:szCs w:val="24"/>
                <w:highlight w:val="none"/>
              </w:rPr>
              <w:t>皮内腰带1条、</w:t>
            </w:r>
            <w:r>
              <w:rPr>
                <w:rFonts w:hint="eastAsia" w:ascii="宋体" w:hAnsi="宋体" w:eastAsia="宋体" w:cs="宋体"/>
                <w:color w:val="auto"/>
                <w:sz w:val="24"/>
                <w:szCs w:val="24"/>
                <w:highlight w:val="none"/>
                <w:lang w:val="en-US" w:eastAsia="zh-CN"/>
              </w:rPr>
              <w:t>⑧</w:t>
            </w:r>
            <w:r>
              <w:rPr>
                <w:rFonts w:hint="eastAsia" w:ascii="宋体" w:hAnsi="宋体" w:eastAsia="宋体" w:cs="宋体"/>
                <w:color w:val="auto"/>
                <w:sz w:val="24"/>
                <w:szCs w:val="24"/>
                <w:highlight w:val="none"/>
              </w:rPr>
              <w:t>肩章1副。</w:t>
            </w:r>
          </w:p>
          <w:p>
            <w:pPr>
              <w:adjustRightInd w:val="0"/>
              <w:snapToGrid w:val="0"/>
              <w:spacing w:line="400" w:lineRule="exact"/>
              <w:ind w:firstLine="240" w:firstLineChars="10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以上实物样品如每一个样品未提供或每有一个样品存在手感粗糙或走线不均匀、色泽不均匀、</w:t>
            </w:r>
            <w:r>
              <w:rPr>
                <w:rFonts w:hint="eastAsia" w:ascii="宋体" w:hAnsi="宋体" w:eastAsia="宋体" w:cs="宋体"/>
                <w:color w:val="auto"/>
                <w:kern w:val="2"/>
                <w:sz w:val="24"/>
                <w:szCs w:val="24"/>
                <w:highlight w:val="none"/>
              </w:rPr>
              <w:t>厚薄</w:t>
            </w:r>
            <w:r>
              <w:rPr>
                <w:rFonts w:hint="eastAsia" w:ascii="宋体" w:hAnsi="宋体" w:eastAsia="宋体" w:cs="宋体"/>
                <w:color w:val="auto"/>
                <w:kern w:val="2"/>
                <w:sz w:val="24"/>
                <w:szCs w:val="24"/>
                <w:highlight w:val="none"/>
                <w:lang w:val="en-US" w:eastAsia="zh-CN"/>
              </w:rPr>
              <w:t>不</w:t>
            </w:r>
            <w:r>
              <w:rPr>
                <w:rFonts w:hint="eastAsia" w:ascii="宋体" w:hAnsi="宋体" w:eastAsia="宋体" w:cs="宋体"/>
                <w:color w:val="auto"/>
                <w:kern w:val="2"/>
                <w:sz w:val="24"/>
                <w:szCs w:val="24"/>
                <w:highlight w:val="none"/>
              </w:rPr>
              <w:t>均匀</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有明显异味、有材料或工艺上的瑕疵，扣2分，</w:t>
            </w:r>
            <w:r>
              <w:rPr>
                <w:rFonts w:hint="eastAsia" w:ascii="宋体" w:hAnsi="宋体" w:eastAsia="宋体" w:cs="宋体"/>
                <w:color w:val="auto"/>
                <w:kern w:val="2"/>
                <w:sz w:val="24"/>
                <w:szCs w:val="24"/>
                <w:highlight w:val="none"/>
              </w:rPr>
              <w:t>扣完为止</w:t>
            </w:r>
            <w:r>
              <w:rPr>
                <w:rFonts w:hint="eastAsia" w:ascii="宋体" w:hAnsi="宋体" w:eastAsia="宋体" w:cs="宋体"/>
                <w:color w:val="auto"/>
                <w:kern w:val="2"/>
                <w:sz w:val="24"/>
                <w:szCs w:val="24"/>
                <w:highlight w:val="none"/>
                <w:lang w:eastAsia="zh-CN"/>
              </w:rPr>
              <w:t>。</w:t>
            </w:r>
          </w:p>
          <w:p>
            <w:pPr>
              <w:adjustRightInd w:val="0"/>
              <w:snapToGrid w:val="0"/>
              <w:spacing w:line="400" w:lineRule="exact"/>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rPr>
              <w:t>注：</w:t>
            </w:r>
            <w:r>
              <w:rPr>
                <w:rFonts w:hint="eastAsia" w:ascii="宋体" w:hAnsi="宋体" w:eastAsia="宋体" w:cs="宋体"/>
                <w:color w:val="auto"/>
                <w:sz w:val="24"/>
                <w:szCs w:val="24"/>
                <w:highlight w:val="none"/>
              </w:rPr>
              <w:t>1.投标人应在递交投标文件同时提交样品（军训服套装一套)。样品须在</w:t>
            </w: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文件</w:t>
            </w:r>
            <w:r>
              <w:rPr>
                <w:rFonts w:hint="eastAsia" w:ascii="宋体" w:hAnsi="宋体" w:eastAsia="宋体" w:cs="宋体"/>
                <w:color w:val="auto"/>
                <w:sz w:val="24"/>
                <w:szCs w:val="24"/>
                <w:highlight w:val="none"/>
              </w:rPr>
              <w:t>截止时间前送达，在</w:t>
            </w: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文件</w:t>
            </w:r>
            <w:r>
              <w:rPr>
                <w:rFonts w:hint="eastAsia" w:ascii="宋体" w:hAnsi="宋体" w:eastAsia="宋体" w:cs="宋体"/>
                <w:color w:val="auto"/>
                <w:sz w:val="24"/>
                <w:szCs w:val="24"/>
                <w:highlight w:val="none"/>
              </w:rPr>
              <w:t>截止时间后提交的样品，均将拒绝接收。</w:t>
            </w:r>
          </w:p>
          <w:p>
            <w:pPr>
              <w:adjustRightInd w:val="0"/>
              <w:snapToGrid w:val="0"/>
              <w:spacing w:line="400" w:lineRule="exact"/>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2.样品均为盲样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不封装</w:t>
            </w:r>
            <w:r>
              <w:rPr>
                <w:rFonts w:hint="eastAsia" w:ascii="宋体" w:hAnsi="宋体" w:eastAsia="宋体" w:cs="宋体"/>
                <w:color w:val="auto"/>
                <w:sz w:val="24"/>
                <w:szCs w:val="24"/>
                <w:highlight w:val="none"/>
              </w:rPr>
              <w:t>（不得具有标注投标人名称、</w:t>
            </w:r>
            <w:r>
              <w:rPr>
                <w:rFonts w:hint="eastAsia" w:ascii="宋体" w:hAnsi="宋体" w:eastAsia="宋体" w:cs="宋体"/>
                <w:color w:val="auto"/>
                <w:sz w:val="24"/>
                <w:szCs w:val="24"/>
                <w:highlight w:val="none"/>
                <w:lang w:val="en-US" w:eastAsia="zh-CN"/>
              </w:rPr>
              <w:t>产品品牌、生产厂家等的信息的</w:t>
            </w:r>
            <w:r>
              <w:rPr>
                <w:rFonts w:hint="eastAsia" w:ascii="宋体" w:hAnsi="宋体" w:eastAsia="宋体" w:cs="宋体"/>
                <w:color w:val="auto"/>
                <w:sz w:val="24"/>
                <w:szCs w:val="24"/>
                <w:highlight w:val="none"/>
              </w:rPr>
              <w:t>商标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背标、洗标</w:t>
            </w:r>
            <w:r>
              <w:rPr>
                <w:rFonts w:hint="eastAsia" w:ascii="宋体" w:hAnsi="宋体" w:eastAsia="宋体" w:cs="宋体"/>
                <w:color w:val="auto"/>
                <w:sz w:val="24"/>
                <w:szCs w:val="24"/>
                <w:highlight w:val="none"/>
              </w:rPr>
              <w:t>等）。</w:t>
            </w:r>
            <w:r>
              <w:rPr>
                <w:rFonts w:hint="eastAsia" w:ascii="宋体" w:hAnsi="宋体" w:eastAsia="宋体" w:cs="宋体"/>
                <w:color w:val="auto"/>
                <w:sz w:val="24"/>
                <w:szCs w:val="24"/>
                <w:highlight w:val="none"/>
                <w:lang w:val="en-US" w:eastAsia="zh-CN"/>
              </w:rPr>
              <w:t>如有任意样品上有投标人或产品品牌或生产厂家信息，样品全部不得分。</w:t>
            </w:r>
          </w:p>
          <w:p>
            <w:pPr>
              <w:adjustRightInd w:val="0"/>
              <w:snapToGrid w:val="0"/>
              <w:spacing w:line="400" w:lineRule="exact"/>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样品的设计、生产、运输费、保管费等一切费用由投标人自行承担。 </w:t>
            </w:r>
          </w:p>
          <w:p>
            <w:pPr>
              <w:adjustRightInd w:val="0"/>
              <w:snapToGrid w:val="0"/>
              <w:spacing w:line="4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.中标投标人样品封样留存，作为交货验收的依据。其他未中标投标人的样品在收到中标结果通知书后7个工作日内领回，逾期的将视为投标人放弃领回。代理机构有权对进行集中处置且不承担任何责任。</w:t>
            </w:r>
          </w:p>
        </w:tc>
        <w:tc>
          <w:tcPr>
            <w:tcW w:w="1002" w:type="dxa"/>
            <w:tcBorders>
              <w:top w:val="single" w:color="000000" w:sz="4" w:space="0"/>
              <w:bottom w:val="single" w:color="000000" w:sz="4" w:space="0"/>
              <w:right w:val="single" w:color="000000" w:sz="4" w:space="0"/>
            </w:tcBorders>
            <w:noWrap w:val="0"/>
            <w:vAlign w:val="center"/>
          </w:tcPr>
          <w:p>
            <w:pPr>
              <w:autoSpaceDN w:val="0"/>
              <w:rPr>
                <w:rFonts w:hint="eastAsia" w:ascii="宋体" w:hAnsi="宋体" w:eastAsia="宋体" w:cs="宋体"/>
                <w:color w:val="auto"/>
                <w:sz w:val="24"/>
                <w:szCs w:val="24"/>
                <w:highlight w:val="none"/>
              </w:rPr>
            </w:pPr>
          </w:p>
        </w:tc>
      </w:tr>
    </w:tbl>
    <w:p>
      <w:pPr>
        <w:spacing w:line="240" w:lineRule="auto"/>
        <w:ind w:firstLine="0" w:firstLineChars="0"/>
        <w:jc w:val="both"/>
        <w:rPr>
          <w:rFonts w:ascii="宋体" w:hAnsi="宋体" w:eastAsia="宋体" w:cs="宋体"/>
          <w:b/>
          <w:bCs/>
          <w:color w:val="auto"/>
          <w:spacing w:val="6"/>
          <w:sz w:val="28"/>
          <w:szCs w:val="28"/>
          <w:highlight w:val="none"/>
        </w:rPr>
      </w:pPr>
    </w:p>
    <w:bookmarkEnd w:id="185"/>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评分分值四舍五入，保留小数点后 2 位。</w:t>
      </w:r>
    </w:p>
    <w:p>
      <w:pPr>
        <w:spacing w:line="240" w:lineRule="auto"/>
        <w:ind w:firstLine="482" w:firstLineChars="200"/>
        <w:outlineLvl w:val="1"/>
        <w:rPr>
          <w:rFonts w:ascii="宋体" w:hAnsi="宋体" w:eastAsia="宋体" w:cs="宋体"/>
          <w:b/>
          <w:bCs/>
          <w:color w:val="auto"/>
          <w:sz w:val="24"/>
          <w:szCs w:val="24"/>
          <w:highlight w:val="none"/>
        </w:rPr>
      </w:pPr>
      <w:bookmarkStart w:id="186" w:name="_Toc32706"/>
      <w:bookmarkStart w:id="187" w:name="_Toc21587"/>
      <w:bookmarkStart w:id="188" w:name="_Toc20800"/>
      <w:r>
        <w:rPr>
          <w:rFonts w:hint="eastAsia" w:ascii="宋体" w:hAnsi="宋体" w:eastAsia="宋体" w:cs="宋体"/>
          <w:b/>
          <w:bCs/>
          <w:color w:val="auto"/>
          <w:sz w:val="24"/>
          <w:szCs w:val="24"/>
          <w:highlight w:val="none"/>
          <w:lang w:eastAsia="zh-CN"/>
        </w:rPr>
        <w:t>四、</w:t>
      </w:r>
      <w:r>
        <w:rPr>
          <w:rFonts w:hint="eastAsia" w:ascii="宋体" w:hAnsi="宋体" w:eastAsia="宋体" w:cs="宋体"/>
          <w:b/>
          <w:bCs/>
          <w:color w:val="auto"/>
          <w:sz w:val="24"/>
          <w:szCs w:val="24"/>
          <w:highlight w:val="none"/>
        </w:rPr>
        <w:t>废 标</w:t>
      </w:r>
      <w:bookmarkEnd w:id="186"/>
      <w:bookmarkEnd w:id="187"/>
      <w:bookmarkEnd w:id="188"/>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4.1 本次采购活动中，出现下列情形之一的，予以废标：</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4.1.1 符合专业条件的投标人或者对招标文件作实质响应的投标人不足三家的；</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4.1.2 出现影响采购公正的违法、违规行为的；</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4.1.3 投标人的报价均超过了采购预算，招标人不能支付的；</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4.1.4 因重大变故，采购任务取消的。</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废标后，招标代理机构应在中国招标投标公共服务平台（http://www.cebpubservice.com/）上公告，并公告废标的情形。投标人需要知晓导致废标情形的具体原因和理由的，可以通过书面形式询问招标采购单位。</w:t>
      </w:r>
    </w:p>
    <w:p>
      <w:pPr>
        <w:spacing w:line="240" w:lineRule="auto"/>
        <w:ind w:firstLine="504" w:firstLineChars="200"/>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4.2 对于评标过程中废标的采购项目，评标委员会应当对招标文件是否存在倾向性和歧视性、是否存在不合理条款进行论证，并出具书面论证意见。</w:t>
      </w:r>
    </w:p>
    <w:p>
      <w:pPr>
        <w:spacing w:line="240" w:lineRule="auto"/>
        <w:ind w:firstLine="482" w:firstLineChars="200"/>
        <w:outlineLvl w:val="1"/>
        <w:rPr>
          <w:rFonts w:ascii="宋体" w:hAnsi="宋体" w:eastAsia="宋体" w:cs="宋体"/>
          <w:b/>
          <w:bCs/>
          <w:color w:val="auto"/>
          <w:sz w:val="24"/>
          <w:szCs w:val="24"/>
          <w:highlight w:val="none"/>
        </w:rPr>
      </w:pPr>
      <w:bookmarkStart w:id="189" w:name="_Toc32237"/>
      <w:bookmarkStart w:id="190" w:name="_Toc31158"/>
      <w:bookmarkStart w:id="191" w:name="_Toc20868"/>
      <w:r>
        <w:rPr>
          <w:rFonts w:hint="eastAsia" w:ascii="宋体" w:hAnsi="宋体" w:eastAsia="宋体" w:cs="宋体"/>
          <w:b/>
          <w:bCs/>
          <w:color w:val="auto"/>
          <w:sz w:val="24"/>
          <w:szCs w:val="24"/>
          <w:highlight w:val="none"/>
          <w:lang w:eastAsia="zh-CN"/>
        </w:rPr>
        <w:t>五、</w:t>
      </w:r>
      <w:r>
        <w:rPr>
          <w:rFonts w:hint="eastAsia" w:ascii="宋体" w:hAnsi="宋体" w:eastAsia="宋体" w:cs="宋体"/>
          <w:b/>
          <w:bCs/>
          <w:color w:val="auto"/>
          <w:sz w:val="24"/>
          <w:szCs w:val="24"/>
          <w:highlight w:val="none"/>
        </w:rPr>
        <w:t>定标</w:t>
      </w:r>
      <w:bookmarkEnd w:id="189"/>
      <w:bookmarkEnd w:id="190"/>
      <w:bookmarkEnd w:id="191"/>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5.1. 定标原则：</w:t>
      </w:r>
    </w:p>
    <w:p>
      <w:pPr>
        <w:spacing w:line="240" w:lineRule="auto"/>
        <w:ind w:left="479" w:leftChars="228" w:firstLine="0" w:firstLineChars="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方式一：招标人将按评标委员会推荐的中标候选人名单，按顺序确定中标人。方式二：招标人授权评标委员会直接确定中标人。</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定标原则：本项目采用</w:t>
      </w:r>
      <w:r>
        <w:rPr>
          <w:rFonts w:hint="eastAsia" w:ascii="宋体" w:hAnsi="宋体" w:eastAsia="宋体" w:cs="宋体"/>
          <w:b/>
          <w:bCs/>
          <w:color w:val="auto"/>
          <w:spacing w:val="6"/>
          <w:sz w:val="24"/>
          <w:szCs w:val="24"/>
          <w:highlight w:val="none"/>
          <w:u w:val="single"/>
        </w:rPr>
        <w:t>方式一</w:t>
      </w:r>
      <w:r>
        <w:rPr>
          <w:rFonts w:hint="eastAsia" w:ascii="宋体" w:hAnsi="宋体" w:eastAsia="宋体" w:cs="宋体"/>
          <w:color w:val="auto"/>
          <w:spacing w:val="6"/>
          <w:sz w:val="24"/>
          <w:szCs w:val="24"/>
          <w:highlight w:val="none"/>
        </w:rPr>
        <w:t>确定中标人。</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5.2. 定标程序</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5.2.1 评标委员会将评标情况写出书面报告，推荐三名中标候选人。</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5.2.2 招标代理机构在评标结束后2个工作日内将评标报告送招标人。</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5.2.3 招标人在收到评标报告后5个工作日内按照评标报告中推荐的中标候选人顺序确定中标人。</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候选人；报价相同且满足招标文件全部实质性要求且按照评审因素的量化指标评审得分也相同的并列，优先选择不发达地区或少数民族地区或脱贫攻坚地区的投标人；报价相同且满足招标文件全部实质性要求且按照评审因素的量化指标评审得分也相同无投标人属于不发达地区或少数民族地区或脱贫攻坚地区的或投标人均属于不发达地区或少数民族地区或脱贫攻坚地区的并列，由招标人自主采取公平、择优的方式选择中标候选人。(不发达地区或脱贫攻坚地区的投标人需提供属于不发达地区或脱贫攻坚的相关证明材料，少数民族地区提供相关证明材料或投标人注册地为少数民族地区。)</w:t>
      </w:r>
    </w:p>
    <w:p>
      <w:pPr>
        <w:spacing w:line="24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注意，招标人按照推荐的中标候选人顺序确定中标人，不能认为招标人只能确定第一中标候选人为中标人，招标人有正当理由的，可以确定后一顺序中标候选人为中标人，</w:t>
      </w:r>
      <w:r>
        <w:rPr>
          <w:rFonts w:hint="eastAsia" w:ascii="宋体" w:hAnsi="宋体" w:eastAsia="宋体" w:cs="宋体"/>
          <w:b/>
          <w:bCs/>
          <w:color w:val="auto"/>
          <w:sz w:val="24"/>
          <w:szCs w:val="24"/>
          <w:highlight w:val="none"/>
          <w:lang w:eastAsia="zh-CN"/>
        </w:rPr>
        <w:t>依此类推</w:t>
      </w:r>
      <w:r>
        <w:rPr>
          <w:rFonts w:hint="eastAsia" w:ascii="宋体" w:hAnsi="宋体" w:eastAsia="宋体" w:cs="宋体"/>
          <w:b/>
          <w:bCs/>
          <w:color w:val="auto"/>
          <w:sz w:val="24"/>
          <w:szCs w:val="24"/>
          <w:highlight w:val="none"/>
        </w:rPr>
        <w:t>。</w:t>
      </w:r>
    </w:p>
    <w:p>
      <w:pPr>
        <w:spacing w:line="24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招标人在收到评审报告之日起5个工作日内未按评标报告推荐的中标候选人顺序确定中标人，又不能说明合法理由的，视同按评审报告推荐的顺序确定排名第一的中标候选人为中标人。</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5.2.4 招标代理机构自中标人确定之日起2个工作日内，在中国招标投标公共服务平台（http://www.cebpubservice.com/）上公告中标结果。</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5.2.5 招标采购单位不退回投标人投标文件和其他投标资料。</w:t>
      </w:r>
    </w:p>
    <w:p>
      <w:pPr>
        <w:spacing w:line="240" w:lineRule="auto"/>
        <w:ind w:firstLine="482" w:firstLineChars="200"/>
        <w:outlineLvl w:val="1"/>
        <w:rPr>
          <w:rFonts w:ascii="宋体" w:hAnsi="宋体" w:eastAsia="宋体" w:cs="宋体"/>
          <w:b/>
          <w:bCs/>
          <w:color w:val="auto"/>
          <w:sz w:val="24"/>
          <w:szCs w:val="24"/>
          <w:highlight w:val="none"/>
        </w:rPr>
      </w:pPr>
      <w:bookmarkStart w:id="192" w:name="_Toc31384"/>
      <w:bookmarkStart w:id="193" w:name="_Toc29395"/>
      <w:bookmarkStart w:id="194" w:name="_Toc30005"/>
      <w:r>
        <w:rPr>
          <w:rFonts w:hint="eastAsia" w:ascii="宋体" w:hAnsi="宋体" w:eastAsia="宋体" w:cs="宋体"/>
          <w:b/>
          <w:bCs/>
          <w:color w:val="auto"/>
          <w:sz w:val="24"/>
          <w:szCs w:val="24"/>
          <w:highlight w:val="none"/>
          <w:lang w:eastAsia="zh-CN"/>
        </w:rPr>
        <w:t>六、</w:t>
      </w:r>
      <w:r>
        <w:rPr>
          <w:rFonts w:hint="eastAsia" w:ascii="宋体" w:hAnsi="宋体" w:eastAsia="宋体" w:cs="宋体"/>
          <w:b/>
          <w:bCs/>
          <w:color w:val="auto"/>
          <w:sz w:val="24"/>
          <w:szCs w:val="24"/>
          <w:highlight w:val="none"/>
        </w:rPr>
        <w:t>评标专家在采购活动中承担以下义务：</w:t>
      </w:r>
      <w:bookmarkEnd w:id="192"/>
      <w:bookmarkEnd w:id="193"/>
      <w:bookmarkEnd w:id="194"/>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6.1 遵守评审工作纪律；</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6.2 按照客观、公正、审慎的原则，根据采购文件规定的评审程序、评审方法和评审标准进行独立评审；</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6.3 不得泄露评审文件、评审情况和在评审过程中获悉的商业秘密；</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6.4 及时向监督部门报告评审过程中采购组织单位向评审专家做倾向性、误导性的解释或者说明，供应商行贿、提供虚假材料或者串通、受到的非法干预情况等违法违规行为；</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6.5 发现采购文件内容违反国家有关强制性规定或者存在歧义、重大缺陷导致评审工作无法进行时，停止评审并向采购组织单位书面说明情况；</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6.6 配合答复处理供应商的询问、质疑和投诉等事项；</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6.7 法律、法规和规章规定的其他义务。</w:t>
      </w:r>
    </w:p>
    <w:p>
      <w:pPr>
        <w:spacing w:line="240" w:lineRule="auto"/>
        <w:ind w:firstLine="482" w:firstLineChars="200"/>
        <w:outlineLvl w:val="1"/>
        <w:rPr>
          <w:rFonts w:ascii="宋体" w:hAnsi="宋体" w:eastAsia="宋体" w:cs="宋体"/>
          <w:b/>
          <w:bCs/>
          <w:color w:val="auto"/>
          <w:sz w:val="24"/>
          <w:szCs w:val="24"/>
          <w:highlight w:val="none"/>
        </w:rPr>
      </w:pPr>
      <w:bookmarkStart w:id="195" w:name="_Toc2497"/>
      <w:bookmarkStart w:id="196" w:name="_Toc5511"/>
      <w:bookmarkStart w:id="197" w:name="_Toc13558"/>
      <w:r>
        <w:rPr>
          <w:rFonts w:hint="eastAsia" w:ascii="宋体" w:hAnsi="宋体" w:eastAsia="宋体" w:cs="宋体"/>
          <w:b/>
          <w:bCs/>
          <w:color w:val="auto"/>
          <w:sz w:val="24"/>
          <w:szCs w:val="24"/>
          <w:highlight w:val="none"/>
          <w:lang w:eastAsia="zh-CN"/>
        </w:rPr>
        <w:t>七、</w:t>
      </w:r>
      <w:r>
        <w:rPr>
          <w:rFonts w:hint="eastAsia" w:ascii="宋体" w:hAnsi="宋体" w:eastAsia="宋体" w:cs="宋体"/>
          <w:b/>
          <w:bCs/>
          <w:color w:val="auto"/>
          <w:sz w:val="24"/>
          <w:szCs w:val="24"/>
          <w:highlight w:val="none"/>
        </w:rPr>
        <w:t>评标专家在采购活动中应当遵守以下工作纪律：</w:t>
      </w:r>
      <w:bookmarkEnd w:id="195"/>
      <w:bookmarkEnd w:id="196"/>
      <w:bookmarkEnd w:id="197"/>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7.1 遵行《中华人民共和国政府采购法》第十二条和《中华人民共和国政府采购法实施条例》第九条及财政部关于回避的规定。</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7.2 评标前，应当将通讯工具或者相关电子设备交由招标采购单位统一保管。</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7.3 评标过程中，不得与外界联系，因发生不可预见情况，确实需要与外界联系的，应当在监督人员监督之下办理。</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7.4 评标过程中，不得干预或者影响正常评标工作，不得发表倾向性、引导性意见，不得修改或细化招标文件确定的评标程序、评标方法、评标因素和评标标准，不得接受供应商主动提出的澄清和解释，不得征询招标人代表的意见，不得协商评分，不得违反规定的评标格式评分和撰写评标意见，不得拒绝对自己的 评标意见签字确认。</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7.5 在评标过程中和评标结束后，不得记录、复制或带走任何评标资料，除因规定的义务外，不得向外界透露评标内容。</w:t>
      </w:r>
    </w:p>
    <w:p>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7.6 服从评标现场招标采购单位的现场秩序管理，接受评标现场监督人员的合法监督。</w:t>
      </w:r>
    </w:p>
    <w:p>
      <w:pPr>
        <w:spacing w:line="240" w:lineRule="auto"/>
        <w:ind w:firstLine="504" w:firstLineChars="200"/>
        <w:rPr>
          <w:rFonts w:ascii="宋体" w:hAnsi="宋体" w:eastAsia="宋体" w:cs="宋体"/>
          <w:color w:val="auto"/>
          <w:spacing w:val="6"/>
          <w:sz w:val="23"/>
          <w:szCs w:val="23"/>
          <w:highlight w:val="none"/>
        </w:rPr>
      </w:pPr>
      <w:r>
        <w:rPr>
          <w:rFonts w:hint="eastAsia" w:ascii="宋体" w:hAnsi="宋体" w:eastAsia="宋体" w:cs="宋体"/>
          <w:color w:val="auto"/>
          <w:spacing w:val="6"/>
          <w:sz w:val="24"/>
          <w:szCs w:val="24"/>
          <w:highlight w:val="none"/>
        </w:rPr>
        <w:t>7.7 遵守有关廉洁自律规定，不得私下接触供应商，不得收受供应商及有关业务单位和个人的财物或好处，不得接受采购组织单位的请托。</w:t>
      </w:r>
    </w:p>
    <w:p>
      <w:pPr>
        <w:pStyle w:val="15"/>
        <w:spacing w:line="240" w:lineRule="auto"/>
        <w:rPr>
          <w:rFonts w:ascii="宋体" w:hAnsi="宋体" w:eastAsia="宋体" w:cs="宋体"/>
          <w:color w:val="auto"/>
          <w:spacing w:val="6"/>
          <w:sz w:val="23"/>
          <w:szCs w:val="23"/>
          <w:highlight w:val="none"/>
        </w:rPr>
      </w:pPr>
    </w:p>
    <w:p>
      <w:pPr>
        <w:pStyle w:val="15"/>
        <w:spacing w:line="240" w:lineRule="auto"/>
        <w:rPr>
          <w:rFonts w:ascii="宋体" w:hAnsi="宋体" w:eastAsia="宋体" w:cs="宋体"/>
          <w:color w:val="auto"/>
          <w:spacing w:val="6"/>
          <w:sz w:val="23"/>
          <w:szCs w:val="23"/>
          <w:highlight w:val="none"/>
        </w:rPr>
      </w:pPr>
    </w:p>
    <w:p>
      <w:pPr>
        <w:pStyle w:val="15"/>
        <w:spacing w:line="240" w:lineRule="auto"/>
        <w:rPr>
          <w:rFonts w:ascii="宋体" w:hAnsi="宋体" w:eastAsia="宋体" w:cs="宋体"/>
          <w:color w:val="auto"/>
          <w:spacing w:val="6"/>
          <w:sz w:val="23"/>
          <w:szCs w:val="23"/>
          <w:highlight w:val="none"/>
        </w:rPr>
      </w:pPr>
    </w:p>
    <w:p>
      <w:pPr>
        <w:pStyle w:val="15"/>
        <w:spacing w:line="240" w:lineRule="auto"/>
        <w:rPr>
          <w:rFonts w:ascii="宋体" w:hAnsi="宋体" w:eastAsia="宋体" w:cs="宋体"/>
          <w:color w:val="auto"/>
          <w:spacing w:val="6"/>
          <w:sz w:val="23"/>
          <w:szCs w:val="23"/>
          <w:highlight w:val="none"/>
        </w:rPr>
      </w:pPr>
    </w:p>
    <w:p>
      <w:pPr>
        <w:pStyle w:val="15"/>
        <w:spacing w:line="240" w:lineRule="auto"/>
        <w:rPr>
          <w:rFonts w:ascii="宋体" w:hAnsi="宋体" w:eastAsia="宋体" w:cs="宋体"/>
          <w:color w:val="auto"/>
          <w:spacing w:val="6"/>
          <w:sz w:val="23"/>
          <w:szCs w:val="23"/>
          <w:highlight w:val="none"/>
        </w:rPr>
      </w:pPr>
    </w:p>
    <w:p>
      <w:pPr>
        <w:spacing w:line="240" w:lineRule="auto"/>
        <w:rPr>
          <w:rFonts w:ascii="宋体" w:hAnsi="宋体" w:eastAsia="宋体" w:cs="宋体"/>
          <w:color w:val="auto"/>
          <w:spacing w:val="6"/>
          <w:sz w:val="23"/>
          <w:szCs w:val="23"/>
          <w:highlight w:val="none"/>
        </w:rPr>
      </w:pPr>
      <w:r>
        <w:rPr>
          <w:rFonts w:ascii="宋体" w:hAnsi="宋体" w:eastAsia="宋体" w:cs="宋体"/>
          <w:color w:val="auto"/>
          <w:spacing w:val="6"/>
          <w:sz w:val="23"/>
          <w:szCs w:val="23"/>
          <w:highlight w:val="none"/>
        </w:rPr>
        <w:br w:type="page"/>
      </w:r>
    </w:p>
    <w:p>
      <w:pPr>
        <w:spacing w:line="240" w:lineRule="auto"/>
        <w:rPr>
          <w:color w:val="auto"/>
          <w:highlight w:val="none"/>
        </w:rPr>
        <w:sectPr>
          <w:headerReference r:id="rId43" w:type="default"/>
          <w:footerReference r:id="rId44" w:type="default"/>
          <w:pgSz w:w="11905" w:h="16838"/>
          <w:pgMar w:top="1417" w:right="1417" w:bottom="1417" w:left="1417" w:header="0" w:footer="1134" w:gutter="0"/>
          <w:cols w:space="0" w:num="1"/>
        </w:sectPr>
      </w:pPr>
    </w:p>
    <w:p>
      <w:pPr>
        <w:spacing w:line="240" w:lineRule="auto"/>
        <w:rPr>
          <w:color w:val="auto"/>
          <w:highlight w:val="none"/>
        </w:rPr>
      </w:pPr>
    </w:p>
    <w:p>
      <w:pPr>
        <w:spacing w:before="114" w:line="240" w:lineRule="auto"/>
        <w:jc w:val="center"/>
        <w:outlineLvl w:val="0"/>
        <w:rPr>
          <w:rFonts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pPr>
      <w:bookmarkStart w:id="198" w:name="_Toc28315"/>
      <w:r>
        <w:rPr>
          <w:rFonts w:hint="eastAsia"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t>第八章  合同主要条款</w:t>
      </w:r>
      <w:bookmarkEnd w:id="198"/>
    </w:p>
    <w:p>
      <w:pPr>
        <w:spacing w:line="240" w:lineRule="auto"/>
        <w:rPr>
          <w:color w:val="auto"/>
          <w:highlight w:val="none"/>
        </w:rPr>
      </w:pPr>
    </w:p>
    <w:p>
      <w:pPr>
        <w:pStyle w:val="37"/>
        <w:pageBreakBefore w:val="0"/>
        <w:widowControl w:val="0"/>
        <w:tabs>
          <w:tab w:val="left" w:pos="0"/>
        </w:tabs>
        <w:kinsoku/>
        <w:overflowPunct/>
        <w:autoSpaceDE/>
        <w:autoSpaceDN/>
        <w:bidi w:val="0"/>
        <w:adjustRightInd w:val="0"/>
        <w:snapToGrid w:val="0"/>
        <w:spacing w:line="240" w:lineRule="auto"/>
        <w:ind w:firstLine="0" w:firstLineChars="0"/>
        <w:jc w:val="center"/>
        <w:textAlignment w:val="auto"/>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rPr>
        <w:t>成都市技师学院（成都工贸职业技术学院）2024级学生军训服采购项目</w:t>
      </w:r>
    </w:p>
    <w:p>
      <w:pPr>
        <w:pStyle w:val="37"/>
        <w:pageBreakBefore w:val="0"/>
        <w:widowControl w:val="0"/>
        <w:tabs>
          <w:tab w:val="left" w:pos="0"/>
        </w:tabs>
        <w:kinsoku/>
        <w:overflowPunct/>
        <w:autoSpaceDE/>
        <w:autoSpaceDN/>
        <w:bidi w:val="0"/>
        <w:adjustRightInd w:val="0"/>
        <w:snapToGrid w:val="0"/>
        <w:spacing w:line="240" w:lineRule="auto"/>
        <w:ind w:firstLine="0" w:firstLineChars="0"/>
        <w:jc w:val="center"/>
        <w:textAlignment w:val="auto"/>
        <w:rPr>
          <w:rFonts w:hint="eastAsia" w:ascii="宋体" w:hAnsi="宋体" w:eastAsia="宋体" w:cs="宋体"/>
          <w:bCs/>
          <w:color w:val="auto"/>
          <w:sz w:val="22"/>
          <w:szCs w:val="22"/>
          <w:highlight w:val="none"/>
          <w:u w:val="none"/>
        </w:rPr>
      </w:pPr>
      <w:r>
        <w:rPr>
          <w:rFonts w:hint="eastAsia" w:ascii="宋体" w:hAnsi="宋体" w:eastAsia="宋体" w:cs="宋体"/>
          <w:bCs/>
          <w:color w:val="auto"/>
          <w:sz w:val="28"/>
          <w:szCs w:val="28"/>
          <w:highlight w:val="none"/>
          <w:u w:val="none"/>
        </w:rPr>
        <w:t>合同文本主要条款</w:t>
      </w:r>
    </w:p>
    <w:p>
      <w:pPr>
        <w:pStyle w:val="37"/>
        <w:pageBreakBefore w:val="0"/>
        <w:widowControl w:val="0"/>
        <w:tabs>
          <w:tab w:val="left" w:pos="0"/>
        </w:tabs>
        <w:kinsoku/>
        <w:overflowPunct/>
        <w:autoSpaceDE/>
        <w:autoSpaceDN/>
        <w:bidi w:val="0"/>
        <w:adjustRightInd w:val="0"/>
        <w:snapToGrid w:val="0"/>
        <w:spacing w:line="240" w:lineRule="auto"/>
        <w:ind w:firstLine="482"/>
        <w:textAlignment w:val="auto"/>
        <w:rPr>
          <w:rFonts w:hint="eastAsia" w:ascii="宋体" w:hAnsi="宋体" w:eastAsia="宋体" w:cs="宋体"/>
          <w:b/>
          <w:bCs/>
          <w:color w:val="auto"/>
          <w:sz w:val="22"/>
          <w:szCs w:val="22"/>
          <w:highlight w:val="none"/>
          <w:lang w:val="en-US" w:eastAsia="zh-CN"/>
        </w:rPr>
      </w:pPr>
    </w:p>
    <w:p>
      <w:pPr>
        <w:pStyle w:val="37"/>
        <w:pageBreakBefore w:val="0"/>
        <w:widowControl w:val="0"/>
        <w:tabs>
          <w:tab w:val="left" w:pos="0"/>
        </w:tabs>
        <w:kinsoku/>
        <w:overflowPunct/>
        <w:autoSpaceDE/>
        <w:autoSpaceDN/>
        <w:bidi w:val="0"/>
        <w:adjustRightInd w:val="0"/>
        <w:snapToGrid w:val="0"/>
        <w:spacing w:line="240" w:lineRule="auto"/>
        <w:ind w:firstLine="482"/>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重要说明：</w:t>
      </w:r>
      <w:r>
        <w:rPr>
          <w:rFonts w:hint="eastAsia" w:ascii="宋体" w:hAnsi="宋体" w:eastAsia="宋体" w:cs="宋体"/>
          <w:b/>
          <w:bCs/>
          <w:color w:val="auto"/>
          <w:sz w:val="24"/>
          <w:szCs w:val="24"/>
          <w:highlight w:val="none"/>
          <w:lang w:val="en-US" w:eastAsia="zh-CN"/>
        </w:rPr>
        <w:t>招标人、投标人</w:t>
      </w:r>
      <w:r>
        <w:rPr>
          <w:rFonts w:hint="eastAsia" w:ascii="宋体" w:hAnsi="宋体" w:eastAsia="宋体" w:cs="宋体"/>
          <w:b/>
          <w:bCs/>
          <w:color w:val="auto"/>
          <w:sz w:val="24"/>
          <w:szCs w:val="24"/>
          <w:highlight w:val="none"/>
        </w:rPr>
        <w:t>在签订</w:t>
      </w:r>
      <w:r>
        <w:rPr>
          <w:rFonts w:hint="eastAsia" w:ascii="宋体" w:hAnsi="宋体" w:eastAsia="宋体" w:cs="宋体"/>
          <w:b/>
          <w:bCs/>
          <w:color w:val="auto"/>
          <w:sz w:val="24"/>
          <w:szCs w:val="24"/>
          <w:highlight w:val="none"/>
          <w:lang w:val="en-US" w:eastAsia="zh-CN"/>
        </w:rPr>
        <w:t>正式</w:t>
      </w:r>
      <w:r>
        <w:rPr>
          <w:rFonts w:hint="eastAsia" w:ascii="宋体" w:hAnsi="宋体" w:eastAsia="宋体" w:cs="宋体"/>
          <w:b/>
          <w:bCs/>
          <w:color w:val="auto"/>
          <w:sz w:val="24"/>
          <w:szCs w:val="24"/>
          <w:highlight w:val="none"/>
        </w:rPr>
        <w:t>合同前</w:t>
      </w:r>
      <w:r>
        <w:rPr>
          <w:rFonts w:hint="eastAsia" w:ascii="宋体" w:hAnsi="宋体" w:eastAsia="宋体" w:cs="宋体"/>
          <w:b/>
          <w:bCs/>
          <w:color w:val="auto"/>
          <w:sz w:val="24"/>
          <w:szCs w:val="24"/>
          <w:highlight w:val="none"/>
          <w:lang w:val="en-US" w:eastAsia="zh-CN"/>
        </w:rPr>
        <w:t>应</w:t>
      </w:r>
      <w:r>
        <w:rPr>
          <w:rFonts w:hint="eastAsia" w:ascii="宋体" w:hAnsi="宋体" w:eastAsia="宋体" w:cs="宋体"/>
          <w:b/>
          <w:bCs/>
          <w:color w:val="auto"/>
          <w:sz w:val="24"/>
          <w:szCs w:val="24"/>
          <w:highlight w:val="none"/>
        </w:rPr>
        <w:t>依据</w:t>
      </w:r>
      <w:r>
        <w:rPr>
          <w:rFonts w:hint="eastAsia" w:ascii="宋体" w:hAnsi="宋体" w:eastAsia="宋体" w:cs="宋体"/>
          <w:b/>
          <w:bCs/>
          <w:color w:val="auto"/>
          <w:sz w:val="24"/>
          <w:szCs w:val="24"/>
          <w:highlight w:val="none"/>
          <w:lang w:val="en-US" w:eastAsia="zh-CN"/>
        </w:rPr>
        <w:t>本项目的招标文件、投标文件、项目的澄清文件等</w:t>
      </w:r>
      <w:r>
        <w:rPr>
          <w:rFonts w:hint="eastAsia" w:ascii="宋体" w:hAnsi="宋体" w:eastAsia="宋体" w:cs="宋体"/>
          <w:b/>
          <w:bCs/>
          <w:color w:val="auto"/>
          <w:sz w:val="24"/>
          <w:szCs w:val="24"/>
          <w:highlight w:val="none"/>
        </w:rPr>
        <w:t>对以下合同内容进行</w:t>
      </w:r>
      <w:r>
        <w:rPr>
          <w:rFonts w:hint="eastAsia" w:ascii="宋体" w:hAnsi="宋体" w:eastAsia="宋体" w:cs="宋体"/>
          <w:b/>
          <w:bCs/>
          <w:color w:val="auto"/>
          <w:sz w:val="24"/>
          <w:szCs w:val="24"/>
          <w:highlight w:val="none"/>
          <w:lang w:val="en-US" w:eastAsia="zh-CN"/>
        </w:rPr>
        <w:t>修正和完善</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w:t>
      </w:r>
    </w:p>
    <w:p>
      <w:pPr>
        <w:pStyle w:val="37"/>
        <w:pageBreakBefore w:val="0"/>
        <w:widowControl w:val="0"/>
        <w:tabs>
          <w:tab w:val="left" w:pos="0"/>
        </w:tabs>
        <w:kinsoku/>
        <w:overflowPunct/>
        <w:autoSpaceDE/>
        <w:autoSpaceDN/>
        <w:bidi w:val="0"/>
        <w:adjustRightInd w:val="0"/>
        <w:snapToGrid w:val="0"/>
        <w:spacing w:line="240" w:lineRule="auto"/>
        <w:ind w:left="0" w:leftChars="0" w:firstLine="0" w:firstLineChars="0"/>
        <w:textAlignment w:val="auto"/>
        <w:rPr>
          <w:rFonts w:hint="eastAsia" w:ascii="宋体" w:hAnsi="宋体" w:eastAsia="宋体" w:cs="宋体"/>
          <w:b/>
          <w:bCs/>
          <w:color w:val="auto"/>
          <w:sz w:val="24"/>
          <w:szCs w:val="24"/>
          <w:highlight w:val="none"/>
          <w:lang w:val="en-US" w:eastAsia="zh-CN"/>
        </w:rPr>
      </w:pPr>
    </w:p>
    <w:p>
      <w:pPr>
        <w:pStyle w:val="44"/>
        <w:adjustRightInd w:val="0"/>
        <w:snapToGrid w:val="0"/>
        <w:spacing w:line="320" w:lineRule="exact"/>
        <w:ind w:firstLine="480" w:firstLineChars="200"/>
        <w:rPr>
          <w:rFonts w:hint="eastAsia" w:ascii="宋体" w:hAnsi="宋体" w:eastAsia="宋体" w:cs="宋体"/>
          <w:snapToGrid/>
          <w:color w:val="auto"/>
          <w:sz w:val="24"/>
          <w:szCs w:val="24"/>
          <w:highlight w:val="none"/>
        </w:rPr>
      </w:pPr>
      <w:r>
        <w:rPr>
          <w:rFonts w:hint="eastAsia" w:ascii="宋体" w:hAnsi="宋体" w:eastAsia="宋体" w:cs="宋体"/>
          <w:snapToGrid/>
          <w:color w:val="auto"/>
          <w:sz w:val="24"/>
          <w:szCs w:val="24"/>
          <w:highlight w:val="none"/>
        </w:rPr>
        <w:t>合同编号：</w:t>
      </w:r>
    </w:p>
    <w:p>
      <w:pPr>
        <w:pStyle w:val="44"/>
        <w:adjustRightInd w:val="0"/>
        <w:snapToGrid w:val="0"/>
        <w:spacing w:line="320" w:lineRule="exact"/>
        <w:ind w:firstLine="480" w:firstLineChars="200"/>
        <w:rPr>
          <w:rFonts w:hint="eastAsia" w:ascii="宋体" w:hAnsi="宋体" w:eastAsia="宋体" w:cs="宋体"/>
          <w:snapToGrid/>
          <w:color w:val="auto"/>
          <w:sz w:val="24"/>
          <w:szCs w:val="24"/>
          <w:highlight w:val="none"/>
        </w:rPr>
      </w:pPr>
      <w:r>
        <w:rPr>
          <w:rFonts w:hint="eastAsia" w:ascii="宋体" w:hAnsi="宋体" w:eastAsia="宋体" w:cs="宋体"/>
          <w:snapToGrid/>
          <w:color w:val="auto"/>
          <w:sz w:val="24"/>
          <w:szCs w:val="24"/>
          <w:highlight w:val="none"/>
        </w:rPr>
        <w:t>签订地点：成都市郫都区红光街道港通北三路1899号</w:t>
      </w:r>
    </w:p>
    <w:p>
      <w:pPr>
        <w:pStyle w:val="44"/>
        <w:adjustRightInd w:val="0"/>
        <w:snapToGrid w:val="0"/>
        <w:spacing w:line="320" w:lineRule="exact"/>
        <w:ind w:firstLine="480" w:firstLineChars="200"/>
        <w:rPr>
          <w:rFonts w:hint="eastAsia" w:ascii="宋体" w:hAnsi="宋体" w:eastAsia="宋体" w:cs="宋体"/>
          <w:snapToGrid/>
          <w:color w:val="auto"/>
          <w:sz w:val="24"/>
          <w:szCs w:val="24"/>
          <w:highlight w:val="none"/>
        </w:rPr>
      </w:pPr>
      <w:r>
        <w:rPr>
          <w:rFonts w:hint="eastAsia" w:ascii="宋体" w:hAnsi="宋体" w:eastAsia="宋体" w:cs="宋体"/>
          <w:snapToGrid/>
          <w:color w:val="auto"/>
          <w:sz w:val="24"/>
          <w:szCs w:val="24"/>
          <w:highlight w:val="none"/>
        </w:rPr>
        <w:t>签订时间：</w:t>
      </w:r>
    </w:p>
    <w:p>
      <w:pPr>
        <w:pStyle w:val="44"/>
        <w:adjustRightInd w:val="0"/>
        <w:snapToGrid w:val="0"/>
        <w:spacing w:line="320" w:lineRule="exact"/>
        <w:ind w:firstLine="480" w:firstLineChars="200"/>
        <w:rPr>
          <w:rFonts w:hint="eastAsia" w:ascii="宋体" w:hAnsi="宋体" w:eastAsia="宋体" w:cs="宋体"/>
          <w:snapToGrid/>
          <w:color w:val="auto"/>
          <w:sz w:val="24"/>
          <w:szCs w:val="24"/>
          <w:highlight w:val="none"/>
        </w:rPr>
      </w:pPr>
      <w:r>
        <w:rPr>
          <w:rFonts w:hint="eastAsia" w:ascii="宋体" w:hAnsi="宋体" w:eastAsia="宋体" w:cs="宋体"/>
          <w:snapToGrid/>
          <w:color w:val="auto"/>
          <w:sz w:val="24"/>
          <w:szCs w:val="24"/>
          <w:highlight w:val="none"/>
        </w:rPr>
        <w:t>甲方(</w:t>
      </w:r>
      <w:r>
        <w:rPr>
          <w:rFonts w:hint="eastAsia" w:ascii="宋体" w:hAnsi="宋体" w:eastAsia="宋体" w:cs="宋体"/>
          <w:snapToGrid/>
          <w:color w:val="auto"/>
          <w:sz w:val="24"/>
          <w:szCs w:val="24"/>
          <w:highlight w:val="none"/>
          <w:lang w:eastAsia="zh-CN"/>
        </w:rPr>
        <w:t>招标人</w:t>
      </w:r>
      <w:r>
        <w:rPr>
          <w:rFonts w:hint="eastAsia" w:ascii="宋体" w:hAnsi="宋体" w:eastAsia="宋体" w:cs="宋体"/>
          <w:snapToGrid/>
          <w:color w:val="auto"/>
          <w:sz w:val="24"/>
          <w:szCs w:val="24"/>
          <w:highlight w:val="none"/>
        </w:rPr>
        <w:t>)：成都市技师学院（成都工贸职业技术学院）</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rPr>
        <w:t>标人)：</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根据《中华人民共和国民法典》及成都市技师学院（成都工贸职业技术学院）</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级</w:t>
      </w:r>
      <w:r>
        <w:rPr>
          <w:rFonts w:hint="eastAsia" w:ascii="宋体" w:hAnsi="宋体" w:eastAsia="宋体" w:cs="宋体"/>
          <w:color w:val="auto"/>
          <w:sz w:val="24"/>
          <w:szCs w:val="24"/>
          <w:highlight w:val="none"/>
        </w:rPr>
        <w:t>学生军训服采购项目（项目编号：）的《招标文件》、乙方的《投标文件》及《中标通知书》，甲、乙双方同意签订本合同。就甲方委托乙方承担成都市技师学院（成都工贸职业技术学院）</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级</w:t>
      </w:r>
      <w:r>
        <w:rPr>
          <w:rFonts w:hint="eastAsia" w:ascii="宋体" w:hAnsi="宋体" w:eastAsia="宋体" w:cs="宋体"/>
          <w:color w:val="auto"/>
          <w:sz w:val="24"/>
          <w:szCs w:val="24"/>
          <w:highlight w:val="none"/>
        </w:rPr>
        <w:t>学生军训服采购项目事宜如下：</w:t>
      </w:r>
    </w:p>
    <w:p>
      <w:pPr>
        <w:pStyle w:val="44"/>
        <w:adjustRightInd w:val="0"/>
        <w:snapToGrid w:val="0"/>
        <w:spacing w:line="320" w:lineRule="exact"/>
        <w:ind w:firstLine="480" w:firstLineChars="200"/>
        <w:rPr>
          <w:rFonts w:hint="eastAsia" w:ascii="宋体" w:hAnsi="宋体" w:eastAsia="宋体" w:cs="宋体"/>
          <w:snapToGrid/>
          <w:color w:val="auto"/>
          <w:sz w:val="24"/>
          <w:szCs w:val="24"/>
          <w:highlight w:val="none"/>
        </w:rPr>
      </w:pPr>
    </w:p>
    <w:p>
      <w:pPr>
        <w:tabs>
          <w:tab w:val="left" w:pos="0"/>
        </w:tabs>
        <w:adjustRightInd w:val="0"/>
        <w:snapToGrid w:val="0"/>
        <w:spacing w:line="32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本次采购一名供应为成都市技师学院（成都工贸职业技术学院）</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级</w:t>
      </w:r>
      <w:r>
        <w:rPr>
          <w:rFonts w:hint="eastAsia" w:ascii="宋体" w:hAnsi="宋体" w:eastAsia="宋体" w:cs="宋体"/>
          <w:color w:val="auto"/>
          <w:sz w:val="24"/>
          <w:szCs w:val="24"/>
          <w:highlight w:val="none"/>
        </w:rPr>
        <w:t>新生提供军训服装。涉及军训校区为</w:t>
      </w:r>
      <w:r>
        <w:rPr>
          <w:rFonts w:hint="eastAsia" w:ascii="宋体" w:hAnsi="宋体" w:eastAsia="宋体" w:cs="宋体"/>
          <w:color w:val="auto"/>
          <w:sz w:val="24"/>
          <w:szCs w:val="24"/>
          <w:highlight w:val="none"/>
          <w:lang w:eastAsia="zh-CN"/>
        </w:rPr>
        <w:t>郫都校区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郫都</w:t>
      </w:r>
      <w:r>
        <w:rPr>
          <w:rFonts w:hint="eastAsia" w:ascii="宋体" w:hAnsi="宋体" w:eastAsia="宋体" w:cs="宋体"/>
          <w:color w:val="auto"/>
          <w:sz w:val="24"/>
          <w:szCs w:val="24"/>
          <w:highlight w:val="none"/>
        </w:rPr>
        <w:t>西校区、新都校区、成华校区。甲方计划招生约为：</w:t>
      </w:r>
      <w:r>
        <w:rPr>
          <w:rFonts w:hint="eastAsia" w:ascii="宋体" w:hAnsi="宋体" w:eastAsia="宋体" w:cs="宋体"/>
          <w:color w:val="auto"/>
          <w:sz w:val="24"/>
          <w:szCs w:val="24"/>
          <w:highlight w:val="none"/>
          <w:lang w:val="en-US" w:eastAsia="zh-CN"/>
        </w:rPr>
        <w:t>5000</w:t>
      </w:r>
      <w:r>
        <w:rPr>
          <w:rFonts w:hint="eastAsia" w:ascii="宋体" w:hAnsi="宋体" w:eastAsia="宋体" w:cs="宋体"/>
          <w:color w:val="auto"/>
          <w:sz w:val="24"/>
          <w:szCs w:val="24"/>
          <w:highlight w:val="none"/>
        </w:rPr>
        <w:t>人，其中中职1</w:t>
      </w:r>
      <w:r>
        <w:rPr>
          <w:rFonts w:hint="eastAsia" w:ascii="宋体" w:hAnsi="宋体" w:eastAsia="宋体" w:cs="宋体"/>
          <w:color w:val="auto"/>
          <w:sz w:val="24"/>
          <w:szCs w:val="24"/>
          <w:highlight w:val="none"/>
          <w:lang w:val="en-US" w:eastAsia="zh-CN"/>
        </w:rPr>
        <w:t>200</w:t>
      </w:r>
      <w:r>
        <w:rPr>
          <w:rFonts w:hint="eastAsia" w:ascii="宋体" w:hAnsi="宋体" w:eastAsia="宋体" w:cs="宋体"/>
          <w:color w:val="auto"/>
          <w:sz w:val="24"/>
          <w:szCs w:val="24"/>
          <w:highlight w:val="none"/>
        </w:rPr>
        <w:t>人，高职:</w:t>
      </w:r>
      <w:r>
        <w:rPr>
          <w:rFonts w:hint="eastAsia" w:ascii="宋体" w:hAnsi="宋体" w:eastAsia="宋体" w:cs="宋体"/>
          <w:color w:val="auto"/>
          <w:sz w:val="24"/>
          <w:szCs w:val="24"/>
          <w:highlight w:val="none"/>
          <w:lang w:val="en-US" w:eastAsia="zh-CN"/>
        </w:rPr>
        <w:t>3800</w:t>
      </w:r>
      <w:r>
        <w:rPr>
          <w:rFonts w:hint="eastAsia" w:ascii="宋体" w:hAnsi="宋体" w:eastAsia="宋体" w:cs="宋体"/>
          <w:color w:val="auto"/>
          <w:sz w:val="24"/>
          <w:szCs w:val="24"/>
          <w:highlight w:val="none"/>
        </w:rPr>
        <w:t>人（最终以实际招生为准）。</w:t>
      </w:r>
    </w:p>
    <w:p>
      <w:pPr>
        <w:pStyle w:val="2"/>
        <w:spacing w:line="4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二、合同标的</w:t>
      </w:r>
    </w:p>
    <w:p>
      <w:pPr>
        <w:tabs>
          <w:tab w:val="left" w:pos="0"/>
        </w:tabs>
        <w:adjustRightInd w:val="0"/>
        <w:snapToGrid w:val="0"/>
        <w:spacing w:line="3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1.合同标的明细</w:t>
      </w:r>
    </w:p>
    <w:tbl>
      <w:tblPr>
        <w:tblStyle w:val="18"/>
        <w:tblW w:w="909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96"/>
        <w:gridCol w:w="2498"/>
        <w:gridCol w:w="1247"/>
        <w:gridCol w:w="920"/>
        <w:gridCol w:w="1926"/>
        <w:gridCol w:w="12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1296"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货物名称</w:t>
            </w:r>
          </w:p>
        </w:tc>
        <w:tc>
          <w:tcPr>
            <w:tcW w:w="2498"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制造商</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w:t>
            </w:r>
          </w:p>
        </w:tc>
        <w:tc>
          <w:tcPr>
            <w:tcW w:w="920"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926"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成交单价（元）</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296"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spacing w:line="320" w:lineRule="exact"/>
              <w:jc w:val="left"/>
              <w:rPr>
                <w:rFonts w:hint="eastAsia" w:ascii="宋体" w:hAnsi="宋体" w:eastAsia="宋体" w:cs="宋体"/>
                <w:color w:val="auto"/>
                <w:sz w:val="24"/>
                <w:szCs w:val="24"/>
                <w:highlight w:val="none"/>
              </w:rPr>
            </w:pPr>
          </w:p>
        </w:tc>
        <w:tc>
          <w:tcPr>
            <w:tcW w:w="2498"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spacing w:line="320" w:lineRule="exact"/>
              <w:jc w:val="left"/>
              <w:rPr>
                <w:rFonts w:hint="eastAsia" w:ascii="宋体" w:hAnsi="宋体" w:eastAsia="宋体" w:cs="宋体"/>
                <w:color w:val="auto"/>
                <w:sz w:val="24"/>
                <w:szCs w:val="24"/>
                <w:highlight w:val="none"/>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spacing w:line="320" w:lineRule="exact"/>
              <w:jc w:val="left"/>
              <w:rPr>
                <w:rFonts w:hint="eastAsia" w:ascii="宋体" w:hAnsi="宋体" w:eastAsia="宋体" w:cs="宋体"/>
                <w:color w:val="auto"/>
                <w:sz w:val="24"/>
                <w:szCs w:val="24"/>
                <w:highlight w:val="none"/>
              </w:rPr>
            </w:pPr>
          </w:p>
        </w:tc>
        <w:tc>
          <w:tcPr>
            <w:tcW w:w="920"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spacing w:line="320" w:lineRule="exact"/>
              <w:jc w:val="left"/>
              <w:rPr>
                <w:rFonts w:hint="eastAsia" w:ascii="宋体" w:hAnsi="宋体" w:eastAsia="宋体" w:cs="宋体"/>
                <w:color w:val="auto"/>
                <w:sz w:val="24"/>
                <w:szCs w:val="24"/>
                <w:highlight w:val="none"/>
              </w:rPr>
            </w:pPr>
          </w:p>
        </w:tc>
        <w:tc>
          <w:tcPr>
            <w:tcW w:w="1926"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spacing w:line="320" w:lineRule="exact"/>
              <w:jc w:val="left"/>
              <w:rPr>
                <w:rFonts w:hint="eastAsia" w:ascii="宋体" w:hAnsi="宋体" w:eastAsia="宋体" w:cs="宋体"/>
                <w:color w:val="auto"/>
                <w:sz w:val="24"/>
                <w:szCs w:val="24"/>
                <w:highlight w:val="none"/>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spacing w:line="320" w:lineRule="exact"/>
              <w:jc w:val="left"/>
              <w:outlineLvl w:val="1"/>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1296"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spacing w:line="320" w:lineRule="exact"/>
              <w:jc w:val="left"/>
              <w:rPr>
                <w:rFonts w:hint="eastAsia" w:ascii="宋体" w:hAnsi="宋体" w:eastAsia="宋体" w:cs="宋体"/>
                <w:color w:val="auto"/>
                <w:sz w:val="24"/>
                <w:szCs w:val="24"/>
                <w:highlight w:val="none"/>
              </w:rPr>
            </w:pPr>
          </w:p>
        </w:tc>
        <w:tc>
          <w:tcPr>
            <w:tcW w:w="2498"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spacing w:line="320" w:lineRule="exact"/>
              <w:jc w:val="left"/>
              <w:rPr>
                <w:rFonts w:hint="eastAsia" w:ascii="宋体" w:hAnsi="宋体" w:eastAsia="宋体" w:cs="宋体"/>
                <w:color w:val="auto"/>
                <w:sz w:val="24"/>
                <w:szCs w:val="24"/>
                <w:highlight w:val="none"/>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spacing w:line="320" w:lineRule="exact"/>
              <w:jc w:val="left"/>
              <w:rPr>
                <w:rFonts w:hint="eastAsia" w:ascii="宋体" w:hAnsi="宋体" w:eastAsia="宋体" w:cs="宋体"/>
                <w:color w:val="auto"/>
                <w:sz w:val="24"/>
                <w:szCs w:val="24"/>
                <w:highlight w:val="none"/>
              </w:rPr>
            </w:pPr>
          </w:p>
        </w:tc>
        <w:tc>
          <w:tcPr>
            <w:tcW w:w="920"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spacing w:line="320" w:lineRule="exact"/>
              <w:jc w:val="left"/>
              <w:rPr>
                <w:rFonts w:hint="eastAsia" w:ascii="宋体" w:hAnsi="宋体" w:eastAsia="宋体" w:cs="宋体"/>
                <w:color w:val="auto"/>
                <w:sz w:val="24"/>
                <w:szCs w:val="24"/>
                <w:highlight w:val="none"/>
              </w:rPr>
            </w:pPr>
          </w:p>
        </w:tc>
        <w:tc>
          <w:tcPr>
            <w:tcW w:w="1926"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spacing w:line="320" w:lineRule="exact"/>
              <w:jc w:val="left"/>
              <w:rPr>
                <w:rFonts w:hint="eastAsia" w:ascii="宋体" w:hAnsi="宋体" w:eastAsia="宋体" w:cs="宋体"/>
                <w:color w:val="auto"/>
                <w:sz w:val="24"/>
                <w:szCs w:val="24"/>
                <w:highlight w:val="none"/>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spacing w:line="320" w:lineRule="exact"/>
              <w:jc w:val="left"/>
              <w:outlineLvl w:val="1"/>
              <w:rPr>
                <w:rFonts w:hint="eastAsia" w:ascii="宋体" w:hAnsi="宋体" w:eastAsia="宋体" w:cs="宋体"/>
                <w:color w:val="auto"/>
                <w:sz w:val="24"/>
                <w:szCs w:val="24"/>
                <w:highlight w:val="none"/>
              </w:rPr>
            </w:pPr>
          </w:p>
        </w:tc>
      </w:tr>
    </w:tbl>
    <w:p>
      <w:pPr>
        <w:tabs>
          <w:tab w:val="left" w:pos="0"/>
        </w:tabs>
        <w:adjustRightInd w:val="0"/>
        <w:snapToGrid w:val="0"/>
        <w:spacing w:line="3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2.合同标的技术参数明细</w:t>
      </w:r>
    </w:p>
    <w:p>
      <w:pPr>
        <w:pStyle w:val="2"/>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XXXXXX</w:t>
      </w:r>
    </w:p>
    <w:p>
      <w:pPr>
        <w:tabs>
          <w:tab w:val="left" w:pos="0"/>
        </w:tabs>
        <w:adjustRightInd w:val="0"/>
        <w:snapToGrid w:val="0"/>
        <w:spacing w:line="32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三、履约时间和方式</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1.履约期：合同签订之日起至202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日</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2.乙方收到甲方书面送货通知之日起，根据甲方当批次次所需要的货物品类以及数量，</w:t>
      </w:r>
      <w:r>
        <w:rPr>
          <w:rFonts w:hint="eastAsia" w:ascii="宋体" w:hAnsi="宋体" w:eastAsia="宋体" w:cs="宋体"/>
          <w:bCs/>
          <w:color w:val="auto"/>
          <w:sz w:val="24"/>
          <w:szCs w:val="24"/>
          <w:highlight w:val="none"/>
        </w:rPr>
        <w:t>2个工作日内，按照</w:t>
      </w:r>
      <w:r>
        <w:rPr>
          <w:rFonts w:hint="eastAsia" w:ascii="宋体" w:hAnsi="宋体" w:eastAsia="宋体" w:cs="宋体"/>
          <w:bCs/>
          <w:color w:val="auto"/>
          <w:sz w:val="24"/>
          <w:szCs w:val="24"/>
          <w:highlight w:val="none"/>
          <w:lang w:val="en-US" w:eastAsia="zh-CN"/>
        </w:rPr>
        <w:t>甲方</w:t>
      </w:r>
      <w:r>
        <w:rPr>
          <w:rFonts w:hint="eastAsia" w:ascii="宋体" w:hAnsi="宋体" w:eastAsia="宋体" w:cs="宋体"/>
          <w:bCs/>
          <w:color w:val="auto"/>
          <w:sz w:val="24"/>
          <w:szCs w:val="24"/>
          <w:highlight w:val="none"/>
        </w:rPr>
        <w:t>的订单配送。</w:t>
      </w:r>
      <w:r>
        <w:rPr>
          <w:rFonts w:hint="eastAsia" w:ascii="宋体" w:hAnsi="宋体" w:eastAsia="宋体" w:cs="宋体"/>
          <w:color w:val="auto"/>
          <w:sz w:val="24"/>
          <w:szCs w:val="24"/>
          <w:highlight w:val="none"/>
        </w:rPr>
        <w:t>。</w:t>
      </w:r>
    </w:p>
    <w:p>
      <w:pPr>
        <w:autoSpaceDE w:val="0"/>
        <w:autoSpaceDN w:val="0"/>
        <w:adjustRightInd w:val="0"/>
        <w:spacing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3.售后服务期为15日历天，售后服务期的起始日期为学生购买之日起开始计算。</w:t>
      </w:r>
    </w:p>
    <w:p>
      <w:pPr>
        <w:autoSpaceDE w:val="0"/>
        <w:autoSpaceDN w:val="0"/>
        <w:adjustRightInd w:val="0"/>
        <w:spacing w:line="40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四、履约地点</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1.成都市郫都区红光街道港通北三路1899号</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2.成都市郫都区红光街道高店路1666号</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3.成都市成华区万年街道外东槐树店路32号</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4.成都市新都区西北村301号</w:t>
      </w:r>
    </w:p>
    <w:p>
      <w:pPr>
        <w:autoSpaceDE w:val="0"/>
        <w:autoSpaceDN w:val="0"/>
        <w:adjustRightInd w:val="0"/>
        <w:spacing w:line="40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五、合同总价、付款安排、支付方式</w:t>
      </w:r>
    </w:p>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1.成交单价为固定包干价格，包括但不限于服装的供货、包装、运输、</w:t>
      </w:r>
      <w:r>
        <w:rPr>
          <w:rFonts w:hint="eastAsia" w:ascii="宋体" w:hAnsi="宋体" w:eastAsia="宋体" w:cs="宋体"/>
          <w:bCs/>
          <w:color w:val="auto"/>
          <w:sz w:val="24"/>
          <w:szCs w:val="24"/>
          <w:highlight w:val="none"/>
        </w:rPr>
        <w:t>售后服务（</w:t>
      </w:r>
      <w:r>
        <w:rPr>
          <w:rFonts w:hint="eastAsia" w:ascii="宋体" w:hAnsi="宋体" w:eastAsia="宋体" w:cs="宋体"/>
          <w:color w:val="auto"/>
          <w:sz w:val="24"/>
          <w:szCs w:val="24"/>
          <w:highlight w:val="none"/>
        </w:rPr>
        <w:t>修补、更换</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、人工、质检、税费等与完成服装交付的所有费用。</w:t>
      </w:r>
    </w:p>
    <w:p>
      <w:pPr>
        <w:pStyle w:val="2"/>
        <w:ind w:firstLine="63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2.学生在现场可选择微信、支付宝等非现金形式或现金形式支付</w:t>
      </w:r>
      <w:r>
        <w:rPr>
          <w:rFonts w:hint="eastAsia" w:ascii="宋体" w:hAnsi="宋体" w:eastAsia="宋体" w:cs="宋体"/>
          <w:color w:val="auto"/>
          <w:sz w:val="24"/>
          <w:szCs w:val="24"/>
          <w:highlight w:val="none"/>
          <w:lang w:eastAsia="zh-CN"/>
        </w:rPr>
        <w:t>。</w:t>
      </w:r>
    </w:p>
    <w:p>
      <w:pPr>
        <w:autoSpaceDE w:val="0"/>
        <w:autoSpaceDN w:val="0"/>
        <w:adjustRightInd w:val="0"/>
        <w:spacing w:line="40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六、质量及供货渠道要求</w:t>
      </w:r>
    </w:p>
    <w:p>
      <w:pPr>
        <w:pStyle w:val="8"/>
        <w:spacing w:line="400" w:lineRule="exact"/>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1.乙方应保证服装是全新、未使用过的原装合格正品。尺寸符合国家标准，穿着后无皮肤过敏等问题。</w:t>
      </w:r>
    </w:p>
    <w:p>
      <w:pPr>
        <w:pStyle w:val="2"/>
        <w:ind w:firstLine="63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提供的服装必须符合本项目招标文件规定的质量、规格的要求。如果乙方提供的服装的质量或规格与招标文件和乙方的投标文件不符，或证实服装是有缺陷的，包括潜在的缺陷等，乙方应在接到甲方通知后12小时内历天内完成换货，因换货产生的费用由乙方承担，如因不合格服装给甲方及学生造成损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还应承担赔偿责任。因服装质量问题产生的质监处罚、医疗缺陷和医疗纠纷</w:t>
      </w:r>
      <w:r>
        <w:rPr>
          <w:rFonts w:hint="eastAsia" w:ascii="宋体" w:hAnsi="宋体" w:eastAsia="宋体" w:cs="宋体"/>
          <w:color w:val="auto"/>
          <w:sz w:val="24"/>
          <w:szCs w:val="24"/>
          <w:highlight w:val="none"/>
          <w:lang w:val="en-US" w:eastAsia="zh-CN"/>
        </w:rPr>
        <w:t>等问题</w:t>
      </w:r>
      <w:r>
        <w:rPr>
          <w:rFonts w:hint="eastAsia" w:ascii="宋体" w:hAnsi="宋体" w:eastAsia="宋体" w:cs="宋体"/>
          <w:color w:val="auto"/>
          <w:sz w:val="24"/>
          <w:szCs w:val="24"/>
          <w:highlight w:val="none"/>
        </w:rPr>
        <w:t>均由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负全部经济和法律责任。</w:t>
      </w:r>
    </w:p>
    <w:p>
      <w:pPr>
        <w:autoSpaceDE w:val="0"/>
        <w:autoSpaceDN w:val="0"/>
        <w:adjustRightInd w:val="0"/>
        <w:spacing w:line="40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七、包装（方式）、运输要求</w:t>
      </w:r>
    </w:p>
    <w:p>
      <w:pPr>
        <w:autoSpaceDE w:val="0"/>
        <w:autoSpaceDN w:val="0"/>
        <w:adjustRightInd w:val="0"/>
        <w:spacing w:line="400" w:lineRule="exact"/>
        <w:ind w:firstLine="480" w:firstLineChars="200"/>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（1）乙方严格按照甲方送货要求按时、按质、按量配送服装，送达甲方指定地点后负责服装的发放。</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（2）甲方如有紧急配送需求时，乙方应积极配合供货，并按时、按质、按量配送服装。</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（3）甲方有调、换货需求时，乙方应积极配合调、换货，按时、按质、按量配送服装。</w:t>
      </w:r>
    </w:p>
    <w:p>
      <w:pPr>
        <w:pStyle w:val="8"/>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（4）若服装有质量问题的，</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应无条件更换。</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（5）服装必须标明：产品型号、规格、原料成份和材质含量及等级。</w:t>
      </w:r>
    </w:p>
    <w:p>
      <w:pPr>
        <w:autoSpaceDE w:val="0"/>
        <w:autoSpaceDN w:val="0"/>
        <w:adjustRightInd w:val="0"/>
        <w:spacing w:line="40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八、售后服务及要求</w:t>
      </w:r>
    </w:p>
    <w:p>
      <w:pPr>
        <w:pStyle w:val="8"/>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（1）.学生购买服装之日起15日内若出现服装破损、褪色或学生皮肤不适等情况，乙方在接到甲方通知后12小时内完成修补或替换。</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（2）当批次服装发放完毕后，乙方提供10%的备货，存放在甲方指定地点，便于甲方临时补发，备货服装费按实际发生量结合成交单价在军训结束后结算。</w:t>
      </w:r>
    </w:p>
    <w:p>
      <w:pPr>
        <w:autoSpaceDE w:val="0"/>
        <w:autoSpaceDN w:val="0"/>
        <w:adjustRightInd w:val="0"/>
        <w:spacing w:line="400" w:lineRule="exact"/>
        <w:ind w:firstLine="480" w:firstLineChars="200"/>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（3）乙方为本项目配置的人员不少于15人。</w:t>
      </w:r>
    </w:p>
    <w:p>
      <w:pPr>
        <w:autoSpaceDE w:val="0"/>
        <w:autoSpaceDN w:val="0"/>
        <w:adjustRightInd w:val="0"/>
        <w:spacing w:line="40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九、其他商务要求</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autoSpaceDE w:val="0"/>
        <w:autoSpaceDN w:val="0"/>
        <w:adjustRightInd w:val="0"/>
        <w:spacing w:line="40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十、双方的权利和义务</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（一）甲方的权利和义务：</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甲方有权对合同规定范围内乙方提供的物资、售后服务为进行监督和检查,拥有监管权。有权核对乙方提供的物资、售后服务质量。对甲方认为质量不合格的货物有权下达整改通知书,并要求乙方限期修理及更换。 </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2.负责检查监督乙方提供的物资、售后服务行为实施的执行情况。 </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3.国家法律、法规所规定由甲方承担的其它责任。</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（二）乙方的权利和义务</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1.依照本合同提供符合合同要求且能够满足甲方使用需求和使用目的的货物。</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2.接受项目行业管理部门及政府有关部门的指导，接受甲方的监督。</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3.履行本合同的全部安全责任均由乙方承担，甲方对此不承担任何责任。</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4.国家法律、法规所规定由乙方承担的其它责任。</w:t>
      </w:r>
    </w:p>
    <w:p>
      <w:pPr>
        <w:autoSpaceDE w:val="0"/>
        <w:autoSpaceDN w:val="0"/>
        <w:adjustRightInd w:val="0"/>
        <w:spacing w:line="40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十一、履约保证金要求</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履约保证金为</w:t>
      </w:r>
      <w:r>
        <w:rPr>
          <w:rFonts w:hint="eastAsia" w:ascii="宋体" w:hAnsi="宋体" w:eastAsia="宋体" w:cs="宋体"/>
          <w:color w:val="auto"/>
          <w:sz w:val="24"/>
          <w:szCs w:val="24"/>
          <w:highlight w:val="none"/>
          <w:lang w:val="en-US" w:eastAsia="zh-CN"/>
        </w:rPr>
        <w:t>30000</w:t>
      </w:r>
      <w:r>
        <w:rPr>
          <w:rFonts w:hint="eastAsia" w:ascii="宋体" w:hAnsi="宋体" w:eastAsia="宋体" w:cs="宋体"/>
          <w:color w:val="auto"/>
          <w:sz w:val="24"/>
          <w:szCs w:val="24"/>
          <w:highlight w:val="none"/>
        </w:rPr>
        <w:t>元，（大写：人民币</w:t>
      </w:r>
      <w:r>
        <w:rPr>
          <w:rFonts w:hint="eastAsia" w:ascii="宋体" w:hAnsi="宋体" w:eastAsia="宋体" w:cs="宋体"/>
          <w:color w:val="auto"/>
          <w:sz w:val="24"/>
          <w:szCs w:val="24"/>
          <w:highlight w:val="none"/>
          <w:lang w:eastAsia="zh-CN"/>
        </w:rPr>
        <w:t>叁万</w:t>
      </w:r>
      <w:r>
        <w:rPr>
          <w:rFonts w:hint="eastAsia" w:ascii="宋体" w:hAnsi="宋体" w:eastAsia="宋体" w:cs="宋体"/>
          <w:color w:val="auto"/>
          <w:sz w:val="24"/>
          <w:szCs w:val="24"/>
          <w:highlight w:val="none"/>
        </w:rPr>
        <w:t>元整），乙方应在中标通知书发出之日起至合同签订前以银行转账</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形式向</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提交履约保证金。</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履行合同约定(含售后服务)完毕且货物以及售后服务全部验收合格后，无质量问题和违约责任的情况下。10个日历天内无息退还乙方应退部分履约保证金。因甲方原因逾期退还的，应当以未退还金额为基数，按合同订立时1年期贷款市场报价利率标准向乙方支付相应违约金，但违约金最高不得超过未退还金额的百分之二十。若因乙方不及时或未提供“收到退还履约保证金的收据”、“履约保证金退还申请”的，则甲方不承担逾期退还违约责任。</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3.履约保证金汇入的银行及账号：</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收款账号：成都市技师学院</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开户行：工行四川成都红光支行</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银行账号：4402054609100031151</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履约保证金不予退还情形:一是乙方未按合同要求履行的，其履约保证金全部扣除。二是乙方缴纳了履约保证金，但因自身原因被取消成交资格或在成交公示期满之日起30个日历天(含法定节假日)内乙方不按招标文件确定的事项与甲方签订合同的，其履约保证金不予退还。三是法律法规或合同约定的其他情形。</w:t>
      </w:r>
    </w:p>
    <w:p>
      <w:pPr>
        <w:autoSpaceDE w:val="0"/>
        <w:autoSpaceDN w:val="0"/>
        <w:adjustRightInd w:val="0"/>
        <w:spacing w:line="40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十二、验收、交付标准和方法</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1.验收的主体：甲方</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2.验收时间及程序：</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（1）货物验收：乙方将当批次服装送达指定地点的当天，甲方随机抽取10％进行验收。</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（2）售后服务验收：当批次服装售后服务期结束，自甲方收到售后服务验收申请之日起5个工作日内组织验收</w:t>
      </w:r>
      <w:r>
        <w:rPr>
          <w:rFonts w:hint="eastAsia" w:ascii="宋体" w:hAnsi="宋体" w:eastAsia="宋体" w:cs="宋体"/>
          <w:color w:val="auto"/>
          <w:sz w:val="24"/>
          <w:szCs w:val="24"/>
          <w:highlight w:val="none"/>
          <w:lang w:eastAsia="zh-CN"/>
        </w:rPr>
        <w:t>。</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3.验收方式：单位内部验收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4.验收的内容：</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（1）验收内容包括品牌、型号、数量、外观等每一项技术和商务要求（不含售后服务）的履约情况；</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（2）售后服务验收内容包括售后服务要求中每一项要求的履约情况。</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验收标准：按国家有关规定以及甲方招标文件的质量要求和技术指标、乙方的投标文件及承诺与本合同约定标准进行验收；其他未尽事宜应参照《财政部关于进一步加强政府采购需求和履约验收管理的指导意见》(财库〔2016〕205号)的要求进行验收。</w:t>
      </w:r>
    </w:p>
    <w:p>
      <w:pPr>
        <w:autoSpaceDE w:val="0"/>
        <w:autoSpaceDN w:val="0"/>
        <w:spacing w:line="400" w:lineRule="exact"/>
        <w:ind w:firstLine="55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6.交付标准和方法：乙方按合同约定提供服装和售后服务且该批次验收合格，视为乙方完成当批次服装的交付。</w:t>
      </w:r>
    </w:p>
    <w:p>
      <w:pPr>
        <w:autoSpaceDE w:val="0"/>
        <w:autoSpaceDN w:val="0"/>
        <w:adjustRightInd w:val="0"/>
        <w:spacing w:line="40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十三、解决争议的方法</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1.因质量问题发生争议，由双方协商确定第三方机构进行质量鉴定。质量符合标准的，鉴定费由甲方承担；不符合质量标准的，鉴定费由乙方承担。 </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2.履约期间,若双方发生争议，双方应通过友好协商解决，经协商不能达成协议时，应提交甲方所在地的人民法院诉讼。在诉讼期间，除正在进行诉讼的部分外，合同其他部分继续执行。</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3.除判决另有规定外，一切涉诉合理费用均由违约方承担。</w:t>
      </w:r>
    </w:p>
    <w:p>
      <w:pPr>
        <w:autoSpaceDE w:val="0"/>
        <w:autoSpaceDN w:val="0"/>
        <w:adjustRightInd w:val="0"/>
        <w:spacing w:line="40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十四、知识产权</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在本项目中使用的任何产品和服务，不会产生因第三方提出侵犯其专利权、商标权或其它知识产权而引起的法律和经济纠纷，如因专利权、商标权或其它知识产权而引起法律和经济纠纷，由乙方承担所有相关责任。甲方因此遭受的损失（包括但不限于因此向第三方支付的赔偿金、违约金等，以及因此支出的诉讼费用、律师费、保全费等）均由乙方承担。</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2.履行本合同产生的知识产权均归甲方所有。</w:t>
      </w:r>
    </w:p>
    <w:p>
      <w:pPr>
        <w:autoSpaceDE w:val="0"/>
        <w:autoSpaceDN w:val="0"/>
        <w:adjustRightInd w:val="0"/>
        <w:spacing w:line="40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十五、合同的变更和终止</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除以上两条规定的情形外，本合同一经签订，甲乙双方不得擅自变更、中止或终止合同。</w:t>
      </w:r>
    </w:p>
    <w:p>
      <w:pPr>
        <w:autoSpaceDE w:val="0"/>
        <w:autoSpaceDN w:val="0"/>
        <w:adjustRightInd w:val="0"/>
        <w:spacing w:line="40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十六、合同的分包和转让</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1.乙方不得部分或全部转让其应履行的合同义务；</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2.乙方不得分包。</w:t>
      </w:r>
    </w:p>
    <w:p>
      <w:pPr>
        <w:autoSpaceDE w:val="0"/>
        <w:autoSpaceDN w:val="0"/>
        <w:adjustRightInd w:val="0"/>
        <w:spacing w:line="40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十七、违约责任</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（1）甲方违约责任</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甲方无正当理由拒收服装的，甲方应支付5000元的违约金；</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（2）乙方违约责任</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交付的服装质量不符招标文件和投标文件规定的，乙方应在招标文件规定的时间内更换合格的服装给甲方，否则，视作乙方不能交付货而违约，按本条本款下述第“2”项规定由乙方支付违约赔偿金给甲方。</w:t>
      </w:r>
    </w:p>
    <w:p>
      <w:pPr>
        <w:adjustRightInd w:val="0"/>
        <w:snapToGrid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不能交付服装或逾期交付服装而违约的，除应及时按质、按量配送服装外，还应按3000元/天向甲方支付违约金；逾期交货超过2日历天，甲方有权终止合同并要求乙方偿付20000元赔偿金，并且甲方不予退还乙方履约保证金。</w:t>
      </w:r>
    </w:p>
    <w:p>
      <w:pPr>
        <w:adjustRightInd w:val="0"/>
        <w:snapToGrid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3、乙方服装经甲方送交具有法定资格条件的质量技术监督机构检测后，如检测结果认定服装质量不符合招标文件和乙方投标文件规定标准的，则视为乙方没有按时交服装而违约，乙方须在</w:t>
      </w:r>
      <w:r>
        <w:rPr>
          <w:rFonts w:hint="eastAsia" w:ascii="宋体" w:hAnsi="宋体" w:eastAsia="宋体" w:cs="宋体"/>
          <w:color w:val="auto"/>
          <w:sz w:val="24"/>
          <w:szCs w:val="24"/>
          <w:highlight w:val="none"/>
          <w:lang w:val="en-US" w:eastAsia="zh-CN"/>
        </w:rPr>
        <w:t>12小时内</w:t>
      </w:r>
      <w:r>
        <w:rPr>
          <w:rFonts w:hint="eastAsia" w:ascii="宋体" w:hAnsi="宋体" w:eastAsia="宋体" w:cs="宋体"/>
          <w:color w:val="auto"/>
          <w:sz w:val="24"/>
          <w:szCs w:val="24"/>
          <w:highlight w:val="none"/>
        </w:rPr>
        <w:t>无条件更换合格的服装，如逾期不能更换合格的服装，甲方有权终止合同并要求乙方向甲方偿付20000元的赔偿金，并且甲方不予退还乙方履约保证金。</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未按招标文件和乙方的投标文件约定的时间及要求提供售后服务的，应按1000元/次向甲方支付违约金。超过两次（含），甲方有权聘请第三方提供服务，由此产生的费用全部由乙方承担，并且甲方不予退还乙方履约保证金。</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偿付的违约金不足以弥补甲方损失的，还应按甲方损失尚未弥补的部分，支付赔偿金给甲方，损失包括但不限于律师费、诉讼费、仲裁费、保全费、执行费、差旅费及其它实现权利的费用等。甲方有权在乙方未支付或逾期支付违约金时，从乙方缴纳的履约保证金中扣除相应金额，不足部分有权继续向乙方追偿。</w:t>
      </w:r>
    </w:p>
    <w:p>
      <w:pPr>
        <w:autoSpaceDE w:val="0"/>
        <w:autoSpaceDN w:val="0"/>
        <w:adjustRightInd w:val="0"/>
        <w:spacing w:line="40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十八、组成本合同的有关文件 </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下列关于成都市技师学院（成都工贸职业技术学院）</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级</w:t>
      </w:r>
      <w:r>
        <w:rPr>
          <w:rFonts w:hint="eastAsia" w:ascii="宋体" w:hAnsi="宋体" w:eastAsia="宋体" w:cs="宋体"/>
          <w:color w:val="auto"/>
          <w:sz w:val="24"/>
          <w:szCs w:val="24"/>
          <w:highlight w:val="none"/>
        </w:rPr>
        <w:t>学生军训服采购项目(项目编号：XXXX)的招标文件、乙方的投标文件或与本次采购活动方式相适应的文件及有关附件是本合同不可分割的组成部分，与本合同具有同等法律效力，这些文件包括但不限于：</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1.甲方的招标文件</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2.乙方的投标文件；</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3.中标通知书；</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4.本合同列出的附件。</w:t>
      </w:r>
    </w:p>
    <w:p>
      <w:pPr>
        <w:autoSpaceDE w:val="0"/>
        <w:autoSpaceDN w:val="0"/>
        <w:adjustRightInd w:val="0"/>
        <w:spacing w:line="40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十九、其他</w:t>
      </w:r>
    </w:p>
    <w:p>
      <w:pPr>
        <w:pStyle w:val="8"/>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1.乙方制定的项目实施方案和售后服务方案详见乙方投标文件。</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2.本合同自乙方缴纳履约保证金后，且合同经双方法定代表人或授权委托代理人签字并加盖单位章后生效。</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3.如有未尽事宜，由双方依法订立补充合同。</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4.本合同一式</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份，甲方</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份，乙方</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份，均具有同等法律效力。</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5.如本合同与甲方的招标文件、乙方的投标文件不一致时，以甲方的招标文件、乙方的投标文件为准。</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6.本合同应按照中华人民共和国的现行法律进行解释。</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  （盖章）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乙方：   （盖章）</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法定代表人（授权代表）：   法定代表人（授权代表）：</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                地    址：</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开户银行：</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                账    号：</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                电    话：</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                传    真：</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箱：                邮    箱：</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签约日期：XX年XX月XX日    签约日期：XX年XX月XX日</w:t>
      </w:r>
    </w:p>
    <w:p>
      <w:pPr>
        <w:spacing w:line="240" w:lineRule="auto"/>
        <w:rPr>
          <w:rFonts w:hint="eastAsia" w:ascii="宋体" w:hAnsi="宋体" w:eastAsia="宋体" w:cs="宋体"/>
          <w:color w:val="auto"/>
          <w:sz w:val="22"/>
          <w:szCs w:val="22"/>
          <w:highlight w:val="none"/>
        </w:rPr>
      </w:pPr>
    </w:p>
    <w:sectPr>
      <w:headerReference r:id="rId45" w:type="default"/>
      <w:footerReference r:id="rId46" w:type="default"/>
      <w:type w:val="continuous"/>
      <w:pgSz w:w="11905" w:h="16838"/>
      <w:pgMar w:top="1417" w:right="1417" w:bottom="1417" w:left="1417" w:header="0" w:footer="1134"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楷体à.ā">
    <w:altName w:val="宋体"/>
    <w:panose1 w:val="00000000000000000000"/>
    <w:charset w:val="86"/>
    <w:family w:val="modern"/>
    <w:pitch w:val="default"/>
    <w:sig w:usb0="00000000" w:usb1="00000000" w:usb2="00000010" w:usb3="00000000" w:csb0="00040000" w:csb1="00000000"/>
  </w:font>
  <w:font w:name="Dutch801 Rm BT">
    <w:altName w:val="Times New Roman"/>
    <w:panose1 w:val="00000000000000000000"/>
    <w:charset w:val="00"/>
    <w:family w:val="roman"/>
    <w:pitch w:val="default"/>
    <w:sig w:usb0="00000000" w:usb1="00000000" w:usb2="00000000" w:usb3="00000000" w:csb0="0000001B"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1"/>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7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31</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31</w:t>
                    </w:r>
                    <w:r>
                      <w:rPr>
                        <w:rFonts w:hint="eastAsia" w:ascii="宋体" w:hAnsi="宋体" w:eastAsia="宋体" w:cs="宋体"/>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33</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33</w:t>
                    </w:r>
                    <w:r>
                      <w:rPr>
                        <w:rFonts w:hint="eastAsia" w:ascii="宋体" w:hAnsi="宋体" w:eastAsia="宋体" w:cs="宋体"/>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2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36</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36</w:t>
                    </w:r>
                    <w:r>
                      <w:rPr>
                        <w:rFonts w:hint="eastAsia" w:ascii="宋体" w:hAnsi="宋体" w:eastAsia="宋体" w:cs="宋体"/>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37</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37</w:t>
                    </w:r>
                    <w:r>
                      <w:rPr>
                        <w:rFonts w:hint="eastAsia" w:ascii="宋体" w:hAnsi="宋体" w:eastAsia="宋体" w:cs="宋体"/>
                      </w:rP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7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40</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40</w:t>
                    </w:r>
                    <w:r>
                      <w:rPr>
                        <w:rFonts w:hint="eastAsia" w:ascii="宋体" w:hAnsi="宋体" w:eastAsia="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41</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41</w:t>
                    </w:r>
                    <w:r>
                      <w:rPr>
                        <w:rFonts w:hint="eastAsia" w:ascii="宋体" w:hAnsi="宋体" w:eastAsia="宋体" w:cs="宋体"/>
                      </w:rP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46</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pPr>
                      <w:pStyle w:val="11"/>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46</w:t>
                    </w:r>
                    <w:r>
                      <w:rPr>
                        <w:rFonts w:hint="eastAsia" w:ascii="宋体" w:hAnsi="宋体" w:eastAsia="宋体" w:cs="宋体"/>
                      </w:rP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jc w:val="center"/>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52</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52</w:t>
                    </w:r>
                    <w:r>
                      <w:rPr>
                        <w:rFonts w:hint="eastAsia" w:ascii="宋体" w:hAnsi="宋体" w:eastAsia="宋体" w:cs="宋体"/>
                      </w:rP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393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98</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JuPAsAgAAVwQAAA4AAABkcnMvZTJvRG9jLnhtbK1UzY7TMBC+I/EO&#10;lu80aRFL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LdjSjRT6Pjpx/fT&#10;z4fTr28EZxCotX6GuHuLyNC9Mx3GZjj3OIy8u8qp+AUjAj/kPV7kFV0gPF6aTqbTHC4O37ABfvZ4&#10;3Tof3gujSDQK6tC/JCs7bHzoQ4eQmE2bdSNl6qHUpC3o1es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4m48CwCAABXBAAADgAAAAAAAAABACAAAAAfAQAAZHJzL2Uyb0RvYy54bWxQSwUGAAAAAAYA&#10;BgBZAQAAvQUAAAAA&#10;">
              <v:fill on="f" focussize="0,0"/>
              <v:stroke on="f" weight="0.5pt"/>
              <v:imagedata o:title=""/>
              <o:lock v:ext="edit" aspectratio="f"/>
              <v:textbox inset="0mm,0mm,0mm,0mm" style="mso-fit-shape-to-text:t;">
                <w:txbxContent>
                  <w:p>
                    <w:pPr>
                      <w:pStyle w:val="11"/>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98</w:t>
                    </w:r>
                    <w:r>
                      <w:rPr>
                        <w:rFonts w:hint="eastAsia" w:ascii="宋体" w:hAnsi="宋体" w:eastAsia="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1"/>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posOffset>2813050</wp:posOffset>
              </wp:positionH>
              <wp:positionV relativeFrom="paragraph">
                <wp:posOffset>0</wp:posOffset>
              </wp:positionV>
              <wp:extent cx="133350" cy="13208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33350" cy="1320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1.5pt;margin-top:0pt;height:10.4pt;width:10.5pt;mso-position-horizontal-relative:margin;z-index:251664384;mso-width-relative:page;mso-height-relative:page;" filled="f" stroked="f" coordsize="21600,21600" o:gfxdata="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0WiDtcAAAAHAQAADwAAAAAAAAABACAAAAAiAAAAZHJzL2Rvd25yZXYueG1sUEsB&#10;AhQAFAAAAAgAh07iQIENCbcvAgAAVQQAAA4AAAAAAAAAAQAgAAAAJgEAAGRycy9lMm9Eb2MueG1s&#10;UEsFBgAAAAAGAAYAWQEAAMcFAAAAAA==&#10;">
              <v:fill on="f" focussize="0,0"/>
              <v:stroke on="f" weight="0.5pt"/>
              <v:imagedata o:title=""/>
              <o:lock v:ext="edit" aspectratio="f"/>
              <v:textbox inset="0mm,0mm,0mm,0mm">
                <w:txbxContent>
                  <w:p>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3" w:line="360" w:lineRule="exact"/>
      <w:ind w:right="13"/>
      <w:jc w:val="both"/>
      <w:outlineLvl w:val="1"/>
      <w:rPr>
        <w:rFonts w:ascii="宋体" w:hAnsi="宋体" w:eastAsia="宋体" w:cs="宋体"/>
        <w:b/>
        <w:bCs/>
        <w:spacing w:val="18"/>
        <w:sz w:val="32"/>
        <w:szCs w:val="32"/>
      </w:rPr>
    </w:pPr>
    <w:r>
      <w:rPr>
        <w:sz w:val="3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26" w:lineRule="auto"/>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26" w:lineRule="auto"/>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67FA83"/>
    <w:multiLevelType w:val="singleLevel"/>
    <w:tmpl w:val="C667FA83"/>
    <w:lvl w:ilvl="0" w:tentative="0">
      <w:start w:val="1"/>
      <w:numFmt w:val="chineseCounting"/>
      <w:suff w:val="nothing"/>
      <w:lvlText w:val="%1、"/>
      <w:lvlJc w:val="left"/>
      <w:pPr>
        <w:ind w:left="-210" w:firstLine="420"/>
      </w:pPr>
      <w:rPr>
        <w:rFonts w:hint="eastAsia"/>
      </w:rPr>
    </w:lvl>
  </w:abstractNum>
  <w:abstractNum w:abstractNumId="1">
    <w:nsid w:val="E1C6327C"/>
    <w:multiLevelType w:val="multilevel"/>
    <w:tmpl w:val="E1C6327C"/>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pStyle w:val="43"/>
      <w:suff w:val="nothing"/>
      <w:lvlText w:val="(%2)"/>
      <w:lvlJc w:val="left"/>
      <w:pPr>
        <w:ind w:left="0" w:firstLine="0"/>
      </w:pPr>
      <w:rPr>
        <w:rFonts w:hint="eastAsia" w:ascii="宋体" w:hAnsi="宋体" w:eastAsia="宋体" w:cs="宋体"/>
      </w:rPr>
    </w:lvl>
    <w:lvl w:ilvl="2" w:tentative="0">
      <w:start w:val="1"/>
      <w:numFmt w:val="decimal"/>
      <w:suff w:val="nothing"/>
      <w:lvlText w:val="%3."/>
      <w:lvlJc w:val="left"/>
      <w:pPr>
        <w:ind w:left="0" w:firstLine="0"/>
      </w:pPr>
      <w:rPr>
        <w:rFonts w:hint="eastAsia" w:ascii="宋体" w:hAnsi="宋体" w:eastAsia="宋体" w:cs="宋体"/>
      </w:rPr>
    </w:lvl>
    <w:lvl w:ilvl="3" w:tentative="0">
      <w:start w:val="1"/>
      <w:numFmt w:val="decimal"/>
      <w:suff w:val="nothing"/>
      <w:lvlText w:val="%3.%4"/>
      <w:lvlJc w:val="left"/>
      <w:pPr>
        <w:ind w:left="0" w:firstLine="0"/>
      </w:pPr>
      <w:rPr>
        <w:rFonts w:hint="eastAsia" w:ascii="宋体" w:hAnsi="宋体" w:eastAsia="宋体" w:cs="宋体"/>
      </w:rPr>
    </w:lvl>
    <w:lvl w:ilvl="4" w:tentative="0">
      <w:start w:val="1"/>
      <w:numFmt w:val="decimal"/>
      <w:suff w:val="nothing"/>
      <w:lvlText w:val="(%5)"/>
      <w:lvlJc w:val="left"/>
      <w:pPr>
        <w:ind w:left="0" w:firstLine="0"/>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E84AAD0C"/>
    <w:multiLevelType w:val="singleLevel"/>
    <w:tmpl w:val="E84AAD0C"/>
    <w:lvl w:ilvl="0" w:tentative="0">
      <w:start w:val="1"/>
      <w:numFmt w:val="decimal"/>
      <w:suff w:val="space"/>
      <w:lvlText w:val="%1."/>
      <w:lvlJc w:val="left"/>
    </w:lvl>
  </w:abstractNum>
  <w:abstractNum w:abstractNumId="3">
    <w:nsid w:val="3638A934"/>
    <w:multiLevelType w:val="singleLevel"/>
    <w:tmpl w:val="3638A934"/>
    <w:lvl w:ilvl="0" w:tentative="0">
      <w:start w:val="1"/>
      <w:numFmt w:val="decimal"/>
      <w:suff w:val="space"/>
      <w:lvlText w:val="(%1)"/>
      <w:lvlJc w:val="left"/>
    </w:lvl>
  </w:abstractNum>
  <w:abstractNum w:abstractNumId="4">
    <w:nsid w:val="7D271BFC"/>
    <w:multiLevelType w:val="multilevel"/>
    <w:tmpl w:val="7D271BFC"/>
    <w:lvl w:ilvl="0" w:tentative="0">
      <w:start w:val="1"/>
      <w:numFmt w:val="decimal"/>
      <w:pStyle w:val="3"/>
      <w:lvlText w:val="%1"/>
      <w:lvlJc w:val="left"/>
      <w:pPr>
        <w:ind w:left="0" w:firstLine="0"/>
      </w:pPr>
      <w:rPr>
        <w:rFonts w:hint="eastAsia" w:eastAsia="宋体" w:asciiTheme="majorEastAsia" w:hAnsiTheme="majorEastAsia"/>
      </w:rPr>
    </w:lvl>
    <w:lvl w:ilvl="1" w:tentative="0">
      <w:start w:val="1"/>
      <w:numFmt w:val="decimal"/>
      <w:lvlText w:val="%1.%2"/>
      <w:lvlJc w:val="left"/>
      <w:pPr>
        <w:ind w:left="-200" w:firstLine="0"/>
      </w:pPr>
      <w:rPr>
        <w:rFonts w:hint="eastAsia" w:ascii="宋体" w:hAnsi="宋体" w:eastAsia="宋体"/>
      </w:rPr>
    </w:lvl>
    <w:lvl w:ilvl="2" w:tentative="0">
      <w:start w:val="1"/>
      <w:numFmt w:val="decimal"/>
      <w:lvlText w:val="%1.%2.%3"/>
      <w:lvlJc w:val="left"/>
      <w:pPr>
        <w:ind w:left="0" w:firstLine="0"/>
      </w:pPr>
      <w:rPr>
        <w:rFonts w:hint="eastAsia" w:ascii="宋体" w:hAnsi="宋体" w:eastAsia="宋体"/>
      </w:rPr>
    </w:lvl>
    <w:lvl w:ilvl="3" w:tentative="0">
      <w:start w:val="1"/>
      <w:numFmt w:val="decimal"/>
      <w:lvlText w:val="%1.%2.%3.%4"/>
      <w:lvlJc w:val="left"/>
      <w:pPr>
        <w:ind w:left="0" w:firstLine="0"/>
      </w:pPr>
      <w:rPr>
        <w:rFonts w:hint="eastAsia" w:ascii="宋体" w:hAnsi="宋体" w:eastAsia="宋体"/>
      </w:rPr>
    </w:lvl>
    <w:lvl w:ilvl="4" w:tentative="0">
      <w:start w:val="1"/>
      <w:numFmt w:val="decimal"/>
      <w:lvlText w:val="%1.%2.%3.%4.%5"/>
      <w:lvlJc w:val="left"/>
      <w:pPr>
        <w:ind w:left="0" w:firstLine="0"/>
      </w:pPr>
      <w:rPr>
        <w:rFonts w:hint="eastAsia" w:eastAsia="宋体" w:asciiTheme="minorEastAsia" w:hAnsiTheme="minorEastAsia"/>
      </w:rPr>
    </w:lvl>
    <w:lvl w:ilvl="5" w:tentative="0">
      <w:start w:val="1"/>
      <w:numFmt w:val="decimal"/>
      <w:lvlText w:val="%1.%2.%3.%4.%5.%6"/>
      <w:lvlJc w:val="left"/>
      <w:pPr>
        <w:ind w:left="0" w:firstLine="0"/>
      </w:pPr>
      <w:rPr>
        <w:rFonts w:hint="eastAsia" w:ascii="宋体" w:hAnsi="宋体" w:eastAsia="宋体"/>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5102" w:hanging="1700"/>
      </w:pPr>
      <w:rPr>
        <w:rFonts w:hint="eastAsia"/>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3"/>
    </o:shapelayout>
  </w:hdrShapeDefault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GI4NjI5OTBmMDM1ODFlMDkzNDFlZTFiMWNhZWU5ZTMifQ=="/>
    <w:docVar w:name="KSO_WPS_MARK_KEY" w:val="222be758-bda7-44a6-b246-fdfb4510293e"/>
  </w:docVars>
  <w:rsids>
    <w:rsidRoot w:val="008719C1"/>
    <w:rsid w:val="00051814"/>
    <w:rsid w:val="000702A9"/>
    <w:rsid w:val="0007321C"/>
    <w:rsid w:val="00094D1B"/>
    <w:rsid w:val="000C3C4A"/>
    <w:rsid w:val="000E6E8C"/>
    <w:rsid w:val="0011241E"/>
    <w:rsid w:val="00150F44"/>
    <w:rsid w:val="001750BB"/>
    <w:rsid w:val="00242D84"/>
    <w:rsid w:val="00245B36"/>
    <w:rsid w:val="002567D6"/>
    <w:rsid w:val="00291492"/>
    <w:rsid w:val="002B467F"/>
    <w:rsid w:val="002C2650"/>
    <w:rsid w:val="00357C70"/>
    <w:rsid w:val="00375062"/>
    <w:rsid w:val="003F74DC"/>
    <w:rsid w:val="0046212F"/>
    <w:rsid w:val="004B7BAF"/>
    <w:rsid w:val="004E55D6"/>
    <w:rsid w:val="0050144E"/>
    <w:rsid w:val="00535710"/>
    <w:rsid w:val="005462E4"/>
    <w:rsid w:val="005B1EF9"/>
    <w:rsid w:val="00626690"/>
    <w:rsid w:val="006911F9"/>
    <w:rsid w:val="00695339"/>
    <w:rsid w:val="006C654F"/>
    <w:rsid w:val="006E2142"/>
    <w:rsid w:val="00727339"/>
    <w:rsid w:val="00741DEE"/>
    <w:rsid w:val="00754D26"/>
    <w:rsid w:val="007B34D4"/>
    <w:rsid w:val="007C5564"/>
    <w:rsid w:val="007D76F8"/>
    <w:rsid w:val="00834573"/>
    <w:rsid w:val="00844D1D"/>
    <w:rsid w:val="0087053C"/>
    <w:rsid w:val="008719C1"/>
    <w:rsid w:val="008A7277"/>
    <w:rsid w:val="008B0626"/>
    <w:rsid w:val="008D10AC"/>
    <w:rsid w:val="008D7556"/>
    <w:rsid w:val="0096105F"/>
    <w:rsid w:val="009B6095"/>
    <w:rsid w:val="00A15361"/>
    <w:rsid w:val="00A320BB"/>
    <w:rsid w:val="00AF71EC"/>
    <w:rsid w:val="00B750B4"/>
    <w:rsid w:val="00BB6CBE"/>
    <w:rsid w:val="00BC137B"/>
    <w:rsid w:val="00C72ADA"/>
    <w:rsid w:val="00C87311"/>
    <w:rsid w:val="00CB65C8"/>
    <w:rsid w:val="00D213AB"/>
    <w:rsid w:val="00DB2C11"/>
    <w:rsid w:val="00DB4762"/>
    <w:rsid w:val="00E43269"/>
    <w:rsid w:val="00E44010"/>
    <w:rsid w:val="00E74D86"/>
    <w:rsid w:val="014C6B4A"/>
    <w:rsid w:val="01FA47FF"/>
    <w:rsid w:val="023575E5"/>
    <w:rsid w:val="02384D4F"/>
    <w:rsid w:val="02A8425B"/>
    <w:rsid w:val="04E07DC6"/>
    <w:rsid w:val="0503653F"/>
    <w:rsid w:val="05EE6432"/>
    <w:rsid w:val="07524795"/>
    <w:rsid w:val="089D5EE4"/>
    <w:rsid w:val="093D7C65"/>
    <w:rsid w:val="0A0D7C0C"/>
    <w:rsid w:val="0A252635"/>
    <w:rsid w:val="0A451CC8"/>
    <w:rsid w:val="0A4A6956"/>
    <w:rsid w:val="0CBF0142"/>
    <w:rsid w:val="0CE20369"/>
    <w:rsid w:val="0D156991"/>
    <w:rsid w:val="0DEF271B"/>
    <w:rsid w:val="0DF62107"/>
    <w:rsid w:val="0E010CC3"/>
    <w:rsid w:val="0FA40D33"/>
    <w:rsid w:val="0FC46580"/>
    <w:rsid w:val="10E41578"/>
    <w:rsid w:val="114759AD"/>
    <w:rsid w:val="122D2087"/>
    <w:rsid w:val="12971BF6"/>
    <w:rsid w:val="12A32349"/>
    <w:rsid w:val="12C61DE6"/>
    <w:rsid w:val="14D7022E"/>
    <w:rsid w:val="15523CE6"/>
    <w:rsid w:val="1574174F"/>
    <w:rsid w:val="1708410F"/>
    <w:rsid w:val="19CA0387"/>
    <w:rsid w:val="1A22318D"/>
    <w:rsid w:val="1BA43EB2"/>
    <w:rsid w:val="1BCE1E6F"/>
    <w:rsid w:val="1C8C6544"/>
    <w:rsid w:val="1D3303F2"/>
    <w:rsid w:val="1D4E6BA1"/>
    <w:rsid w:val="1EEE7042"/>
    <w:rsid w:val="20501FE2"/>
    <w:rsid w:val="20713A86"/>
    <w:rsid w:val="20D56041"/>
    <w:rsid w:val="22634B37"/>
    <w:rsid w:val="230C7A96"/>
    <w:rsid w:val="23887A65"/>
    <w:rsid w:val="23EA41CD"/>
    <w:rsid w:val="24A95977"/>
    <w:rsid w:val="24DA04C5"/>
    <w:rsid w:val="251867F4"/>
    <w:rsid w:val="255C11BE"/>
    <w:rsid w:val="25A21EB7"/>
    <w:rsid w:val="25D90BC5"/>
    <w:rsid w:val="268B6BF5"/>
    <w:rsid w:val="27271343"/>
    <w:rsid w:val="28123DA1"/>
    <w:rsid w:val="2824061B"/>
    <w:rsid w:val="283A7430"/>
    <w:rsid w:val="293D0904"/>
    <w:rsid w:val="294F692F"/>
    <w:rsid w:val="2A5F5AD7"/>
    <w:rsid w:val="2A906F48"/>
    <w:rsid w:val="2C185918"/>
    <w:rsid w:val="2C8E3C12"/>
    <w:rsid w:val="2DC21E30"/>
    <w:rsid w:val="2E861936"/>
    <w:rsid w:val="2ECA68A6"/>
    <w:rsid w:val="2EEF03BC"/>
    <w:rsid w:val="2F7075FF"/>
    <w:rsid w:val="2F762ECD"/>
    <w:rsid w:val="300D5F53"/>
    <w:rsid w:val="30D3190E"/>
    <w:rsid w:val="312A7602"/>
    <w:rsid w:val="31E746EC"/>
    <w:rsid w:val="32146FC0"/>
    <w:rsid w:val="33644AC5"/>
    <w:rsid w:val="35566808"/>
    <w:rsid w:val="359B252E"/>
    <w:rsid w:val="36070CBD"/>
    <w:rsid w:val="360D204B"/>
    <w:rsid w:val="36B349A1"/>
    <w:rsid w:val="37904CE2"/>
    <w:rsid w:val="39BA7DF4"/>
    <w:rsid w:val="39C62C3D"/>
    <w:rsid w:val="3A974937"/>
    <w:rsid w:val="3AA552E8"/>
    <w:rsid w:val="3AC709D8"/>
    <w:rsid w:val="3AF03D3D"/>
    <w:rsid w:val="3BEB5355"/>
    <w:rsid w:val="3C17295E"/>
    <w:rsid w:val="3C426303"/>
    <w:rsid w:val="3CAD2B7D"/>
    <w:rsid w:val="3CF32BCF"/>
    <w:rsid w:val="3CF94223"/>
    <w:rsid w:val="3D435C48"/>
    <w:rsid w:val="3E06217E"/>
    <w:rsid w:val="3FA7505A"/>
    <w:rsid w:val="40BC3CD2"/>
    <w:rsid w:val="4105229D"/>
    <w:rsid w:val="416C40CA"/>
    <w:rsid w:val="41F00B11"/>
    <w:rsid w:val="41F62B9C"/>
    <w:rsid w:val="42641ED5"/>
    <w:rsid w:val="42652173"/>
    <w:rsid w:val="426D556C"/>
    <w:rsid w:val="43BF6572"/>
    <w:rsid w:val="445552E9"/>
    <w:rsid w:val="45E70F36"/>
    <w:rsid w:val="45E80733"/>
    <w:rsid w:val="4698770F"/>
    <w:rsid w:val="47046B53"/>
    <w:rsid w:val="47727F60"/>
    <w:rsid w:val="492C786D"/>
    <w:rsid w:val="49520049"/>
    <w:rsid w:val="49690EEF"/>
    <w:rsid w:val="498A77E3"/>
    <w:rsid w:val="4A101B76"/>
    <w:rsid w:val="4B0D4E47"/>
    <w:rsid w:val="4C2D4456"/>
    <w:rsid w:val="4C8F5111"/>
    <w:rsid w:val="4C9E060E"/>
    <w:rsid w:val="4CB6269D"/>
    <w:rsid w:val="4D0F2D07"/>
    <w:rsid w:val="4F3568FD"/>
    <w:rsid w:val="507D1E8B"/>
    <w:rsid w:val="50AF14D1"/>
    <w:rsid w:val="51703467"/>
    <w:rsid w:val="51D40A01"/>
    <w:rsid w:val="521A722A"/>
    <w:rsid w:val="52557CF2"/>
    <w:rsid w:val="52722424"/>
    <w:rsid w:val="52C66A8C"/>
    <w:rsid w:val="52DC0710"/>
    <w:rsid w:val="53642E53"/>
    <w:rsid w:val="543A0058"/>
    <w:rsid w:val="54566453"/>
    <w:rsid w:val="54F95D51"/>
    <w:rsid w:val="553B5659"/>
    <w:rsid w:val="5548377E"/>
    <w:rsid w:val="5579695E"/>
    <w:rsid w:val="56220DA3"/>
    <w:rsid w:val="56F50266"/>
    <w:rsid w:val="571526B6"/>
    <w:rsid w:val="57ED183D"/>
    <w:rsid w:val="57F55EB3"/>
    <w:rsid w:val="588D419D"/>
    <w:rsid w:val="592D022A"/>
    <w:rsid w:val="594C028D"/>
    <w:rsid w:val="59B16258"/>
    <w:rsid w:val="59B71EC6"/>
    <w:rsid w:val="5A0768A2"/>
    <w:rsid w:val="5A4C23DB"/>
    <w:rsid w:val="5AC228CE"/>
    <w:rsid w:val="5BD00334"/>
    <w:rsid w:val="5CF709BF"/>
    <w:rsid w:val="5DB03C82"/>
    <w:rsid w:val="5E20787C"/>
    <w:rsid w:val="5EBA2BA1"/>
    <w:rsid w:val="60120C7F"/>
    <w:rsid w:val="6042008A"/>
    <w:rsid w:val="61004E34"/>
    <w:rsid w:val="614C3178"/>
    <w:rsid w:val="63357754"/>
    <w:rsid w:val="639D7B4D"/>
    <w:rsid w:val="649E018F"/>
    <w:rsid w:val="64CD4F19"/>
    <w:rsid w:val="64D977A3"/>
    <w:rsid w:val="65AF4410"/>
    <w:rsid w:val="66903B07"/>
    <w:rsid w:val="669C2357"/>
    <w:rsid w:val="66D02EB2"/>
    <w:rsid w:val="66E4700F"/>
    <w:rsid w:val="672F7159"/>
    <w:rsid w:val="67DC3307"/>
    <w:rsid w:val="689A52B4"/>
    <w:rsid w:val="6A720EF8"/>
    <w:rsid w:val="6AEB3A02"/>
    <w:rsid w:val="6D543AE1"/>
    <w:rsid w:val="6FB71363"/>
    <w:rsid w:val="6FC300B2"/>
    <w:rsid w:val="6FD35191"/>
    <w:rsid w:val="70883DE4"/>
    <w:rsid w:val="71F92EA9"/>
    <w:rsid w:val="720D17BF"/>
    <w:rsid w:val="72F97729"/>
    <w:rsid w:val="74F778A6"/>
    <w:rsid w:val="75294EF6"/>
    <w:rsid w:val="755C79D6"/>
    <w:rsid w:val="75726FA5"/>
    <w:rsid w:val="75B73ED4"/>
    <w:rsid w:val="76277C79"/>
    <w:rsid w:val="772070F2"/>
    <w:rsid w:val="77AE0A69"/>
    <w:rsid w:val="77F9207D"/>
    <w:rsid w:val="78A376CA"/>
    <w:rsid w:val="79423801"/>
    <w:rsid w:val="7A044199"/>
    <w:rsid w:val="7B6C2EA0"/>
    <w:rsid w:val="7B7B072C"/>
    <w:rsid w:val="7B7C6C4B"/>
    <w:rsid w:val="7B8C2698"/>
    <w:rsid w:val="7CD3000F"/>
    <w:rsid w:val="7D0A3BC9"/>
    <w:rsid w:val="7DC469EB"/>
    <w:rsid w:val="7DED391C"/>
    <w:rsid w:val="7EED24D1"/>
    <w:rsid w:val="7F535449"/>
    <w:rsid w:val="AC7C9331"/>
    <w:rsid w:val="AFB534B6"/>
    <w:rsid w:val="B1DEB752"/>
    <w:rsid w:val="EFFE2178"/>
    <w:rsid w:val="F5BF9143"/>
    <w:rsid w:val="FF6CD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qFormat="1" w:uiPriority="99" w:semiHidden="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1"/>
    <w:basedOn w:val="1"/>
    <w:next w:val="1"/>
    <w:qFormat/>
    <w:uiPriority w:val="9"/>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3" w:lineRule="auto"/>
      <w:ind w:firstLine="200" w:firstLineChars="200"/>
      <w:outlineLvl w:val="1"/>
    </w:pPr>
    <w:rPr>
      <w:rFonts w:ascii="Arial" w:hAnsi="Arial" w:eastAsia="黑体"/>
      <w:b/>
      <w:szCs w:val="22"/>
    </w:rPr>
  </w:style>
  <w:style w:type="paragraph" w:styleId="5">
    <w:name w:val="heading 3"/>
    <w:basedOn w:val="1"/>
    <w:next w:val="1"/>
    <w:qFormat/>
    <w:uiPriority w:val="9"/>
    <w:pPr>
      <w:outlineLvl w:val="2"/>
    </w:pPr>
    <w:rPr>
      <w:sz w:val="30"/>
    </w:rPr>
  </w:style>
  <w:style w:type="paragraph" w:styleId="6">
    <w:name w:val="heading 4"/>
    <w:basedOn w:val="1"/>
    <w:next w:val="1"/>
    <w:qFormat/>
    <w:uiPriority w:val="99"/>
    <w:pPr>
      <w:keepNext/>
      <w:keepLines/>
      <w:spacing w:before="280" w:after="290" w:line="372" w:lineRule="auto"/>
      <w:outlineLvl w:val="3"/>
    </w:pPr>
    <w:rPr>
      <w:rFonts w:eastAsia="黑体" w:cs="Times New Roman"/>
      <w:b/>
      <w:bCs/>
      <w:sz w:val="28"/>
      <w:szCs w:val="28"/>
    </w:rPr>
  </w:style>
  <w:style w:type="paragraph" w:styleId="7">
    <w:name w:val="heading 9"/>
    <w:basedOn w:val="1"/>
    <w:next w:val="1"/>
    <w:semiHidden/>
    <w:unhideWhenUsed/>
    <w:qFormat/>
    <w:uiPriority w:val="0"/>
    <w:pPr>
      <w:keepNext/>
      <w:keepLines/>
      <w:spacing w:before="240" w:after="64" w:line="317" w:lineRule="auto"/>
      <w:outlineLvl w:val="8"/>
    </w:pPr>
    <w:rPr>
      <w:rFonts w:eastAsia="黑体"/>
    </w:rPr>
  </w:style>
  <w:style w:type="character" w:default="1" w:styleId="21">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rPr>
      <w:rFonts w:ascii="Times New Roman" w:hAnsi="Times New Roman"/>
      <w:sz w:val="20"/>
      <w:szCs w:val="20"/>
    </w:rPr>
  </w:style>
  <w:style w:type="paragraph" w:styleId="8">
    <w:name w:val="Normal Indent"/>
    <w:basedOn w:val="1"/>
    <w:qFormat/>
    <w:uiPriority w:val="0"/>
    <w:pPr>
      <w:ind w:firstLine="420"/>
    </w:pPr>
    <w:rPr>
      <w:szCs w:val="20"/>
    </w:rPr>
  </w:style>
  <w:style w:type="paragraph" w:styleId="9">
    <w:name w:val="annotation text"/>
    <w:basedOn w:val="1"/>
    <w:link w:val="39"/>
    <w:qFormat/>
    <w:uiPriority w:val="0"/>
  </w:style>
  <w:style w:type="paragraph" w:styleId="10">
    <w:name w:val="toc 3"/>
    <w:basedOn w:val="1"/>
    <w:next w:val="1"/>
    <w:qFormat/>
    <w:uiPriority w:val="0"/>
    <w:pPr>
      <w:ind w:left="840" w:leftChars="400"/>
    </w:pPr>
  </w:style>
  <w:style w:type="paragraph" w:styleId="11">
    <w:name w:val="footer"/>
    <w:basedOn w:val="1"/>
    <w:qFormat/>
    <w:uiPriority w:val="0"/>
    <w:pPr>
      <w:tabs>
        <w:tab w:val="center" w:pos="4153"/>
        <w:tab w:val="right" w:pos="8306"/>
      </w:tabs>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Body Text 2"/>
    <w:basedOn w:val="1"/>
    <w:qFormat/>
    <w:uiPriority w:val="0"/>
    <w:pPr>
      <w:spacing w:after="120" w:line="480" w:lineRule="auto"/>
    </w:pPr>
  </w:style>
  <w:style w:type="paragraph" w:styleId="16">
    <w:name w:val="Title"/>
    <w:basedOn w:val="1"/>
    <w:next w:val="1"/>
    <w:qFormat/>
    <w:uiPriority w:val="10"/>
    <w:pPr>
      <w:spacing w:before="240" w:after="60"/>
      <w:jc w:val="center"/>
      <w:outlineLvl w:val="0"/>
    </w:pPr>
    <w:rPr>
      <w:rFonts w:asciiTheme="majorHAnsi" w:hAnsiTheme="majorHAnsi" w:cstheme="majorBidi"/>
      <w:b/>
      <w:bCs/>
      <w:sz w:val="32"/>
      <w:szCs w:val="32"/>
    </w:rPr>
  </w:style>
  <w:style w:type="paragraph" w:styleId="17">
    <w:name w:val="annotation subject"/>
    <w:basedOn w:val="9"/>
    <w:next w:val="9"/>
    <w:link w:val="40"/>
    <w:qFormat/>
    <w:uiPriority w:val="0"/>
    <w:rPr>
      <w:b/>
      <w:bCs/>
    </w:rPr>
  </w:style>
  <w:style w:type="table" w:styleId="19">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styleId="20">
    <w:name w:val="Table Professional"/>
    <w:unhideWhenUsed/>
    <w:qFormat/>
    <w:uiPriority w:val="99"/>
    <w:pPr>
      <w:widowControl w:val="0"/>
      <w:jc w:val="both"/>
    </w:pPr>
    <w:rPr>
      <w:rFonts w:ascii="等线" w:hAnsi="等线" w:eastAsia="等线"/>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
    <w:tcPr>
      <w:shd w:val="clear" w:color="auto" w:fill="auto"/>
    </w:tcPr>
    <w:tblStylePr w:type="firstRow">
      <w:rPr>
        <w:b/>
        <w:bCs/>
        <w:color w:val="auto"/>
      </w:rPr>
      <w:tblPr/>
      <w:tcPr>
        <w:tcBorders>
          <w:tl2br w:val="nil"/>
          <w:tr2bl w:val="nil"/>
        </w:tcBorders>
        <w:shd w:val="solid" w:color="000000" w:fill="FFFFFF"/>
      </w:tcPr>
    </w:tblStylePr>
  </w:style>
  <w:style w:type="character" w:styleId="22">
    <w:name w:val="annotation reference"/>
    <w:basedOn w:val="21"/>
    <w:qFormat/>
    <w:uiPriority w:val="0"/>
    <w:rPr>
      <w:sz w:val="21"/>
      <w:szCs w:val="21"/>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5">
    <w:name w:val="List Paragraph"/>
    <w:basedOn w:val="1"/>
    <w:qFormat/>
    <w:uiPriority w:val="34"/>
    <w:pPr>
      <w:ind w:firstLine="420" w:firstLineChars="200"/>
    </w:pPr>
    <w:rPr>
      <w:rFonts w:ascii="Calibri" w:hAnsi="Calibri"/>
      <w:szCs w:val="22"/>
    </w:r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customStyle="1" w:styleId="2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8">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29">
    <w:name w:val="Default"/>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table" w:customStyle="1" w:styleId="30">
    <w:name w:val="Table1"/>
    <w:qFormat/>
    <w:uiPriority w:val="0"/>
    <w:rPr>
      <w:rFonts w:cs="Arial"/>
    </w:rPr>
    <w:tblPr>
      <w:tblCellMar>
        <w:top w:w="0" w:type="dxa"/>
        <w:left w:w="0" w:type="dxa"/>
        <w:bottom w:w="0" w:type="dxa"/>
        <w:right w:w="0" w:type="dxa"/>
      </w:tblCellMar>
    </w:tblPr>
    <w:trPr>
      <w:cantSplit/>
    </w:trPr>
    <w:tcPr>
      <w:shd w:val="clear" w:color="auto" w:fill="auto"/>
    </w:tcPr>
    <w:tblStylePr w:type="firstRow">
      <w:rPr>
        <w:b w:val="0"/>
        <w:bCs w:val="0"/>
        <w:i w:val="0"/>
        <w:iCs w:val="0"/>
        <w:color w:val="auto"/>
        <w:sz w:val="20"/>
        <w:szCs w:val="20"/>
      </w:rPr>
      <w:tcPr>
        <w:tcBorders>
          <w:top w:val="single" w:color="auto" w:sz="6" w:space="0"/>
          <w:left w:val="single" w:color="auto" w:sz="6" w:space="0"/>
          <w:bottom w:val="single" w:color="auto" w:sz="6" w:space="0"/>
          <w:right w:val="single" w:color="auto" w:sz="6" w:space="0"/>
          <w:insideH w:val="single" w:sz="6" w:space="0"/>
          <w:insideV w:val="single" w:sz="6" w:space="0"/>
          <w:tl2br w:val="nil"/>
          <w:tr2bl w:val="nil"/>
        </w:tcBorders>
        <w:shd w:val="clear" w:color="auto" w:fill="D9D9D9"/>
      </w:tcPr>
    </w:tblStylePr>
  </w:style>
  <w:style w:type="table" w:customStyle="1" w:styleId="31">
    <w:name w:val="网格型2"/>
    <w:qFormat/>
    <w:uiPriority w:val="39"/>
    <w:rPr>
      <w:rFonts w:ascii="Dutch801 Rm BT" w:hAnsi="Dutch801 Rm BT" w:cs="Dutch801 Rm B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32">
    <w:name w:val="网格型1"/>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33">
    <w:name w:val="font51"/>
    <w:basedOn w:val="21"/>
    <w:qFormat/>
    <w:uiPriority w:val="0"/>
    <w:rPr>
      <w:rFonts w:hint="eastAsia" w:ascii="仿宋" w:hAnsi="仿宋" w:eastAsia="仿宋" w:cs="仿宋"/>
      <w:color w:val="000000"/>
      <w:sz w:val="20"/>
      <w:szCs w:val="20"/>
      <w:u w:val="none"/>
    </w:rPr>
  </w:style>
  <w:style w:type="character" w:customStyle="1" w:styleId="34">
    <w:name w:val="font01"/>
    <w:basedOn w:val="21"/>
    <w:qFormat/>
    <w:uiPriority w:val="0"/>
    <w:rPr>
      <w:rFonts w:hint="eastAsia" w:ascii="宋体" w:hAnsi="宋体" w:eastAsia="宋体" w:cs="宋体"/>
      <w:color w:val="000000"/>
      <w:sz w:val="20"/>
      <w:szCs w:val="20"/>
      <w:u w:val="none"/>
    </w:rPr>
  </w:style>
  <w:style w:type="character" w:customStyle="1" w:styleId="35">
    <w:name w:val="font71"/>
    <w:basedOn w:val="21"/>
    <w:qFormat/>
    <w:uiPriority w:val="0"/>
    <w:rPr>
      <w:rFonts w:ascii="Calibri" w:hAnsi="Calibri" w:cs="Calibri"/>
      <w:color w:val="000000"/>
      <w:sz w:val="20"/>
      <w:szCs w:val="20"/>
      <w:u w:val="none"/>
    </w:rPr>
  </w:style>
  <w:style w:type="character" w:customStyle="1" w:styleId="36">
    <w:name w:val="font81"/>
    <w:basedOn w:val="21"/>
    <w:qFormat/>
    <w:uiPriority w:val="0"/>
    <w:rPr>
      <w:rFonts w:ascii="Arial" w:hAnsi="Arial" w:cs="Arial"/>
      <w:color w:val="000000"/>
      <w:sz w:val="20"/>
      <w:szCs w:val="20"/>
      <w:u w:val="none"/>
    </w:rPr>
  </w:style>
  <w:style w:type="paragraph" w:customStyle="1" w:styleId="37">
    <w:name w:val="样式 首行缩进:  2 字符"/>
    <w:basedOn w:val="1"/>
    <w:qFormat/>
    <w:uiPriority w:val="0"/>
    <w:pPr>
      <w:spacing w:line="400" w:lineRule="exact"/>
      <w:ind w:firstLine="200" w:firstLineChars="200"/>
    </w:pPr>
    <w:rPr>
      <w:rFonts w:cs="宋体"/>
      <w:sz w:val="24"/>
    </w:rPr>
  </w:style>
  <w:style w:type="paragraph" w:customStyle="1" w:styleId="38">
    <w:name w:val="修订1"/>
    <w:hidden/>
    <w:semiHidden/>
    <w:qFormat/>
    <w:uiPriority w:val="99"/>
    <w:rPr>
      <w:rFonts w:ascii="Arial" w:hAnsi="Arial" w:eastAsia="Arial" w:cs="Arial"/>
      <w:snapToGrid w:val="0"/>
      <w:color w:val="000000"/>
      <w:sz w:val="21"/>
      <w:szCs w:val="21"/>
      <w:lang w:val="en-US" w:eastAsia="zh-CN" w:bidi="ar-SA"/>
    </w:rPr>
  </w:style>
  <w:style w:type="character" w:customStyle="1" w:styleId="39">
    <w:name w:val="批注文字 字符"/>
    <w:basedOn w:val="21"/>
    <w:link w:val="9"/>
    <w:qFormat/>
    <w:uiPriority w:val="0"/>
    <w:rPr>
      <w:rFonts w:ascii="Arial" w:hAnsi="Arial" w:eastAsia="Arial" w:cs="Arial"/>
      <w:snapToGrid w:val="0"/>
      <w:color w:val="000000"/>
      <w:sz w:val="21"/>
      <w:szCs w:val="21"/>
    </w:rPr>
  </w:style>
  <w:style w:type="character" w:customStyle="1" w:styleId="40">
    <w:name w:val="批注主题 字符"/>
    <w:basedOn w:val="39"/>
    <w:link w:val="17"/>
    <w:qFormat/>
    <w:uiPriority w:val="0"/>
    <w:rPr>
      <w:rFonts w:ascii="Arial" w:hAnsi="Arial" w:eastAsia="Arial" w:cs="Arial"/>
      <w:b/>
      <w:bCs/>
      <w:snapToGrid w:val="0"/>
      <w:color w:val="000000"/>
      <w:sz w:val="21"/>
      <w:szCs w:val="21"/>
    </w:rPr>
  </w:style>
  <w:style w:type="character" w:customStyle="1" w:styleId="41">
    <w:name w:val="font41"/>
    <w:basedOn w:val="21"/>
    <w:qFormat/>
    <w:uiPriority w:val="0"/>
    <w:rPr>
      <w:rFonts w:hint="eastAsia" w:ascii="仿宋" w:hAnsi="仿宋" w:eastAsia="仿宋" w:cs="仿宋"/>
      <w:color w:val="000000"/>
      <w:sz w:val="20"/>
      <w:szCs w:val="20"/>
      <w:u w:val="none"/>
    </w:rPr>
  </w:style>
  <w:style w:type="paragraph" w:customStyle="1" w:styleId="42">
    <w:name w:val="Revision"/>
    <w:hidden/>
    <w:semiHidden/>
    <w:qFormat/>
    <w:uiPriority w:val="99"/>
    <w:rPr>
      <w:rFonts w:ascii="Arial" w:hAnsi="Arial" w:eastAsia="Arial" w:cs="Arial"/>
      <w:snapToGrid w:val="0"/>
      <w:color w:val="000000"/>
      <w:sz w:val="21"/>
      <w:szCs w:val="21"/>
      <w:lang w:val="en-US" w:eastAsia="zh-CN" w:bidi="ar-SA"/>
    </w:rPr>
  </w:style>
  <w:style w:type="paragraph" w:customStyle="1" w:styleId="43">
    <w:name w:val="05、“(一)”正文三级标题"/>
    <w:basedOn w:val="1"/>
    <w:qFormat/>
    <w:uiPriority w:val="0"/>
    <w:pPr>
      <w:numPr>
        <w:ilvl w:val="1"/>
        <w:numId w:val="2"/>
      </w:numPr>
      <w:tabs>
        <w:tab w:val="left" w:pos="0"/>
      </w:tabs>
      <w:wordWrap w:val="0"/>
      <w:topLinePunct/>
      <w:ind w:firstLine="803" w:firstLineChars="200"/>
    </w:pPr>
  </w:style>
  <w:style w:type="paragraph" w:customStyle="1" w:styleId="44">
    <w:name w:val="01、普通正文"/>
    <w:basedOn w:val="1"/>
    <w:qFormat/>
    <w:uiPriority w:val="0"/>
    <w:pPr>
      <w:tabs>
        <w:tab w:val="left" w:pos="0"/>
      </w:tabs>
      <w:wordWrap w:val="0"/>
      <w:topLinePunct/>
      <w:ind w:firstLine="0" w:firstLineChars="0"/>
    </w:pPr>
    <w:rPr>
      <w:rFonts w:ascii="宋体" w:hAnsi="宋体" w:eastAsia="宋体"/>
      <w:snapToGrid w:val="0"/>
    </w:rPr>
  </w:style>
  <w:style w:type="paragraph" w:customStyle="1" w:styleId="45">
    <w:name w:val="正文（绿盟科技）"/>
    <w:next w:val="1"/>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0" Type="http://schemas.openxmlformats.org/officeDocument/2006/relationships/fontTable" Target="fontTable.xml"/><Relationship Id="rId5" Type="http://schemas.openxmlformats.org/officeDocument/2006/relationships/footer" Target="footer2.xml"/><Relationship Id="rId49" Type="http://schemas.openxmlformats.org/officeDocument/2006/relationships/numbering" Target="numbering.xml"/><Relationship Id="rId48" Type="http://schemas.openxmlformats.org/officeDocument/2006/relationships/customXml" Target="../customXml/item1.xml"/><Relationship Id="rId47" Type="http://schemas.openxmlformats.org/officeDocument/2006/relationships/theme" Target="theme/theme1.xml"/><Relationship Id="rId46" Type="http://schemas.openxmlformats.org/officeDocument/2006/relationships/footer" Target="footer23.xml"/><Relationship Id="rId45" Type="http://schemas.openxmlformats.org/officeDocument/2006/relationships/header" Target="header21.xml"/><Relationship Id="rId44" Type="http://schemas.openxmlformats.org/officeDocument/2006/relationships/footer" Target="footer22.xml"/><Relationship Id="rId43" Type="http://schemas.openxmlformats.org/officeDocument/2006/relationships/header" Target="header20.xml"/><Relationship Id="rId42" Type="http://schemas.openxmlformats.org/officeDocument/2006/relationships/footer" Target="footer21.xml"/><Relationship Id="rId41" Type="http://schemas.openxmlformats.org/officeDocument/2006/relationships/header" Target="header19.xml"/><Relationship Id="rId40" Type="http://schemas.openxmlformats.org/officeDocument/2006/relationships/footer" Target="footer20.xml"/><Relationship Id="rId4" Type="http://schemas.openxmlformats.org/officeDocument/2006/relationships/header" Target="header1.xml"/><Relationship Id="rId39" Type="http://schemas.openxmlformats.org/officeDocument/2006/relationships/header" Target="header18.xml"/><Relationship Id="rId38" Type="http://schemas.openxmlformats.org/officeDocument/2006/relationships/footer" Target="footer19.xml"/><Relationship Id="rId37" Type="http://schemas.openxmlformats.org/officeDocument/2006/relationships/header" Target="header17.xml"/><Relationship Id="rId36" Type="http://schemas.openxmlformats.org/officeDocument/2006/relationships/footer" Target="footer18.xml"/><Relationship Id="rId35" Type="http://schemas.openxmlformats.org/officeDocument/2006/relationships/header" Target="header16.xml"/><Relationship Id="rId34" Type="http://schemas.openxmlformats.org/officeDocument/2006/relationships/footer" Target="footer17.xml"/><Relationship Id="rId33" Type="http://schemas.openxmlformats.org/officeDocument/2006/relationships/header" Target="header15.xml"/><Relationship Id="rId32" Type="http://schemas.openxmlformats.org/officeDocument/2006/relationships/footer" Target="footer16.xml"/><Relationship Id="rId31" Type="http://schemas.openxmlformats.org/officeDocument/2006/relationships/header" Target="header14.xml"/><Relationship Id="rId30" Type="http://schemas.openxmlformats.org/officeDocument/2006/relationships/footer" Target="footer15.xml"/><Relationship Id="rId3" Type="http://schemas.openxmlformats.org/officeDocument/2006/relationships/footer" Target="footer1.xml"/><Relationship Id="rId29" Type="http://schemas.openxmlformats.org/officeDocument/2006/relationships/header" Target="header13.xml"/><Relationship Id="rId28" Type="http://schemas.openxmlformats.org/officeDocument/2006/relationships/footer" Target="footer14.xml"/><Relationship Id="rId27" Type="http://schemas.openxmlformats.org/officeDocument/2006/relationships/header" Target="header12.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35646</Words>
  <Characters>37640</Characters>
  <Lines>933</Lines>
  <Paragraphs>262</Paragraphs>
  <TotalTime>1</TotalTime>
  <ScaleCrop>false</ScaleCrop>
  <LinksUpToDate>false</LinksUpToDate>
  <CharactersWithSpaces>40020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2022-07-07T18:11:00Z</dcterms:created>
  <dc:creator>s</dc:creator>
  <cp:lastModifiedBy>Y</cp:lastModifiedBy>
  <dcterms:modified xsi:type="dcterms:W3CDTF">2024-07-09T07:14:42Z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2022-09-01T15:46:13Z</vt:filetime>
  </property>
  <property fmtid="{D5CDD505-2E9C-101B-9397-08002B2CF9AE}" pid="4" name="KSOProductBuildVer">
    <vt:lpwstr>2052-12.1.0.16929</vt:lpwstr>
  </property>
  <property fmtid="{D5CDD505-2E9C-101B-9397-08002B2CF9AE}" pid="5" name="ICV">
    <vt:lpwstr>34E8844BDB784AA780BFF3B338942958_13</vt:lpwstr>
  </property>
</Properties>
</file>