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0FE20">
      <w:pPr>
        <w:adjustRightInd w:val="0"/>
        <w:snapToGrid w:val="0"/>
        <w:spacing w:before="624" w:beforeLines="200" w:line="360" w:lineRule="auto"/>
        <w:jc w:val="center"/>
        <w:rPr>
          <w:rFonts w:hint="default" w:ascii="微软雅黑" w:hAnsi="微软雅黑" w:eastAsia="微软雅黑" w:cs="微软雅黑"/>
          <w:b/>
          <w:bCs w:val="0"/>
          <w:color w:val="auto"/>
          <w:sz w:val="32"/>
          <w:szCs w:val="32"/>
          <w:highlight w:val="none"/>
          <w:lang w:val="en-US" w:eastAsia="zh-CN"/>
        </w:rPr>
      </w:pPr>
      <w:bookmarkStart w:id="0" w:name="_Toc20234158"/>
      <w:r>
        <w:rPr>
          <w:rFonts w:hint="eastAsia" w:ascii="微软雅黑" w:hAnsi="微软雅黑" w:eastAsia="微软雅黑" w:cs="微软雅黑"/>
          <w:b/>
          <w:bCs w:val="0"/>
          <w:color w:val="auto"/>
          <w:sz w:val="32"/>
          <w:szCs w:val="32"/>
          <w:highlight w:val="none"/>
          <w:lang w:val="en-US" w:eastAsia="zh-CN"/>
        </w:rPr>
        <w:t>项目编号：HT-【采】20241029</w:t>
      </w:r>
    </w:p>
    <w:p w14:paraId="6710026B">
      <w:pPr>
        <w:jc w:val="center"/>
        <w:rPr>
          <w:rFonts w:hint="eastAsia" w:ascii="微软雅黑" w:hAnsi="微软雅黑" w:eastAsia="微软雅黑" w:cs="微软雅黑"/>
          <w:b/>
          <w:bCs w:val="0"/>
          <w:color w:val="auto"/>
          <w:sz w:val="48"/>
          <w:szCs w:val="48"/>
          <w:highlight w:val="none"/>
          <w:lang w:eastAsia="zh-CN"/>
        </w:rPr>
      </w:pPr>
      <w:r>
        <w:rPr>
          <w:rFonts w:hint="eastAsia" w:ascii="微软雅黑" w:hAnsi="微软雅黑" w:eastAsia="微软雅黑" w:cs="微软雅黑"/>
          <w:b/>
          <w:bCs w:val="0"/>
          <w:color w:val="auto"/>
          <w:sz w:val="48"/>
          <w:szCs w:val="48"/>
          <w:highlight w:val="none"/>
          <w:lang w:eastAsia="zh-CN"/>
        </w:rPr>
        <w:t>成都市技师学院（成都工贸职业技术学院）高端装备制造生产性实训基地教学资源开发项目</w:t>
      </w:r>
      <w:bookmarkStart w:id="51" w:name="_GoBack"/>
      <w:bookmarkEnd w:id="51"/>
    </w:p>
    <w:p w14:paraId="050A86BA">
      <w:pPr>
        <w:pStyle w:val="9"/>
        <w:rPr>
          <w:rFonts w:hint="eastAsia"/>
          <w:highlight w:val="none"/>
        </w:rPr>
      </w:pPr>
    </w:p>
    <w:p w14:paraId="0862F729">
      <w:pPr>
        <w:jc w:val="center"/>
        <w:rPr>
          <w:rFonts w:hint="eastAsia" w:ascii="微软雅黑" w:hAnsi="微软雅黑" w:eastAsia="微软雅黑" w:cs="微软雅黑"/>
          <w:b/>
          <w:bCs/>
          <w:sz w:val="60"/>
          <w:szCs w:val="60"/>
          <w:highlight w:val="none"/>
          <w:lang w:val="en-US" w:eastAsia="zh-CN"/>
        </w:rPr>
      </w:pPr>
      <w:r>
        <w:rPr>
          <w:rFonts w:hint="eastAsia" w:ascii="微软雅黑" w:hAnsi="微软雅黑" w:eastAsia="微软雅黑" w:cs="微软雅黑"/>
          <w:b/>
          <w:bCs/>
          <w:sz w:val="60"/>
          <w:szCs w:val="60"/>
          <w:highlight w:val="none"/>
          <w:lang w:val="en-US" w:eastAsia="zh-CN"/>
        </w:rPr>
        <w:t>招</w:t>
      </w:r>
    </w:p>
    <w:p w14:paraId="2329DF8D">
      <w:pPr>
        <w:jc w:val="center"/>
        <w:rPr>
          <w:rFonts w:hint="eastAsia" w:ascii="微软雅黑" w:hAnsi="微软雅黑" w:eastAsia="微软雅黑" w:cs="微软雅黑"/>
          <w:b/>
          <w:bCs/>
          <w:sz w:val="60"/>
          <w:szCs w:val="60"/>
          <w:highlight w:val="none"/>
          <w:lang w:eastAsia="zh-CN"/>
        </w:rPr>
      </w:pPr>
      <w:r>
        <w:rPr>
          <w:rFonts w:hint="eastAsia" w:ascii="微软雅黑" w:hAnsi="微软雅黑" w:eastAsia="微软雅黑" w:cs="微软雅黑"/>
          <w:b/>
          <w:bCs/>
          <w:sz w:val="60"/>
          <w:szCs w:val="60"/>
          <w:highlight w:val="none"/>
          <w:lang w:eastAsia="zh-CN"/>
        </w:rPr>
        <w:t>标</w:t>
      </w:r>
    </w:p>
    <w:p w14:paraId="00BF328E">
      <w:pPr>
        <w:jc w:val="center"/>
        <w:rPr>
          <w:rFonts w:hint="eastAsia" w:ascii="微软雅黑" w:hAnsi="微软雅黑" w:eastAsia="微软雅黑" w:cs="微软雅黑"/>
          <w:b/>
          <w:bCs/>
          <w:sz w:val="60"/>
          <w:szCs w:val="60"/>
          <w:highlight w:val="none"/>
        </w:rPr>
      </w:pPr>
      <w:r>
        <w:rPr>
          <w:rFonts w:hint="eastAsia" w:ascii="微软雅黑" w:hAnsi="微软雅黑" w:eastAsia="微软雅黑" w:cs="微软雅黑"/>
          <w:b/>
          <w:bCs/>
          <w:sz w:val="60"/>
          <w:szCs w:val="60"/>
          <w:highlight w:val="none"/>
        </w:rPr>
        <w:t>文</w:t>
      </w:r>
    </w:p>
    <w:p w14:paraId="43387177">
      <w:pPr>
        <w:jc w:val="center"/>
        <w:rPr>
          <w:rFonts w:hint="eastAsia" w:ascii="微软雅黑" w:hAnsi="微软雅黑" w:eastAsia="微软雅黑" w:cs="微软雅黑"/>
          <w:sz w:val="22"/>
          <w:szCs w:val="24"/>
          <w:highlight w:val="none"/>
        </w:rPr>
      </w:pPr>
      <w:r>
        <w:rPr>
          <w:rFonts w:hint="eastAsia" w:ascii="微软雅黑" w:hAnsi="微软雅黑" w:eastAsia="微软雅黑" w:cs="微软雅黑"/>
          <w:b/>
          <w:bCs/>
          <w:sz w:val="60"/>
          <w:szCs w:val="60"/>
          <w:highlight w:val="none"/>
        </w:rPr>
        <w:t>件</w:t>
      </w:r>
    </w:p>
    <w:p w14:paraId="594E2503">
      <w:pPr>
        <w:spacing w:line="360" w:lineRule="auto"/>
        <w:jc w:val="both"/>
        <w:rPr>
          <w:rFonts w:hint="eastAsia" w:ascii="微软雅黑" w:hAnsi="微软雅黑" w:eastAsia="微软雅黑" w:cs="微软雅黑"/>
          <w:b/>
          <w:bCs/>
          <w:sz w:val="28"/>
          <w:szCs w:val="28"/>
          <w:highlight w:val="none"/>
          <w:lang w:eastAsia="zh-CN"/>
        </w:rPr>
      </w:pPr>
    </w:p>
    <w:p w14:paraId="2B994E6A">
      <w:pPr>
        <w:spacing w:line="360" w:lineRule="auto"/>
        <w:jc w:val="center"/>
        <w:rPr>
          <w:rFonts w:hint="eastAsia" w:ascii="微软雅黑" w:hAnsi="微软雅黑" w:eastAsia="微软雅黑" w:cs="微软雅黑"/>
          <w:b/>
          <w:bCs/>
          <w:sz w:val="24"/>
          <w:szCs w:val="24"/>
          <w:highlight w:val="none"/>
          <w:lang w:eastAsia="zh-CN"/>
        </w:rPr>
      </w:pPr>
    </w:p>
    <w:p w14:paraId="19E7E6C4">
      <w:pPr>
        <w:spacing w:line="360" w:lineRule="auto"/>
        <w:jc w:val="center"/>
        <w:rPr>
          <w:rFonts w:hint="eastAsia" w:ascii="微软雅黑" w:hAnsi="微软雅黑" w:eastAsia="微软雅黑" w:cs="微软雅黑"/>
          <w:b/>
          <w:bCs/>
          <w:sz w:val="28"/>
          <w:szCs w:val="28"/>
          <w:highlight w:val="none"/>
          <w:lang w:val="en-US" w:eastAsia="zh-CN"/>
        </w:rPr>
      </w:pPr>
      <w:r>
        <w:rPr>
          <w:rFonts w:hint="eastAsia" w:ascii="微软雅黑" w:hAnsi="微软雅黑" w:eastAsia="微软雅黑" w:cs="微软雅黑"/>
          <w:b/>
          <w:bCs/>
          <w:sz w:val="28"/>
          <w:szCs w:val="28"/>
          <w:highlight w:val="none"/>
          <w:lang w:eastAsia="zh-CN"/>
        </w:rPr>
        <w:t>成都市技师学院（成都工贸职业技术学院）</w:t>
      </w:r>
    </w:p>
    <w:p w14:paraId="17C76006">
      <w:pPr>
        <w:adjustRightInd w:val="0"/>
        <w:snapToGrid w:val="0"/>
        <w:spacing w:before="312" w:beforeLines="100" w:line="360" w:lineRule="auto"/>
        <w:jc w:val="center"/>
        <w:rPr>
          <w:rFonts w:hint="eastAsia" w:ascii="微软雅黑" w:hAnsi="微软雅黑" w:eastAsia="微软雅黑" w:cs="微软雅黑"/>
          <w:b/>
          <w:bCs/>
          <w:sz w:val="28"/>
          <w:szCs w:val="28"/>
          <w:highlight w:val="none"/>
          <w:lang w:eastAsia="zh-CN"/>
        </w:rPr>
      </w:pPr>
      <w:r>
        <w:rPr>
          <w:rFonts w:hint="eastAsia" w:ascii="微软雅黑" w:hAnsi="微软雅黑" w:eastAsia="微软雅黑" w:cs="微软雅黑"/>
          <w:b/>
          <w:bCs/>
          <w:sz w:val="28"/>
          <w:szCs w:val="28"/>
          <w:highlight w:val="none"/>
          <w:lang w:eastAsia="zh-CN"/>
        </w:rPr>
        <w:t>恒泰工程咨询集团有限公司</w:t>
      </w:r>
    </w:p>
    <w:p w14:paraId="1F2C6426">
      <w:pPr>
        <w:pStyle w:val="9"/>
        <w:jc w:val="center"/>
        <w:rPr>
          <w:rFonts w:hint="eastAsia" w:ascii="微软雅黑" w:hAnsi="微软雅黑" w:eastAsia="微软雅黑" w:cs="微软雅黑"/>
          <w:b/>
          <w:bCs/>
          <w:sz w:val="20"/>
          <w:szCs w:val="21"/>
          <w:highlight w:val="none"/>
          <w:lang w:eastAsia="zh-CN"/>
        </w:rPr>
      </w:pPr>
      <w:r>
        <w:rPr>
          <w:rFonts w:hint="eastAsia" w:ascii="微软雅黑" w:hAnsi="微软雅黑" w:eastAsia="微软雅黑" w:cs="微软雅黑"/>
          <w:b/>
          <w:bCs/>
          <w:sz w:val="28"/>
          <w:szCs w:val="28"/>
          <w:highlight w:val="none"/>
          <w:lang w:eastAsia="zh-CN"/>
        </w:rPr>
        <w:t>共同编制</w:t>
      </w:r>
    </w:p>
    <w:p w14:paraId="12BEEF0A">
      <w:pPr>
        <w:adjustRightInd w:val="0"/>
        <w:snapToGrid w:val="0"/>
        <w:spacing w:line="360" w:lineRule="auto"/>
        <w:jc w:val="center"/>
        <w:rPr>
          <w:rFonts w:hint="eastAsia" w:ascii="黑体" w:hAnsi="黑体" w:eastAsia="黑体" w:cs="黑体"/>
          <w:b/>
          <w:sz w:val="40"/>
          <w:szCs w:val="40"/>
          <w:highlight w:val="none"/>
        </w:rPr>
        <w:sectPr>
          <w:headerReference r:id="rId4" w:type="first"/>
          <w:footerReference r:id="rId6" w:type="first"/>
          <w:headerReference r:id="rId3" w:type="default"/>
          <w:footerReference r:id="rId5" w:type="default"/>
          <w:pgSz w:w="11905" w:h="16838"/>
          <w:pgMar w:top="1440" w:right="1474" w:bottom="1440" w:left="1474" w:header="851" w:footer="992" w:gutter="0"/>
          <w:pgNumType w:fmt="decimal"/>
          <w:cols w:space="0" w:num="1"/>
          <w:rtlGutter w:val="0"/>
          <w:docGrid w:type="lines" w:linePitch="312" w:charSpace="0"/>
        </w:sectPr>
      </w:pPr>
      <w:r>
        <w:rPr>
          <w:rFonts w:hint="eastAsia" w:ascii="微软雅黑" w:hAnsi="微软雅黑" w:eastAsia="微软雅黑" w:cs="微软雅黑"/>
          <w:b/>
          <w:bCs w:val="0"/>
          <w:color w:val="auto"/>
          <w:sz w:val="28"/>
          <w:szCs w:val="28"/>
          <w:highlight w:val="none"/>
          <w:lang w:val="en-US" w:eastAsia="zh-CN"/>
        </w:rPr>
        <w:t>2024年10月</w:t>
      </w:r>
    </w:p>
    <w:p w14:paraId="0A8FB056">
      <w:pPr>
        <w:spacing w:line="360" w:lineRule="auto"/>
        <w:jc w:val="both"/>
        <w:rPr>
          <w:rFonts w:hint="eastAsia" w:ascii="微软雅黑" w:hAnsi="微软雅黑" w:eastAsia="微软雅黑" w:cs="微软雅黑"/>
          <w:b/>
          <w:color w:val="auto"/>
          <w:sz w:val="32"/>
          <w:szCs w:val="32"/>
          <w:highlight w:val="none"/>
          <w:lang w:eastAsia="zh-CN"/>
        </w:rPr>
      </w:pPr>
    </w:p>
    <w:p w14:paraId="723166B6">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0"/>
        <w:rPr>
          <w:rFonts w:ascii="Times New Roman" w:hAnsi="Times New Roman" w:eastAsia="黑体" w:cs="Times New Roman"/>
          <w:b/>
          <w:sz w:val="44"/>
          <w:szCs w:val="44"/>
          <w:highlight w:val="none"/>
        </w:rPr>
      </w:pPr>
      <w:bookmarkStart w:id="1" w:name="_Toc30826"/>
      <w:r>
        <w:rPr>
          <w:rFonts w:ascii="Times New Roman" w:hAnsi="Times New Roman" w:eastAsia="黑体" w:cs="Times New Roman"/>
          <w:b/>
          <w:sz w:val="44"/>
          <w:szCs w:val="44"/>
          <w:highlight w:val="none"/>
        </w:rPr>
        <w:t>目    录</w:t>
      </w:r>
      <w:bookmarkEnd w:id="1"/>
    </w:p>
    <w:p w14:paraId="14C780A9">
      <w:pPr>
        <w:snapToGrid w:val="0"/>
        <w:spacing w:line="540" w:lineRule="exact"/>
        <w:jc w:val="center"/>
        <w:rPr>
          <w:rFonts w:ascii="Times New Roman" w:hAnsi="Times New Roman" w:eastAsia="黑体" w:cs="Times New Roman"/>
          <w:b/>
          <w:sz w:val="56"/>
          <w:szCs w:val="56"/>
          <w:highlight w:val="none"/>
        </w:rPr>
      </w:pPr>
    </w:p>
    <w:p w14:paraId="31CE4D1C">
      <w:pPr>
        <w:pStyle w:val="16"/>
        <w:tabs>
          <w:tab w:val="right" w:leader="dot" w:pos="8957"/>
        </w:tabs>
        <w:rPr>
          <w:sz w:val="28"/>
          <w:szCs w:val="32"/>
          <w:highlight w:val="none"/>
        </w:rPr>
      </w:pPr>
      <w:r>
        <w:rPr>
          <w:rFonts w:hint="eastAsia" w:ascii="仿宋" w:hAnsi="仿宋" w:eastAsia="仿宋" w:cs="仿宋"/>
          <w:color w:val="000000"/>
          <w:sz w:val="40"/>
          <w:szCs w:val="40"/>
          <w:highlight w:val="none"/>
          <w:lang w:val="en-US" w:eastAsia="zh-CN"/>
        </w:rPr>
        <w:fldChar w:fldCharType="begin"/>
      </w:r>
      <w:r>
        <w:rPr>
          <w:rFonts w:hint="eastAsia" w:ascii="仿宋" w:hAnsi="仿宋" w:eastAsia="仿宋" w:cs="仿宋"/>
          <w:color w:val="000000"/>
          <w:sz w:val="40"/>
          <w:szCs w:val="40"/>
          <w:highlight w:val="none"/>
          <w:lang w:val="en-US" w:eastAsia="zh-CN"/>
        </w:rPr>
        <w:instrText xml:space="preserve"> TOC \o "1-1" \h \z \u </w:instrText>
      </w:r>
      <w:r>
        <w:rPr>
          <w:rFonts w:hint="eastAsia" w:ascii="仿宋" w:hAnsi="仿宋" w:eastAsia="仿宋" w:cs="仿宋"/>
          <w:color w:val="000000"/>
          <w:sz w:val="40"/>
          <w:szCs w:val="40"/>
          <w:highlight w:val="none"/>
          <w:lang w:val="en-US" w:eastAsia="zh-CN"/>
        </w:rPr>
        <w:fldChar w:fldCharType="separate"/>
      </w:r>
      <w:r>
        <w:rPr>
          <w:rFonts w:hint="eastAsia" w:ascii="仿宋" w:hAnsi="仿宋" w:eastAsia="仿宋" w:cs="仿宋"/>
          <w:color w:val="000000"/>
          <w:sz w:val="28"/>
          <w:szCs w:val="40"/>
          <w:highlight w:val="none"/>
          <w:lang w:val="en-US" w:eastAsia="zh-CN"/>
        </w:rPr>
        <w:fldChar w:fldCharType="begin"/>
      </w:r>
      <w:r>
        <w:rPr>
          <w:rFonts w:hint="eastAsia" w:ascii="仿宋" w:hAnsi="仿宋" w:eastAsia="仿宋" w:cs="仿宋"/>
          <w:sz w:val="28"/>
          <w:szCs w:val="40"/>
          <w:highlight w:val="none"/>
          <w:lang w:val="en-US" w:eastAsia="zh-CN"/>
        </w:rPr>
        <w:instrText xml:space="preserve"> HYPERLINK \l _Toc22135 </w:instrText>
      </w:r>
      <w:r>
        <w:rPr>
          <w:rFonts w:hint="eastAsia" w:ascii="仿宋" w:hAnsi="仿宋" w:eastAsia="仿宋" w:cs="仿宋"/>
          <w:sz w:val="28"/>
          <w:szCs w:val="40"/>
          <w:highlight w:val="none"/>
          <w:lang w:val="en-US" w:eastAsia="zh-CN"/>
        </w:rPr>
        <w:fldChar w:fldCharType="separate"/>
      </w:r>
      <w:r>
        <w:rPr>
          <w:rFonts w:hint="eastAsia" w:ascii="仿宋" w:hAnsi="仿宋" w:eastAsia="仿宋" w:cs="仿宋"/>
          <w:bCs w:val="0"/>
          <w:sz w:val="28"/>
          <w:szCs w:val="44"/>
          <w:highlight w:val="none"/>
        </w:rPr>
        <w:t>第一章</w:t>
      </w:r>
      <w:r>
        <w:rPr>
          <w:rFonts w:hint="eastAsia" w:ascii="仿宋" w:hAnsi="仿宋" w:eastAsia="仿宋" w:cs="仿宋"/>
          <w:bCs w:val="0"/>
          <w:sz w:val="28"/>
          <w:szCs w:val="44"/>
          <w:highlight w:val="none"/>
          <w:lang w:val="en-US" w:eastAsia="zh-CN"/>
        </w:rPr>
        <w:t xml:space="preserve"> </w:t>
      </w:r>
      <w:r>
        <w:rPr>
          <w:rFonts w:hint="eastAsia" w:ascii="仿宋" w:hAnsi="仿宋" w:eastAsia="仿宋" w:cs="仿宋"/>
          <w:bCs w:val="0"/>
          <w:sz w:val="28"/>
          <w:szCs w:val="44"/>
          <w:highlight w:val="none"/>
        </w:rPr>
        <w:t>投标邀请</w:t>
      </w:r>
      <w:r>
        <w:rPr>
          <w:sz w:val="28"/>
          <w:szCs w:val="32"/>
          <w:highlight w:val="none"/>
        </w:rPr>
        <w:tab/>
      </w:r>
      <w:r>
        <w:rPr>
          <w:sz w:val="28"/>
          <w:szCs w:val="32"/>
          <w:highlight w:val="none"/>
        </w:rPr>
        <w:fldChar w:fldCharType="begin"/>
      </w:r>
      <w:r>
        <w:rPr>
          <w:sz w:val="28"/>
          <w:szCs w:val="32"/>
          <w:highlight w:val="none"/>
        </w:rPr>
        <w:instrText xml:space="preserve"> PAGEREF _Toc22135 \h </w:instrText>
      </w:r>
      <w:r>
        <w:rPr>
          <w:sz w:val="28"/>
          <w:szCs w:val="32"/>
          <w:highlight w:val="none"/>
        </w:rPr>
        <w:fldChar w:fldCharType="separate"/>
      </w:r>
      <w:r>
        <w:rPr>
          <w:sz w:val="28"/>
          <w:szCs w:val="32"/>
          <w:highlight w:val="none"/>
        </w:rPr>
        <w:t>1</w:t>
      </w:r>
      <w:r>
        <w:rPr>
          <w:sz w:val="28"/>
          <w:szCs w:val="32"/>
          <w:highlight w:val="none"/>
        </w:rPr>
        <w:fldChar w:fldCharType="end"/>
      </w:r>
      <w:r>
        <w:rPr>
          <w:rFonts w:hint="eastAsia" w:ascii="仿宋" w:hAnsi="仿宋" w:eastAsia="仿宋" w:cs="仿宋"/>
          <w:color w:val="000000"/>
          <w:sz w:val="28"/>
          <w:szCs w:val="40"/>
          <w:highlight w:val="none"/>
          <w:lang w:val="en-US" w:eastAsia="zh-CN"/>
        </w:rPr>
        <w:fldChar w:fldCharType="end"/>
      </w:r>
    </w:p>
    <w:p w14:paraId="293FD875">
      <w:pPr>
        <w:pStyle w:val="16"/>
        <w:tabs>
          <w:tab w:val="right" w:leader="dot" w:pos="8957"/>
        </w:tabs>
        <w:rPr>
          <w:sz w:val="28"/>
          <w:szCs w:val="32"/>
          <w:highlight w:val="none"/>
        </w:rPr>
      </w:pPr>
      <w:r>
        <w:rPr>
          <w:rFonts w:hint="eastAsia" w:ascii="仿宋" w:hAnsi="仿宋" w:eastAsia="仿宋" w:cs="仿宋"/>
          <w:color w:val="000000"/>
          <w:sz w:val="28"/>
          <w:szCs w:val="40"/>
          <w:highlight w:val="none"/>
          <w:lang w:val="en-US" w:eastAsia="zh-CN"/>
        </w:rPr>
        <w:fldChar w:fldCharType="begin"/>
      </w:r>
      <w:r>
        <w:rPr>
          <w:rFonts w:hint="eastAsia" w:ascii="仿宋" w:hAnsi="仿宋" w:eastAsia="仿宋" w:cs="仿宋"/>
          <w:sz w:val="28"/>
          <w:szCs w:val="40"/>
          <w:highlight w:val="none"/>
          <w:lang w:val="en-US" w:eastAsia="zh-CN"/>
        </w:rPr>
        <w:instrText xml:space="preserve"> HYPERLINK \l _Toc5327 </w:instrText>
      </w:r>
      <w:r>
        <w:rPr>
          <w:rFonts w:hint="eastAsia" w:ascii="仿宋" w:hAnsi="仿宋" w:eastAsia="仿宋" w:cs="仿宋"/>
          <w:sz w:val="28"/>
          <w:szCs w:val="40"/>
          <w:highlight w:val="none"/>
          <w:lang w:val="en-US" w:eastAsia="zh-CN"/>
        </w:rPr>
        <w:fldChar w:fldCharType="separate"/>
      </w:r>
      <w:r>
        <w:rPr>
          <w:rFonts w:hint="eastAsia" w:ascii="仿宋" w:hAnsi="仿宋" w:eastAsia="仿宋" w:cs="仿宋"/>
          <w:bCs w:val="0"/>
          <w:sz w:val="28"/>
          <w:szCs w:val="44"/>
          <w:highlight w:val="none"/>
        </w:rPr>
        <w:t>第二章</w:t>
      </w:r>
      <w:r>
        <w:rPr>
          <w:rFonts w:hint="eastAsia" w:ascii="仿宋" w:hAnsi="仿宋" w:eastAsia="仿宋" w:cs="仿宋"/>
          <w:bCs w:val="0"/>
          <w:sz w:val="28"/>
          <w:szCs w:val="44"/>
          <w:highlight w:val="none"/>
          <w:lang w:val="en-US" w:eastAsia="zh-CN"/>
        </w:rPr>
        <w:t xml:space="preserve"> </w:t>
      </w:r>
      <w:r>
        <w:rPr>
          <w:rFonts w:hint="eastAsia" w:ascii="仿宋" w:hAnsi="仿宋" w:eastAsia="仿宋" w:cs="仿宋"/>
          <w:bCs w:val="0"/>
          <w:sz w:val="28"/>
          <w:szCs w:val="44"/>
          <w:highlight w:val="none"/>
        </w:rPr>
        <w:t>投标人须知</w:t>
      </w:r>
      <w:r>
        <w:rPr>
          <w:sz w:val="28"/>
          <w:szCs w:val="32"/>
          <w:highlight w:val="none"/>
        </w:rPr>
        <w:tab/>
      </w:r>
      <w:r>
        <w:rPr>
          <w:sz w:val="28"/>
          <w:szCs w:val="32"/>
          <w:highlight w:val="none"/>
        </w:rPr>
        <w:fldChar w:fldCharType="begin"/>
      </w:r>
      <w:r>
        <w:rPr>
          <w:sz w:val="28"/>
          <w:szCs w:val="32"/>
          <w:highlight w:val="none"/>
        </w:rPr>
        <w:instrText xml:space="preserve"> PAGEREF _Toc5327 \h </w:instrText>
      </w:r>
      <w:r>
        <w:rPr>
          <w:sz w:val="28"/>
          <w:szCs w:val="32"/>
          <w:highlight w:val="none"/>
        </w:rPr>
        <w:fldChar w:fldCharType="separate"/>
      </w:r>
      <w:r>
        <w:rPr>
          <w:sz w:val="28"/>
          <w:szCs w:val="32"/>
          <w:highlight w:val="none"/>
        </w:rPr>
        <w:t>4</w:t>
      </w:r>
      <w:r>
        <w:rPr>
          <w:sz w:val="28"/>
          <w:szCs w:val="32"/>
          <w:highlight w:val="none"/>
        </w:rPr>
        <w:fldChar w:fldCharType="end"/>
      </w:r>
      <w:r>
        <w:rPr>
          <w:rFonts w:hint="eastAsia" w:ascii="仿宋" w:hAnsi="仿宋" w:eastAsia="仿宋" w:cs="仿宋"/>
          <w:color w:val="000000"/>
          <w:sz w:val="28"/>
          <w:szCs w:val="40"/>
          <w:highlight w:val="none"/>
          <w:lang w:val="en-US" w:eastAsia="zh-CN"/>
        </w:rPr>
        <w:fldChar w:fldCharType="end"/>
      </w:r>
    </w:p>
    <w:p w14:paraId="727C9BA7">
      <w:pPr>
        <w:pStyle w:val="16"/>
        <w:tabs>
          <w:tab w:val="right" w:leader="dot" w:pos="8957"/>
        </w:tabs>
        <w:rPr>
          <w:sz w:val="28"/>
          <w:szCs w:val="32"/>
          <w:highlight w:val="none"/>
        </w:rPr>
      </w:pPr>
      <w:r>
        <w:rPr>
          <w:rFonts w:hint="eastAsia" w:ascii="仿宋" w:hAnsi="仿宋" w:eastAsia="仿宋" w:cs="仿宋"/>
          <w:color w:val="000000"/>
          <w:sz w:val="28"/>
          <w:szCs w:val="40"/>
          <w:highlight w:val="none"/>
          <w:lang w:val="en-US" w:eastAsia="zh-CN"/>
        </w:rPr>
        <w:fldChar w:fldCharType="begin"/>
      </w:r>
      <w:r>
        <w:rPr>
          <w:rFonts w:hint="eastAsia" w:ascii="仿宋" w:hAnsi="仿宋" w:eastAsia="仿宋" w:cs="仿宋"/>
          <w:sz w:val="28"/>
          <w:szCs w:val="40"/>
          <w:highlight w:val="none"/>
          <w:lang w:val="en-US" w:eastAsia="zh-CN"/>
        </w:rPr>
        <w:instrText xml:space="preserve"> HYPERLINK \l _Toc6464 </w:instrText>
      </w:r>
      <w:r>
        <w:rPr>
          <w:rFonts w:hint="eastAsia" w:ascii="仿宋" w:hAnsi="仿宋" w:eastAsia="仿宋" w:cs="仿宋"/>
          <w:sz w:val="28"/>
          <w:szCs w:val="40"/>
          <w:highlight w:val="none"/>
          <w:lang w:val="en-US" w:eastAsia="zh-CN"/>
        </w:rPr>
        <w:fldChar w:fldCharType="separate"/>
      </w:r>
      <w:r>
        <w:rPr>
          <w:rFonts w:hint="eastAsia" w:ascii="仿宋" w:hAnsi="仿宋" w:eastAsia="仿宋" w:cs="仿宋"/>
          <w:bCs w:val="0"/>
          <w:sz w:val="28"/>
          <w:szCs w:val="44"/>
          <w:highlight w:val="none"/>
        </w:rPr>
        <w:t>第三章</w:t>
      </w:r>
      <w:r>
        <w:rPr>
          <w:rFonts w:hint="eastAsia" w:ascii="仿宋" w:hAnsi="仿宋" w:eastAsia="仿宋" w:cs="仿宋"/>
          <w:bCs w:val="0"/>
          <w:sz w:val="28"/>
          <w:szCs w:val="44"/>
          <w:highlight w:val="none"/>
          <w:lang w:val="en-US" w:eastAsia="zh-CN"/>
        </w:rPr>
        <w:t xml:space="preserve"> </w:t>
      </w:r>
      <w:r>
        <w:rPr>
          <w:rFonts w:hint="eastAsia" w:ascii="仿宋" w:hAnsi="仿宋" w:eastAsia="仿宋" w:cs="仿宋"/>
          <w:bCs w:val="0"/>
          <w:sz w:val="28"/>
          <w:szCs w:val="44"/>
          <w:highlight w:val="none"/>
        </w:rPr>
        <w:t>投标文件格式</w:t>
      </w:r>
      <w:r>
        <w:rPr>
          <w:sz w:val="28"/>
          <w:szCs w:val="32"/>
          <w:highlight w:val="none"/>
        </w:rPr>
        <w:tab/>
      </w:r>
      <w:r>
        <w:rPr>
          <w:sz w:val="28"/>
          <w:szCs w:val="32"/>
          <w:highlight w:val="none"/>
        </w:rPr>
        <w:fldChar w:fldCharType="begin"/>
      </w:r>
      <w:r>
        <w:rPr>
          <w:sz w:val="28"/>
          <w:szCs w:val="32"/>
          <w:highlight w:val="none"/>
        </w:rPr>
        <w:instrText xml:space="preserve"> PAGEREF _Toc6464 \h </w:instrText>
      </w:r>
      <w:r>
        <w:rPr>
          <w:sz w:val="28"/>
          <w:szCs w:val="32"/>
          <w:highlight w:val="none"/>
        </w:rPr>
        <w:fldChar w:fldCharType="separate"/>
      </w:r>
      <w:r>
        <w:rPr>
          <w:sz w:val="28"/>
          <w:szCs w:val="32"/>
          <w:highlight w:val="none"/>
        </w:rPr>
        <w:t>20</w:t>
      </w:r>
      <w:r>
        <w:rPr>
          <w:sz w:val="28"/>
          <w:szCs w:val="32"/>
          <w:highlight w:val="none"/>
        </w:rPr>
        <w:fldChar w:fldCharType="end"/>
      </w:r>
      <w:r>
        <w:rPr>
          <w:rFonts w:hint="eastAsia" w:ascii="仿宋" w:hAnsi="仿宋" w:eastAsia="仿宋" w:cs="仿宋"/>
          <w:color w:val="000000"/>
          <w:sz w:val="28"/>
          <w:szCs w:val="40"/>
          <w:highlight w:val="none"/>
          <w:lang w:val="en-US" w:eastAsia="zh-CN"/>
        </w:rPr>
        <w:fldChar w:fldCharType="end"/>
      </w:r>
    </w:p>
    <w:p w14:paraId="1CFF182D">
      <w:pPr>
        <w:pStyle w:val="16"/>
        <w:tabs>
          <w:tab w:val="right" w:leader="dot" w:pos="8957"/>
        </w:tabs>
        <w:rPr>
          <w:sz w:val="28"/>
          <w:szCs w:val="32"/>
          <w:highlight w:val="none"/>
        </w:rPr>
      </w:pPr>
      <w:r>
        <w:rPr>
          <w:rFonts w:hint="eastAsia" w:ascii="仿宋" w:hAnsi="仿宋" w:eastAsia="仿宋" w:cs="仿宋"/>
          <w:color w:val="000000"/>
          <w:sz w:val="28"/>
          <w:szCs w:val="40"/>
          <w:highlight w:val="none"/>
          <w:lang w:val="en-US" w:eastAsia="zh-CN"/>
        </w:rPr>
        <w:fldChar w:fldCharType="begin"/>
      </w:r>
      <w:r>
        <w:rPr>
          <w:rFonts w:hint="eastAsia" w:ascii="仿宋" w:hAnsi="仿宋" w:eastAsia="仿宋" w:cs="仿宋"/>
          <w:sz w:val="28"/>
          <w:szCs w:val="40"/>
          <w:highlight w:val="none"/>
          <w:lang w:val="en-US" w:eastAsia="zh-CN"/>
        </w:rPr>
        <w:instrText xml:space="preserve"> HYPERLINK \l _Toc12982 </w:instrText>
      </w:r>
      <w:r>
        <w:rPr>
          <w:rFonts w:hint="eastAsia" w:ascii="仿宋" w:hAnsi="仿宋" w:eastAsia="仿宋" w:cs="仿宋"/>
          <w:sz w:val="28"/>
          <w:szCs w:val="40"/>
          <w:highlight w:val="none"/>
          <w:lang w:val="en-US" w:eastAsia="zh-CN"/>
        </w:rPr>
        <w:fldChar w:fldCharType="separate"/>
      </w:r>
      <w:r>
        <w:rPr>
          <w:rFonts w:hint="eastAsia" w:ascii="仿宋" w:hAnsi="仿宋" w:eastAsia="仿宋" w:cs="仿宋"/>
          <w:bCs w:val="0"/>
          <w:sz w:val="28"/>
          <w:szCs w:val="44"/>
          <w:highlight w:val="none"/>
          <w:lang w:val="en-US" w:eastAsia="zh-CN"/>
        </w:rPr>
        <w:t>第四章 资格审查</w:t>
      </w:r>
      <w:r>
        <w:rPr>
          <w:sz w:val="28"/>
          <w:szCs w:val="32"/>
          <w:highlight w:val="none"/>
        </w:rPr>
        <w:tab/>
      </w:r>
      <w:r>
        <w:rPr>
          <w:sz w:val="28"/>
          <w:szCs w:val="32"/>
          <w:highlight w:val="none"/>
        </w:rPr>
        <w:fldChar w:fldCharType="begin"/>
      </w:r>
      <w:r>
        <w:rPr>
          <w:sz w:val="28"/>
          <w:szCs w:val="32"/>
          <w:highlight w:val="none"/>
        </w:rPr>
        <w:instrText xml:space="preserve"> PAGEREF _Toc12982 \h </w:instrText>
      </w:r>
      <w:r>
        <w:rPr>
          <w:sz w:val="28"/>
          <w:szCs w:val="32"/>
          <w:highlight w:val="none"/>
        </w:rPr>
        <w:fldChar w:fldCharType="separate"/>
      </w:r>
      <w:r>
        <w:rPr>
          <w:sz w:val="28"/>
          <w:szCs w:val="32"/>
          <w:highlight w:val="none"/>
        </w:rPr>
        <w:t>38</w:t>
      </w:r>
      <w:r>
        <w:rPr>
          <w:sz w:val="28"/>
          <w:szCs w:val="32"/>
          <w:highlight w:val="none"/>
        </w:rPr>
        <w:fldChar w:fldCharType="end"/>
      </w:r>
      <w:r>
        <w:rPr>
          <w:rFonts w:hint="eastAsia" w:ascii="仿宋" w:hAnsi="仿宋" w:eastAsia="仿宋" w:cs="仿宋"/>
          <w:color w:val="000000"/>
          <w:sz w:val="28"/>
          <w:szCs w:val="40"/>
          <w:highlight w:val="none"/>
          <w:lang w:val="en-US" w:eastAsia="zh-CN"/>
        </w:rPr>
        <w:fldChar w:fldCharType="end"/>
      </w:r>
    </w:p>
    <w:p w14:paraId="19580F12">
      <w:pPr>
        <w:pStyle w:val="16"/>
        <w:tabs>
          <w:tab w:val="right" w:leader="dot" w:pos="8957"/>
        </w:tabs>
        <w:rPr>
          <w:sz w:val="28"/>
          <w:szCs w:val="32"/>
          <w:highlight w:val="none"/>
        </w:rPr>
      </w:pPr>
      <w:r>
        <w:rPr>
          <w:rFonts w:hint="eastAsia" w:ascii="仿宋" w:hAnsi="仿宋" w:eastAsia="仿宋" w:cs="仿宋"/>
          <w:color w:val="000000"/>
          <w:sz w:val="28"/>
          <w:szCs w:val="40"/>
          <w:highlight w:val="none"/>
          <w:lang w:val="en-US" w:eastAsia="zh-CN"/>
        </w:rPr>
        <w:fldChar w:fldCharType="begin"/>
      </w:r>
      <w:r>
        <w:rPr>
          <w:rFonts w:hint="eastAsia" w:ascii="仿宋" w:hAnsi="仿宋" w:eastAsia="仿宋" w:cs="仿宋"/>
          <w:sz w:val="28"/>
          <w:szCs w:val="40"/>
          <w:highlight w:val="none"/>
          <w:lang w:val="en-US" w:eastAsia="zh-CN"/>
        </w:rPr>
        <w:instrText xml:space="preserve"> HYPERLINK \l _Toc615 </w:instrText>
      </w:r>
      <w:r>
        <w:rPr>
          <w:rFonts w:hint="eastAsia" w:ascii="仿宋" w:hAnsi="仿宋" w:eastAsia="仿宋" w:cs="仿宋"/>
          <w:sz w:val="28"/>
          <w:szCs w:val="40"/>
          <w:highlight w:val="none"/>
          <w:lang w:val="en-US" w:eastAsia="zh-CN"/>
        </w:rPr>
        <w:fldChar w:fldCharType="separate"/>
      </w:r>
      <w:r>
        <w:rPr>
          <w:rFonts w:hint="eastAsia" w:ascii="仿宋" w:hAnsi="仿宋" w:eastAsia="仿宋" w:cs="仿宋"/>
          <w:bCs w:val="0"/>
          <w:sz w:val="28"/>
          <w:szCs w:val="44"/>
          <w:highlight w:val="none"/>
          <w:lang w:val="en-US" w:eastAsia="zh-CN"/>
        </w:rPr>
        <w:t xml:space="preserve">第五章 </w:t>
      </w:r>
      <w:r>
        <w:rPr>
          <w:rFonts w:hint="eastAsia" w:ascii="仿宋" w:hAnsi="仿宋" w:eastAsia="仿宋" w:cs="仿宋"/>
          <w:bCs w:val="0"/>
          <w:sz w:val="28"/>
          <w:szCs w:val="44"/>
          <w:highlight w:val="none"/>
        </w:rPr>
        <w:t>技术、</w:t>
      </w:r>
      <w:r>
        <w:rPr>
          <w:rFonts w:hint="eastAsia" w:ascii="仿宋" w:hAnsi="仿宋" w:eastAsia="仿宋" w:cs="仿宋"/>
          <w:bCs w:val="0"/>
          <w:sz w:val="28"/>
          <w:szCs w:val="44"/>
          <w:highlight w:val="none"/>
          <w:lang w:eastAsia="zh-CN"/>
        </w:rPr>
        <w:t>商务</w:t>
      </w:r>
      <w:r>
        <w:rPr>
          <w:rFonts w:hint="eastAsia" w:ascii="仿宋" w:hAnsi="仿宋" w:eastAsia="仿宋" w:cs="仿宋"/>
          <w:bCs w:val="0"/>
          <w:sz w:val="28"/>
          <w:szCs w:val="44"/>
          <w:highlight w:val="none"/>
          <w:lang w:val="en-US" w:eastAsia="zh-CN"/>
        </w:rPr>
        <w:t>及</w:t>
      </w:r>
      <w:r>
        <w:rPr>
          <w:rFonts w:hint="eastAsia" w:ascii="仿宋" w:hAnsi="仿宋" w:eastAsia="仿宋" w:cs="仿宋"/>
          <w:bCs w:val="0"/>
          <w:sz w:val="28"/>
          <w:szCs w:val="44"/>
          <w:highlight w:val="none"/>
        </w:rPr>
        <w:t>其他要求</w:t>
      </w:r>
      <w:r>
        <w:rPr>
          <w:sz w:val="28"/>
          <w:szCs w:val="32"/>
          <w:highlight w:val="none"/>
        </w:rPr>
        <w:tab/>
      </w:r>
      <w:r>
        <w:rPr>
          <w:sz w:val="28"/>
          <w:szCs w:val="32"/>
          <w:highlight w:val="none"/>
        </w:rPr>
        <w:fldChar w:fldCharType="begin"/>
      </w:r>
      <w:r>
        <w:rPr>
          <w:sz w:val="28"/>
          <w:szCs w:val="32"/>
          <w:highlight w:val="none"/>
        </w:rPr>
        <w:instrText xml:space="preserve"> PAGEREF _Toc615 \h </w:instrText>
      </w:r>
      <w:r>
        <w:rPr>
          <w:sz w:val="28"/>
          <w:szCs w:val="32"/>
          <w:highlight w:val="none"/>
        </w:rPr>
        <w:fldChar w:fldCharType="separate"/>
      </w:r>
      <w:r>
        <w:rPr>
          <w:sz w:val="28"/>
          <w:szCs w:val="32"/>
          <w:highlight w:val="none"/>
        </w:rPr>
        <w:t>41</w:t>
      </w:r>
      <w:r>
        <w:rPr>
          <w:sz w:val="28"/>
          <w:szCs w:val="32"/>
          <w:highlight w:val="none"/>
        </w:rPr>
        <w:fldChar w:fldCharType="end"/>
      </w:r>
      <w:r>
        <w:rPr>
          <w:rFonts w:hint="eastAsia" w:ascii="仿宋" w:hAnsi="仿宋" w:eastAsia="仿宋" w:cs="仿宋"/>
          <w:color w:val="000000"/>
          <w:sz w:val="28"/>
          <w:szCs w:val="40"/>
          <w:highlight w:val="none"/>
          <w:lang w:val="en-US" w:eastAsia="zh-CN"/>
        </w:rPr>
        <w:fldChar w:fldCharType="end"/>
      </w:r>
    </w:p>
    <w:p w14:paraId="22AD2A13">
      <w:pPr>
        <w:pStyle w:val="16"/>
        <w:tabs>
          <w:tab w:val="right" w:leader="dot" w:pos="8957"/>
        </w:tabs>
        <w:rPr>
          <w:sz w:val="28"/>
          <w:szCs w:val="32"/>
          <w:highlight w:val="none"/>
        </w:rPr>
      </w:pPr>
      <w:r>
        <w:rPr>
          <w:rFonts w:hint="eastAsia" w:ascii="仿宋" w:hAnsi="仿宋" w:eastAsia="仿宋" w:cs="仿宋"/>
          <w:color w:val="000000"/>
          <w:sz w:val="28"/>
          <w:szCs w:val="40"/>
          <w:highlight w:val="none"/>
          <w:lang w:val="en-US" w:eastAsia="zh-CN"/>
        </w:rPr>
        <w:fldChar w:fldCharType="begin"/>
      </w:r>
      <w:r>
        <w:rPr>
          <w:rFonts w:hint="eastAsia" w:ascii="仿宋" w:hAnsi="仿宋" w:eastAsia="仿宋" w:cs="仿宋"/>
          <w:sz w:val="28"/>
          <w:szCs w:val="40"/>
          <w:highlight w:val="none"/>
          <w:lang w:val="en-US" w:eastAsia="zh-CN"/>
        </w:rPr>
        <w:instrText xml:space="preserve"> HYPERLINK \l _Toc19912 </w:instrText>
      </w:r>
      <w:r>
        <w:rPr>
          <w:rFonts w:hint="eastAsia" w:ascii="仿宋" w:hAnsi="仿宋" w:eastAsia="仿宋" w:cs="仿宋"/>
          <w:sz w:val="28"/>
          <w:szCs w:val="40"/>
          <w:highlight w:val="none"/>
          <w:lang w:val="en-US" w:eastAsia="zh-CN"/>
        </w:rPr>
        <w:fldChar w:fldCharType="separate"/>
      </w:r>
      <w:r>
        <w:rPr>
          <w:rFonts w:hint="eastAsia" w:ascii="仿宋" w:hAnsi="仿宋" w:eastAsia="仿宋" w:cs="仿宋"/>
          <w:kern w:val="0"/>
          <w:sz w:val="28"/>
          <w:szCs w:val="48"/>
          <w:highlight w:val="none"/>
          <w:lang w:val="zh-CN"/>
        </w:rPr>
        <w:t>第</w:t>
      </w:r>
      <w:r>
        <w:rPr>
          <w:rFonts w:hint="eastAsia" w:ascii="仿宋" w:hAnsi="仿宋" w:eastAsia="仿宋" w:cs="仿宋"/>
          <w:kern w:val="0"/>
          <w:sz w:val="28"/>
          <w:szCs w:val="48"/>
          <w:highlight w:val="none"/>
          <w:lang w:val="en-US" w:eastAsia="zh-CN"/>
        </w:rPr>
        <w:t>六</w:t>
      </w:r>
      <w:r>
        <w:rPr>
          <w:rFonts w:hint="eastAsia" w:ascii="仿宋" w:hAnsi="仿宋" w:eastAsia="仿宋" w:cs="仿宋"/>
          <w:kern w:val="0"/>
          <w:sz w:val="28"/>
          <w:szCs w:val="48"/>
          <w:highlight w:val="none"/>
          <w:lang w:val="zh-CN"/>
        </w:rPr>
        <w:t>章 评标办法</w:t>
      </w:r>
      <w:r>
        <w:rPr>
          <w:sz w:val="28"/>
          <w:szCs w:val="32"/>
          <w:highlight w:val="none"/>
        </w:rPr>
        <w:tab/>
      </w:r>
      <w:r>
        <w:rPr>
          <w:sz w:val="28"/>
          <w:szCs w:val="32"/>
          <w:highlight w:val="none"/>
        </w:rPr>
        <w:fldChar w:fldCharType="begin"/>
      </w:r>
      <w:r>
        <w:rPr>
          <w:sz w:val="28"/>
          <w:szCs w:val="32"/>
          <w:highlight w:val="none"/>
        </w:rPr>
        <w:instrText xml:space="preserve"> PAGEREF _Toc19912 \h </w:instrText>
      </w:r>
      <w:r>
        <w:rPr>
          <w:sz w:val="28"/>
          <w:szCs w:val="32"/>
          <w:highlight w:val="none"/>
        </w:rPr>
        <w:fldChar w:fldCharType="separate"/>
      </w:r>
      <w:r>
        <w:rPr>
          <w:sz w:val="28"/>
          <w:szCs w:val="32"/>
          <w:highlight w:val="none"/>
        </w:rPr>
        <w:t>44</w:t>
      </w:r>
      <w:r>
        <w:rPr>
          <w:sz w:val="28"/>
          <w:szCs w:val="32"/>
          <w:highlight w:val="none"/>
        </w:rPr>
        <w:fldChar w:fldCharType="end"/>
      </w:r>
      <w:r>
        <w:rPr>
          <w:rFonts w:hint="eastAsia" w:ascii="仿宋" w:hAnsi="仿宋" w:eastAsia="仿宋" w:cs="仿宋"/>
          <w:color w:val="000000"/>
          <w:sz w:val="28"/>
          <w:szCs w:val="40"/>
          <w:highlight w:val="none"/>
          <w:lang w:val="en-US" w:eastAsia="zh-CN"/>
        </w:rPr>
        <w:fldChar w:fldCharType="end"/>
      </w:r>
    </w:p>
    <w:p w14:paraId="1263AFD7">
      <w:pPr>
        <w:pStyle w:val="16"/>
        <w:tabs>
          <w:tab w:val="right" w:leader="dot" w:pos="8957"/>
        </w:tabs>
        <w:rPr>
          <w:sz w:val="28"/>
          <w:szCs w:val="32"/>
          <w:highlight w:val="none"/>
        </w:rPr>
      </w:pPr>
      <w:r>
        <w:rPr>
          <w:rFonts w:hint="eastAsia" w:ascii="仿宋" w:hAnsi="仿宋" w:eastAsia="仿宋" w:cs="仿宋"/>
          <w:color w:val="000000"/>
          <w:sz w:val="28"/>
          <w:szCs w:val="40"/>
          <w:highlight w:val="none"/>
          <w:lang w:val="en-US" w:eastAsia="zh-CN"/>
        </w:rPr>
        <w:fldChar w:fldCharType="begin"/>
      </w:r>
      <w:r>
        <w:rPr>
          <w:rFonts w:hint="eastAsia" w:ascii="仿宋" w:hAnsi="仿宋" w:eastAsia="仿宋" w:cs="仿宋"/>
          <w:sz w:val="28"/>
          <w:szCs w:val="40"/>
          <w:highlight w:val="none"/>
          <w:lang w:val="en-US" w:eastAsia="zh-CN"/>
        </w:rPr>
        <w:instrText xml:space="preserve"> HYPERLINK \l _Toc20537 </w:instrText>
      </w:r>
      <w:r>
        <w:rPr>
          <w:rFonts w:hint="eastAsia" w:ascii="仿宋" w:hAnsi="仿宋" w:eastAsia="仿宋" w:cs="仿宋"/>
          <w:sz w:val="28"/>
          <w:szCs w:val="40"/>
          <w:highlight w:val="none"/>
          <w:lang w:val="en-US" w:eastAsia="zh-CN"/>
        </w:rPr>
        <w:fldChar w:fldCharType="separate"/>
      </w:r>
      <w:r>
        <w:rPr>
          <w:rFonts w:hint="eastAsia" w:ascii="仿宋" w:hAnsi="仿宋" w:eastAsia="仿宋" w:cs="仿宋"/>
          <w:kern w:val="0"/>
          <w:sz w:val="28"/>
          <w:szCs w:val="48"/>
          <w:highlight w:val="none"/>
          <w:lang w:val="zh-CN"/>
        </w:rPr>
        <w:t>第</w:t>
      </w:r>
      <w:r>
        <w:rPr>
          <w:rFonts w:hint="eastAsia" w:ascii="仿宋" w:hAnsi="仿宋" w:eastAsia="仿宋" w:cs="仿宋"/>
          <w:kern w:val="0"/>
          <w:sz w:val="28"/>
          <w:szCs w:val="48"/>
          <w:highlight w:val="none"/>
          <w:lang w:val="en-US" w:eastAsia="zh-CN"/>
        </w:rPr>
        <w:t>七</w:t>
      </w:r>
      <w:r>
        <w:rPr>
          <w:rFonts w:hint="eastAsia" w:ascii="仿宋" w:hAnsi="仿宋" w:eastAsia="仿宋" w:cs="仿宋"/>
          <w:kern w:val="0"/>
          <w:sz w:val="28"/>
          <w:szCs w:val="48"/>
          <w:highlight w:val="none"/>
          <w:lang w:val="zh-CN"/>
        </w:rPr>
        <w:t xml:space="preserve">章 </w:t>
      </w:r>
      <w:r>
        <w:rPr>
          <w:rFonts w:hint="eastAsia" w:ascii="仿宋" w:hAnsi="仿宋" w:eastAsia="仿宋" w:cs="仿宋"/>
          <w:kern w:val="0"/>
          <w:sz w:val="28"/>
          <w:szCs w:val="48"/>
          <w:highlight w:val="none"/>
          <w:lang w:val="en-US" w:eastAsia="zh-CN"/>
        </w:rPr>
        <w:t>拟签订的合同文本</w:t>
      </w:r>
      <w:r>
        <w:rPr>
          <w:sz w:val="28"/>
          <w:szCs w:val="32"/>
          <w:highlight w:val="none"/>
        </w:rPr>
        <w:tab/>
      </w:r>
      <w:r>
        <w:rPr>
          <w:sz w:val="28"/>
          <w:szCs w:val="32"/>
          <w:highlight w:val="none"/>
        </w:rPr>
        <w:fldChar w:fldCharType="begin"/>
      </w:r>
      <w:r>
        <w:rPr>
          <w:sz w:val="28"/>
          <w:szCs w:val="32"/>
          <w:highlight w:val="none"/>
        </w:rPr>
        <w:instrText xml:space="preserve"> PAGEREF _Toc20537 \h </w:instrText>
      </w:r>
      <w:r>
        <w:rPr>
          <w:sz w:val="28"/>
          <w:szCs w:val="32"/>
          <w:highlight w:val="none"/>
        </w:rPr>
        <w:fldChar w:fldCharType="separate"/>
      </w:r>
      <w:r>
        <w:rPr>
          <w:sz w:val="28"/>
          <w:szCs w:val="32"/>
          <w:highlight w:val="none"/>
        </w:rPr>
        <w:t>56</w:t>
      </w:r>
      <w:r>
        <w:rPr>
          <w:sz w:val="28"/>
          <w:szCs w:val="32"/>
          <w:highlight w:val="none"/>
        </w:rPr>
        <w:fldChar w:fldCharType="end"/>
      </w:r>
      <w:r>
        <w:rPr>
          <w:rFonts w:hint="eastAsia" w:ascii="仿宋" w:hAnsi="仿宋" w:eastAsia="仿宋" w:cs="仿宋"/>
          <w:color w:val="000000"/>
          <w:sz w:val="28"/>
          <w:szCs w:val="40"/>
          <w:highlight w:val="none"/>
          <w:lang w:val="en-US" w:eastAsia="zh-CN"/>
        </w:rPr>
        <w:fldChar w:fldCharType="end"/>
      </w:r>
    </w:p>
    <w:p w14:paraId="5A4B3155">
      <w:pPr>
        <w:pStyle w:val="16"/>
        <w:tabs>
          <w:tab w:val="right" w:leader="dot" w:pos="8957"/>
        </w:tabs>
        <w:rPr>
          <w:rFonts w:hint="eastAsia" w:ascii="仿宋" w:hAnsi="仿宋" w:eastAsia="仿宋" w:cs="仿宋"/>
          <w:color w:val="000000"/>
          <w:sz w:val="40"/>
          <w:szCs w:val="40"/>
          <w:highlight w:val="none"/>
          <w:lang w:val="en-US" w:eastAsia="zh-CN"/>
        </w:rPr>
      </w:pPr>
      <w:r>
        <w:rPr>
          <w:rFonts w:hint="eastAsia" w:ascii="仿宋" w:hAnsi="仿宋" w:eastAsia="仿宋" w:cs="仿宋"/>
          <w:color w:val="000000"/>
          <w:sz w:val="28"/>
          <w:szCs w:val="40"/>
          <w:highlight w:val="none"/>
          <w:lang w:val="en-US" w:eastAsia="zh-CN"/>
        </w:rPr>
        <w:fldChar w:fldCharType="end"/>
      </w:r>
    </w:p>
    <w:p w14:paraId="5D7628C8">
      <w:pPr>
        <w:rPr>
          <w:rFonts w:hint="eastAsia" w:ascii="仿宋" w:hAnsi="仿宋" w:eastAsia="仿宋" w:cs="仿宋"/>
          <w:b/>
          <w:bCs w:val="0"/>
          <w:sz w:val="36"/>
          <w:szCs w:val="32"/>
          <w:highlight w:val="none"/>
        </w:rPr>
        <w:sectPr>
          <w:headerReference r:id="rId7" w:type="default"/>
          <w:footerReference r:id="rId8" w:type="default"/>
          <w:pgSz w:w="11905" w:h="16838"/>
          <w:pgMar w:top="1440" w:right="1474" w:bottom="1440" w:left="1474" w:header="851" w:footer="992" w:gutter="0"/>
          <w:pgNumType w:fmt="decimal" w:start="1"/>
          <w:cols w:space="0" w:num="1"/>
          <w:rtlGutter w:val="0"/>
          <w:docGrid w:type="lines" w:linePitch="312" w:charSpace="0"/>
        </w:sectPr>
      </w:pPr>
    </w:p>
    <w:p w14:paraId="53E517C2">
      <w:pPr>
        <w:pStyle w:val="9"/>
        <w:rPr>
          <w:rFonts w:hint="eastAsia"/>
          <w:highlight w:val="none"/>
        </w:rPr>
      </w:pPr>
    </w:p>
    <w:p w14:paraId="740FEA2E">
      <w:pPr>
        <w:keepNext w:val="0"/>
        <w:keepLines w:val="0"/>
        <w:pageBreakBefore w:val="0"/>
        <w:widowControl w:val="0"/>
        <w:kinsoku/>
        <w:wordWrap/>
        <w:overflowPunct/>
        <w:topLinePunct w:val="0"/>
        <w:autoSpaceDE/>
        <w:autoSpaceDN/>
        <w:bidi w:val="0"/>
        <w:adjustRightInd/>
        <w:snapToGrid/>
        <w:ind w:firstLine="361" w:firstLineChars="100"/>
        <w:jc w:val="center"/>
        <w:textAlignment w:val="auto"/>
        <w:outlineLvl w:val="0"/>
        <w:rPr>
          <w:rFonts w:ascii="Times New Roman" w:hAnsi="Times New Roman" w:eastAsia="仿宋" w:cs="Times New Roman"/>
          <w:sz w:val="28"/>
          <w:szCs w:val="28"/>
          <w:highlight w:val="none"/>
        </w:rPr>
      </w:pPr>
      <w:bookmarkStart w:id="2" w:name="_Toc22135"/>
      <w:r>
        <w:rPr>
          <w:rFonts w:hint="eastAsia" w:ascii="仿宋" w:hAnsi="仿宋" w:eastAsia="仿宋" w:cs="仿宋"/>
          <w:b/>
          <w:bCs w:val="0"/>
          <w:sz w:val="36"/>
          <w:szCs w:val="32"/>
          <w:highlight w:val="none"/>
        </w:rPr>
        <w:t>第一章</w:t>
      </w:r>
      <w:r>
        <w:rPr>
          <w:rFonts w:hint="eastAsia" w:ascii="仿宋" w:hAnsi="仿宋" w:eastAsia="仿宋" w:cs="仿宋"/>
          <w:b/>
          <w:bCs w:val="0"/>
          <w:sz w:val="36"/>
          <w:szCs w:val="32"/>
          <w:highlight w:val="none"/>
          <w:lang w:val="en-US" w:eastAsia="zh-CN"/>
        </w:rPr>
        <w:t xml:space="preserve"> </w:t>
      </w:r>
      <w:r>
        <w:rPr>
          <w:rFonts w:hint="eastAsia" w:ascii="仿宋" w:hAnsi="仿宋" w:eastAsia="仿宋" w:cs="仿宋"/>
          <w:b/>
          <w:bCs w:val="0"/>
          <w:sz w:val="36"/>
          <w:szCs w:val="32"/>
          <w:highlight w:val="none"/>
        </w:rPr>
        <w:t>投标邀请</w:t>
      </w:r>
      <w:bookmarkEnd w:id="0"/>
      <w:bookmarkEnd w:id="2"/>
    </w:p>
    <w:p w14:paraId="34D4B8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eastAsia="zh-CN"/>
        </w:rPr>
      </w:pPr>
    </w:p>
    <w:p w14:paraId="3C677F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eastAsia="zh-CN"/>
        </w:rPr>
        <w:t>恒泰工程咨询集团有限公司</w:t>
      </w:r>
      <w:r>
        <w:rPr>
          <w:rFonts w:hint="eastAsia" w:ascii="Times New Roman" w:hAnsi="Times New Roman" w:eastAsia="仿宋" w:cs="Times New Roman"/>
          <w:sz w:val="24"/>
          <w:szCs w:val="24"/>
          <w:highlight w:val="none"/>
          <w:lang w:val="en-US" w:eastAsia="zh-CN"/>
        </w:rPr>
        <w:t>（以下简称“采购代理机构”）</w:t>
      </w:r>
      <w:r>
        <w:rPr>
          <w:rFonts w:hint="eastAsia" w:ascii="Times New Roman" w:hAnsi="Times New Roman" w:eastAsia="仿宋" w:cs="Times New Roman"/>
          <w:sz w:val="24"/>
          <w:szCs w:val="24"/>
          <w:highlight w:val="none"/>
        </w:rPr>
        <w:t>受</w:t>
      </w:r>
      <w:r>
        <w:rPr>
          <w:rFonts w:hint="eastAsia" w:ascii="Times New Roman" w:hAnsi="Times New Roman" w:eastAsia="仿宋" w:cs="Times New Roman"/>
          <w:b/>
          <w:bCs/>
          <w:sz w:val="24"/>
          <w:szCs w:val="24"/>
          <w:highlight w:val="none"/>
          <w:lang w:eastAsia="zh-CN"/>
        </w:rPr>
        <w:t>成都市技师学院（成都工贸职业技术学院）</w:t>
      </w:r>
      <w:r>
        <w:rPr>
          <w:rFonts w:hint="eastAsia" w:ascii="Times New Roman" w:hAnsi="Times New Roman" w:eastAsia="仿宋" w:cs="Times New Roman"/>
          <w:sz w:val="24"/>
          <w:szCs w:val="24"/>
          <w:highlight w:val="none"/>
        </w:rPr>
        <w:t>（以下简称“采购人”）的委托，拟对</w:t>
      </w:r>
      <w:r>
        <w:rPr>
          <w:rFonts w:hint="eastAsia" w:ascii="Times New Roman" w:hAnsi="Times New Roman" w:eastAsia="仿宋" w:cs="Times New Roman"/>
          <w:sz w:val="24"/>
          <w:szCs w:val="24"/>
          <w:highlight w:val="none"/>
          <w:lang w:eastAsia="zh-CN"/>
        </w:rPr>
        <w:t>“</w:t>
      </w:r>
      <w:r>
        <w:rPr>
          <w:rFonts w:hint="eastAsia" w:ascii="Times New Roman" w:hAnsi="Times New Roman" w:eastAsia="仿宋" w:cs="Times New Roman"/>
          <w:b/>
          <w:bCs/>
          <w:sz w:val="24"/>
          <w:szCs w:val="24"/>
          <w:highlight w:val="none"/>
          <w:lang w:eastAsia="zh-CN"/>
        </w:rPr>
        <w:t>成都市技师学院（成都工贸职业技术学院）高端装备制造生产性实训基地教学资源开发项目</w:t>
      </w:r>
      <w:r>
        <w:rPr>
          <w:rFonts w:hint="eastAsia" w:ascii="Times New Roman" w:hAnsi="Times New Roman" w:eastAsia="仿宋" w:cs="Times New Roman"/>
          <w:sz w:val="24"/>
          <w:szCs w:val="24"/>
          <w:highlight w:val="none"/>
          <w:lang w:eastAsia="zh-CN"/>
        </w:rPr>
        <w:t>”</w:t>
      </w:r>
      <w:r>
        <w:rPr>
          <w:rFonts w:hint="eastAsia" w:ascii="Times New Roman" w:hAnsi="Times New Roman" w:eastAsia="仿宋" w:cs="Times New Roman"/>
          <w:sz w:val="24"/>
          <w:szCs w:val="24"/>
          <w:highlight w:val="none"/>
        </w:rPr>
        <w:t>进行国内公开招标，兹邀请符合本次招标要求的供应商参加投标。</w:t>
      </w:r>
    </w:p>
    <w:p w14:paraId="35F248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bCs/>
          <w:sz w:val="24"/>
          <w:szCs w:val="24"/>
          <w:highlight w:val="none"/>
          <w:lang w:val="en-US" w:eastAsia="zh-CN"/>
        </w:rPr>
      </w:pPr>
      <w:r>
        <w:rPr>
          <w:rFonts w:hint="eastAsia" w:ascii="Times New Roman" w:hAnsi="Times New Roman" w:eastAsia="仿宋" w:cs="Times New Roman"/>
          <w:b/>
          <w:bCs/>
          <w:sz w:val="24"/>
          <w:szCs w:val="24"/>
          <w:highlight w:val="none"/>
          <w:lang w:val="en-US" w:eastAsia="zh-CN"/>
        </w:rPr>
        <w:t>一、项目名称</w:t>
      </w:r>
    </w:p>
    <w:p w14:paraId="58A5C9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成都市技师学院（成都工贸职业技术学院）高端装备制造生产性实训基地教学资源开发项目</w:t>
      </w:r>
    </w:p>
    <w:p w14:paraId="7CDC5C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bCs/>
          <w:sz w:val="24"/>
          <w:szCs w:val="24"/>
          <w:highlight w:val="none"/>
          <w:lang w:val="en-US" w:eastAsia="zh-CN"/>
        </w:rPr>
      </w:pPr>
      <w:r>
        <w:rPr>
          <w:rFonts w:hint="eastAsia" w:ascii="Times New Roman" w:hAnsi="Times New Roman" w:eastAsia="仿宋" w:cs="Times New Roman"/>
          <w:b/>
          <w:bCs/>
          <w:sz w:val="24"/>
          <w:szCs w:val="24"/>
          <w:highlight w:val="none"/>
          <w:lang w:val="en-US" w:eastAsia="zh-CN"/>
        </w:rPr>
        <w:t>二、项目编号</w:t>
      </w:r>
    </w:p>
    <w:p w14:paraId="75E66C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HT-【采】20241029</w:t>
      </w:r>
    </w:p>
    <w:p w14:paraId="4ADF7E8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bCs/>
          <w:sz w:val="24"/>
          <w:szCs w:val="24"/>
          <w:highlight w:val="none"/>
          <w:lang w:val="en-US" w:eastAsia="zh-CN"/>
        </w:rPr>
      </w:pPr>
      <w:r>
        <w:rPr>
          <w:rFonts w:hint="eastAsia" w:ascii="Times New Roman" w:hAnsi="Times New Roman" w:eastAsia="仿宋" w:cs="Times New Roman"/>
          <w:b/>
          <w:bCs/>
          <w:sz w:val="24"/>
          <w:szCs w:val="24"/>
          <w:highlight w:val="none"/>
          <w:lang w:val="en-US" w:eastAsia="zh-CN"/>
        </w:rPr>
        <w:t>三、项目简介</w:t>
      </w:r>
    </w:p>
    <w:p w14:paraId="088F47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采购详情见第五章。</w:t>
      </w:r>
    </w:p>
    <w:p w14:paraId="141226E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bCs/>
          <w:sz w:val="24"/>
          <w:szCs w:val="24"/>
          <w:highlight w:val="none"/>
          <w:lang w:val="en-US" w:eastAsia="zh-CN"/>
        </w:rPr>
      </w:pPr>
      <w:r>
        <w:rPr>
          <w:rFonts w:hint="eastAsia" w:ascii="Times New Roman" w:hAnsi="Times New Roman" w:eastAsia="仿宋" w:cs="Times New Roman"/>
          <w:b/>
          <w:bCs/>
          <w:sz w:val="24"/>
          <w:szCs w:val="24"/>
          <w:highlight w:val="none"/>
          <w:lang w:val="en-US" w:eastAsia="zh-CN"/>
        </w:rPr>
        <w:t>四、供应商参加本次采购活动应具备下列条件</w:t>
      </w:r>
    </w:p>
    <w:p w14:paraId="331F9D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（一）具有独立承担民事责任的能力；</w:t>
      </w:r>
    </w:p>
    <w:p w14:paraId="05E34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（二）具有良好的商业信誉和健全的财务会计制度；</w:t>
      </w:r>
    </w:p>
    <w:p w14:paraId="757262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（三）具有履行合同所必需的设备和专业技术能力；</w:t>
      </w:r>
    </w:p>
    <w:p w14:paraId="5EF358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（四）有依法缴纳税收和社会保障资金的良好记录；</w:t>
      </w:r>
    </w:p>
    <w:p w14:paraId="625B81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（五）参加本次采购活动前三年内，在经营活动中没有重大违法记录；</w:t>
      </w:r>
    </w:p>
    <w:p w14:paraId="544471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（六）法律、行政法规规定的其他条件；</w:t>
      </w:r>
    </w:p>
    <w:p w14:paraId="468E3B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eastAsia="zh-CN"/>
        </w:rPr>
        <w:t>（七）本项目的特定资格要求：</w:t>
      </w:r>
      <w:r>
        <w:rPr>
          <w:rFonts w:hint="eastAsia" w:eastAsia="仿宋" w:cs="Times New Roman"/>
          <w:sz w:val="24"/>
          <w:szCs w:val="24"/>
          <w:highlight w:val="none"/>
          <w:lang w:val="en-US" w:eastAsia="zh-CN"/>
        </w:rPr>
        <w:t>无</w:t>
      </w:r>
    </w:p>
    <w:p w14:paraId="0B986EC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bCs/>
          <w:sz w:val="24"/>
          <w:szCs w:val="24"/>
          <w:highlight w:val="none"/>
          <w:lang w:val="en-US" w:eastAsia="zh-CN"/>
        </w:rPr>
      </w:pPr>
      <w:r>
        <w:rPr>
          <w:rFonts w:hint="eastAsia" w:ascii="Times New Roman" w:hAnsi="Times New Roman" w:eastAsia="仿宋" w:cs="Times New Roman"/>
          <w:b/>
          <w:bCs/>
          <w:sz w:val="24"/>
          <w:szCs w:val="24"/>
          <w:highlight w:val="none"/>
          <w:lang w:val="en-US" w:eastAsia="zh-CN"/>
        </w:rPr>
        <w:t>五、招标公告发布的媒体</w:t>
      </w:r>
    </w:p>
    <w:p w14:paraId="043E06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eastAsia="zh-CN"/>
        </w:rPr>
      </w:pPr>
      <w:r>
        <w:rPr>
          <w:rFonts w:hint="eastAsia" w:ascii="Times New Roman" w:hAnsi="Times New Roman" w:eastAsia="仿宋" w:cs="Times New Roman"/>
          <w:sz w:val="24"/>
          <w:szCs w:val="24"/>
          <w:highlight w:val="none"/>
          <w:lang w:eastAsia="zh-CN"/>
        </w:rPr>
        <w:t>本项目招标公告在</w:t>
      </w:r>
      <w:r>
        <w:rPr>
          <w:rFonts w:hint="eastAsia" w:ascii="Times New Roman" w:hAnsi="Times New Roman" w:eastAsia="仿宋" w:cs="Times New Roman"/>
          <w:sz w:val="24"/>
          <w:szCs w:val="24"/>
          <w:highlight w:val="none"/>
          <w:lang w:val="en-US" w:eastAsia="zh-CN"/>
        </w:rPr>
        <w:t>中国招标投标公共服务平台（http://www.cebpubservice.com/）</w:t>
      </w:r>
      <w:r>
        <w:rPr>
          <w:rFonts w:hint="eastAsia" w:ascii="Times New Roman" w:hAnsi="Times New Roman" w:eastAsia="仿宋" w:cs="Times New Roman"/>
          <w:sz w:val="24"/>
          <w:szCs w:val="24"/>
          <w:highlight w:val="none"/>
          <w:lang w:eastAsia="zh-CN"/>
        </w:rPr>
        <w:t>发布。</w:t>
      </w:r>
    </w:p>
    <w:p w14:paraId="3CDCB0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lang w:eastAsia="zh-CN"/>
        </w:rPr>
        <w:t>六</w:t>
      </w:r>
      <w:r>
        <w:rPr>
          <w:rFonts w:hint="eastAsia" w:ascii="Times New Roman" w:hAnsi="Times New Roman" w:eastAsia="仿宋" w:cs="Times New Roman"/>
          <w:b/>
          <w:sz w:val="24"/>
          <w:szCs w:val="24"/>
          <w:highlight w:val="none"/>
        </w:rPr>
        <w:t>、禁止参加本次采购活动的供应商</w:t>
      </w:r>
    </w:p>
    <w:p w14:paraId="66273389">
      <w:pPr>
        <w:keepNext w:val="0"/>
        <w:keepLines w:val="0"/>
        <w:pageBreakBefore w:val="0"/>
        <w:widowControl w:val="0"/>
        <w:tabs>
          <w:tab w:val="left" w:pos="6255"/>
        </w:tabs>
        <w:kinsoku/>
        <w:wordWrap/>
        <w:overflowPunct/>
        <w:topLinePunct w:val="0"/>
        <w:autoSpaceDE/>
        <w:autoSpaceDN/>
        <w:bidi w:val="0"/>
        <w:adjustRightInd/>
        <w:snapToGrid/>
        <w:spacing w:line="360" w:lineRule="auto"/>
        <w:ind w:firstLine="480" w:firstLineChars="200"/>
        <w:textAlignment w:val="auto"/>
        <w:outlineLvl w:val="9"/>
        <w:rPr>
          <w:rFonts w:hint="default"/>
          <w:highlight w:val="none"/>
          <w:lang w:val="en-US" w:eastAsia="zh-CN"/>
        </w:rPr>
      </w:pPr>
      <w:r>
        <w:rPr>
          <w:rFonts w:hint="eastAsia" w:ascii="Times New Roman" w:hAnsi="Times New Roman" w:eastAsia="仿宋" w:cs="Times New Roman"/>
          <w:sz w:val="24"/>
          <w:szCs w:val="24"/>
          <w:highlight w:val="none"/>
          <w:lang w:eastAsia="zh-CN"/>
        </w:rPr>
        <w:t>参照</w:t>
      </w:r>
      <w:r>
        <w:rPr>
          <w:rFonts w:hint="eastAsia" w:ascii="Times New Roman" w:hAnsi="Times New Roman" w:eastAsia="仿宋" w:cs="Times New Roman"/>
          <w:sz w:val="24"/>
          <w:szCs w:val="24"/>
          <w:highlight w:val="none"/>
        </w:rPr>
        <w:t>《关于在政府采购活动中查询及使用信用记录有关问题的通知》（财库〔2016〕125号）的要求，采购人</w:t>
      </w:r>
      <w:r>
        <w:rPr>
          <w:rFonts w:hint="eastAsia" w:ascii="Times New Roman" w:hAnsi="Times New Roman" w:eastAsia="仿宋" w:cs="Times New Roman"/>
          <w:sz w:val="24"/>
          <w:szCs w:val="24"/>
          <w:highlight w:val="none"/>
          <w:lang w:val="en-US" w:eastAsia="zh-CN"/>
        </w:rPr>
        <w:t>或</w:t>
      </w:r>
      <w:r>
        <w:rPr>
          <w:rFonts w:hint="eastAsia" w:ascii="Times New Roman" w:hAnsi="Times New Roman" w:eastAsia="仿宋" w:cs="Times New Roman"/>
          <w:sz w:val="24"/>
          <w:szCs w:val="24"/>
          <w:highlight w:val="none"/>
        </w:rPr>
        <w:t>采购代理机构将通过“信用中国”网站（www.creditchina.gov.cn）、“中国政府采购网”网站（www.ccgp.gov.cn）等渠道查询供应商在</w:t>
      </w:r>
      <w:r>
        <w:rPr>
          <w:rFonts w:hint="eastAsia" w:ascii="Times New Roman" w:hAnsi="Times New Roman" w:eastAsia="仿宋" w:cs="Times New Roman"/>
          <w:sz w:val="24"/>
          <w:szCs w:val="24"/>
          <w:highlight w:val="none"/>
          <w:lang w:val="en-US" w:eastAsia="zh-CN"/>
        </w:rPr>
        <w:t>提交投标文件截止之日前</w:t>
      </w:r>
      <w:r>
        <w:rPr>
          <w:rFonts w:hint="eastAsia" w:ascii="Times New Roman" w:hAnsi="Times New Roman" w:eastAsia="仿宋" w:cs="Times New Roman"/>
          <w:sz w:val="24"/>
          <w:szCs w:val="24"/>
          <w:highlight w:val="none"/>
        </w:rPr>
        <w:t>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14:paraId="45B8B7B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default" w:ascii="Times New Roman" w:hAnsi="Times New Roman" w:eastAsia="仿宋" w:cs="Times New Roman"/>
          <w:b/>
          <w:bCs/>
          <w:sz w:val="24"/>
          <w:szCs w:val="24"/>
          <w:highlight w:val="none"/>
          <w:lang w:val="en-US" w:eastAsia="zh-CN"/>
        </w:rPr>
      </w:pPr>
      <w:r>
        <w:rPr>
          <w:rFonts w:hint="eastAsia" w:ascii="Times New Roman" w:hAnsi="Times New Roman" w:eastAsia="仿宋" w:cs="Times New Roman"/>
          <w:b/>
          <w:bCs/>
          <w:sz w:val="24"/>
          <w:szCs w:val="24"/>
          <w:highlight w:val="none"/>
          <w:lang w:val="en-US" w:eastAsia="zh-CN"/>
        </w:rPr>
        <w:t>七、招标文件获取的方式</w:t>
      </w:r>
    </w:p>
    <w:p w14:paraId="7FE0ADB3">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1.获取时间：</w:t>
      </w:r>
      <w:r>
        <w:rPr>
          <w:rFonts w:hint="eastAsia" w:ascii="仿宋" w:hAnsi="仿宋" w:eastAsia="仿宋" w:cs="仿宋"/>
          <w:b w:val="0"/>
          <w:bCs w:val="0"/>
          <w:kern w:val="2"/>
          <w:sz w:val="24"/>
          <w:szCs w:val="24"/>
          <w:highlight w:val="none"/>
          <w:lang w:val="en-US" w:eastAsia="zh-CN" w:bidi="ar-SA"/>
        </w:rPr>
        <w:t>2024年XX月XX日至2024年XX月XX日；</w:t>
      </w:r>
    </w:p>
    <w:p w14:paraId="0726E0EB">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上午9:00:00-12:00:00；下午12:00:00-17:00:00（北京时间）法定节假日除外</w:t>
      </w:r>
    </w:p>
    <w:p w14:paraId="2BDB8987">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2.获取方式：</w:t>
      </w:r>
    </w:p>
    <w:p w14:paraId="1E53A806">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现场获取：经办人员当场提交以下资料：单位介绍信并加盖公章；经办人身份证复印件并加盖公章。</w:t>
      </w:r>
    </w:p>
    <w:p w14:paraId="0ECD1ACC">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网络获取：供应商按照报名介绍信（下载地址：https://pan.baidu.com/s/1bvKRQJJ10McV-VZpTZuwxQ?pwd=htgc）格式要求填写并发送至邮箱：htgczx@qq.com,待采购代理机构审核通过后获取采购文件。</w:t>
      </w:r>
    </w:p>
    <w:p w14:paraId="526DFCEF">
      <w:pPr>
        <w:wordWrap w:val="0"/>
        <w:adjustRightInd w:val="0"/>
        <w:snapToGrid w:val="0"/>
        <w:spacing w:line="360" w:lineRule="auto"/>
        <w:ind w:firstLine="480" w:firstLineChars="200"/>
        <w:jc w:val="left"/>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3.招标文件售价300元/份，招标文件售后不退，投标资格不能转让。</w:t>
      </w:r>
    </w:p>
    <w:p w14:paraId="1F1FC82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bCs/>
          <w:sz w:val="24"/>
          <w:szCs w:val="24"/>
          <w:highlight w:val="none"/>
          <w:lang w:val="en-US" w:eastAsia="zh-CN"/>
        </w:rPr>
      </w:pPr>
      <w:r>
        <w:rPr>
          <w:rFonts w:hint="eastAsia" w:ascii="Times New Roman" w:hAnsi="Times New Roman" w:eastAsia="仿宋" w:cs="Times New Roman"/>
          <w:b/>
          <w:bCs/>
          <w:sz w:val="24"/>
          <w:szCs w:val="24"/>
          <w:highlight w:val="none"/>
          <w:lang w:val="en-US" w:eastAsia="zh-CN"/>
        </w:rPr>
        <w:t>八、提交投标文件截止时间和开标时间</w:t>
      </w:r>
    </w:p>
    <w:p w14:paraId="1968F6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2024年10月X</w:t>
      </w:r>
      <w:r>
        <w:rPr>
          <w:rFonts w:ascii="Times New Roman" w:hAnsi="Times New Roman" w:eastAsia="仿宋" w:cs="Times New Roman"/>
          <w:sz w:val="24"/>
          <w:szCs w:val="24"/>
          <w:highlight w:val="none"/>
        </w:rPr>
        <w:t>日</w:t>
      </w:r>
      <w:r>
        <w:rPr>
          <w:rFonts w:hint="eastAsia" w:ascii="Times New Roman" w:hAnsi="Times New Roman" w:eastAsia="仿宋" w:cs="Times New Roman"/>
          <w:sz w:val="24"/>
          <w:szCs w:val="24"/>
          <w:highlight w:val="none"/>
          <w:lang w:val="en-US" w:eastAsia="zh-CN"/>
        </w:rPr>
        <w:t>X</w:t>
      </w:r>
      <w:r>
        <w:rPr>
          <w:rFonts w:ascii="Times New Roman" w:hAnsi="Times New Roman" w:eastAsia="仿宋" w:cs="Times New Roman"/>
          <w:sz w:val="24"/>
          <w:szCs w:val="24"/>
          <w:highlight w:val="none"/>
        </w:rPr>
        <w:t>时</w:t>
      </w:r>
      <w:r>
        <w:rPr>
          <w:rFonts w:hint="eastAsia" w:ascii="Times New Roman" w:hAnsi="Times New Roman" w:eastAsia="仿宋" w:cs="Times New Roman"/>
          <w:sz w:val="24"/>
          <w:szCs w:val="24"/>
          <w:highlight w:val="none"/>
          <w:lang w:val="en-US" w:eastAsia="zh-CN"/>
        </w:rPr>
        <w:t>X</w:t>
      </w:r>
      <w:r>
        <w:rPr>
          <w:rFonts w:ascii="Times New Roman" w:hAnsi="Times New Roman" w:eastAsia="仿宋" w:cs="Times New Roman"/>
          <w:sz w:val="24"/>
          <w:szCs w:val="24"/>
          <w:highlight w:val="none"/>
        </w:rPr>
        <w:t>分（北京时间）</w:t>
      </w:r>
    </w:p>
    <w:p w14:paraId="7DA33756">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1.投标文件应在提交投标文件截止时间前送达开标地点；</w:t>
      </w:r>
    </w:p>
    <w:p w14:paraId="7B2B2F35">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2.逾期送达或没有密封的投标文件恕不接收。</w:t>
      </w:r>
    </w:p>
    <w:p w14:paraId="40DD7C1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bCs/>
          <w:sz w:val="24"/>
          <w:szCs w:val="24"/>
          <w:highlight w:val="none"/>
          <w:lang w:val="en-US" w:eastAsia="zh-CN"/>
        </w:rPr>
      </w:pPr>
      <w:r>
        <w:rPr>
          <w:rFonts w:hint="eastAsia" w:ascii="Times New Roman" w:hAnsi="Times New Roman" w:eastAsia="仿宋" w:cs="Times New Roman"/>
          <w:b/>
          <w:bCs/>
          <w:sz w:val="24"/>
          <w:szCs w:val="24"/>
          <w:highlight w:val="none"/>
          <w:lang w:val="en-US" w:eastAsia="zh-CN"/>
        </w:rPr>
        <w:t>九、提交投标文件地点和开标地点</w:t>
      </w:r>
    </w:p>
    <w:p w14:paraId="47BDA7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kern w:val="2"/>
          <w:sz w:val="24"/>
          <w:szCs w:val="24"/>
          <w:highlight w:val="none"/>
          <w:lang w:val="en-US" w:eastAsia="zh-CN" w:bidi="ar-SA"/>
        </w:rPr>
      </w:pPr>
      <w:r>
        <w:rPr>
          <w:rFonts w:hint="eastAsia" w:eastAsia="仿宋" w:cs="Times New Roman"/>
          <w:kern w:val="2"/>
          <w:sz w:val="24"/>
          <w:szCs w:val="24"/>
          <w:highlight w:val="none"/>
          <w:lang w:val="en-US" w:eastAsia="zh-CN" w:bidi="ar-SA"/>
        </w:rPr>
        <w:t>成都市武侯区武侯大道顺江段77号汇点广场（吾悦广场）2座709号</w:t>
      </w:r>
    </w:p>
    <w:p w14:paraId="2782E8B1">
      <w:pPr>
        <w:keepNext w:val="0"/>
        <w:keepLines w:val="0"/>
        <w:pageBreakBefore w:val="0"/>
        <w:widowControl w:val="0"/>
        <w:tabs>
          <w:tab w:val="left" w:pos="6255"/>
        </w:tabs>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bCs/>
          <w:sz w:val="24"/>
          <w:szCs w:val="24"/>
          <w:highlight w:val="none"/>
          <w:lang w:val="en-US" w:eastAsia="zh-CN"/>
        </w:rPr>
      </w:pPr>
      <w:r>
        <w:rPr>
          <w:rFonts w:hint="eastAsia" w:ascii="Times New Roman" w:hAnsi="Times New Roman" w:eastAsia="仿宋" w:cs="Times New Roman"/>
          <w:b/>
          <w:bCs/>
          <w:sz w:val="24"/>
          <w:szCs w:val="24"/>
          <w:highlight w:val="none"/>
          <w:lang w:val="en-US" w:eastAsia="zh-CN"/>
        </w:rPr>
        <w:t>十、联系方式</w:t>
      </w:r>
    </w:p>
    <w:p w14:paraId="52B46EA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 w:cs="Times New Roman"/>
          <w:b/>
          <w:bCs/>
          <w:sz w:val="24"/>
          <w:szCs w:val="24"/>
          <w:highlight w:val="none"/>
          <w:lang w:val="en-US" w:eastAsia="zh-CN"/>
        </w:rPr>
      </w:pPr>
      <w:r>
        <w:rPr>
          <w:rFonts w:hint="eastAsia" w:ascii="Times New Roman" w:hAnsi="Times New Roman" w:eastAsia="仿宋" w:cs="Times New Roman"/>
          <w:b/>
          <w:bCs/>
          <w:sz w:val="24"/>
          <w:szCs w:val="24"/>
          <w:highlight w:val="none"/>
          <w:lang w:val="en-US" w:eastAsia="zh-CN"/>
        </w:rPr>
        <w:t>采购人：成都市技师学院（成都工贸职业技术学院）</w:t>
      </w:r>
    </w:p>
    <w:p w14:paraId="347936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地址：成都市郫都区红光街道港通北三路1899号</w:t>
      </w:r>
    </w:p>
    <w:p w14:paraId="203441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eastAsia="zh-CN"/>
        </w:rPr>
        <w:t>联系人：</w:t>
      </w:r>
      <w:r>
        <w:rPr>
          <w:rFonts w:hint="eastAsia" w:ascii="Times New Roman" w:hAnsi="Times New Roman" w:eastAsia="仿宋" w:cs="Times New Roman"/>
          <w:sz w:val="24"/>
          <w:szCs w:val="24"/>
          <w:highlight w:val="none"/>
          <w:lang w:val="en-US" w:eastAsia="zh-CN"/>
        </w:rPr>
        <w:t>王老师</w:t>
      </w:r>
    </w:p>
    <w:p w14:paraId="50E852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eastAsia="zh-CN"/>
        </w:rPr>
        <w:t>联系电话：</w:t>
      </w:r>
      <w:r>
        <w:rPr>
          <w:rFonts w:hint="eastAsia" w:ascii="Times New Roman" w:hAnsi="Times New Roman" w:eastAsia="仿宋" w:cs="Times New Roman"/>
          <w:sz w:val="24"/>
          <w:szCs w:val="24"/>
          <w:highlight w:val="none"/>
          <w:lang w:val="en-US" w:eastAsia="zh-CN"/>
        </w:rPr>
        <w:t>028-64907283</w:t>
      </w:r>
    </w:p>
    <w:p w14:paraId="28D2658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仿宋" w:cs="Times New Roman"/>
          <w:b/>
          <w:bCs/>
          <w:sz w:val="24"/>
          <w:szCs w:val="24"/>
          <w:highlight w:val="none"/>
          <w:lang w:val="en-US" w:eastAsia="zh-CN"/>
        </w:rPr>
      </w:pPr>
      <w:bookmarkStart w:id="3" w:name="_Toc20234159"/>
      <w:r>
        <w:rPr>
          <w:rFonts w:hint="eastAsia" w:ascii="Times New Roman" w:hAnsi="Times New Roman" w:eastAsia="仿宋" w:cs="Times New Roman"/>
          <w:b/>
          <w:bCs/>
          <w:sz w:val="24"/>
          <w:szCs w:val="24"/>
          <w:highlight w:val="none"/>
        </w:rPr>
        <w:t>采购代理机构：</w:t>
      </w:r>
      <w:r>
        <w:rPr>
          <w:rFonts w:hint="eastAsia" w:ascii="Times New Roman" w:hAnsi="Times New Roman" w:eastAsia="仿宋" w:cs="Times New Roman"/>
          <w:b/>
          <w:bCs/>
          <w:sz w:val="24"/>
          <w:szCs w:val="24"/>
          <w:highlight w:val="none"/>
          <w:lang w:val="en-US" w:eastAsia="zh-CN"/>
        </w:rPr>
        <w:t>恒泰工程咨询集团有限公司</w:t>
      </w:r>
    </w:p>
    <w:p w14:paraId="4608DF61">
      <w:pPr>
        <w:pStyle w:val="36"/>
        <w:ind w:firstLine="480" w:firstLineChars="200"/>
        <w:rPr>
          <w:rFonts w:hint="eastAsia" w:eastAsia="仿宋" w:cs="Times New Roman"/>
          <w:sz w:val="24"/>
          <w:szCs w:val="24"/>
          <w:highlight w:val="none"/>
          <w:lang w:val="en-US" w:eastAsia="zh-CN"/>
        </w:rPr>
      </w:pPr>
      <w:r>
        <w:rPr>
          <w:rFonts w:hint="eastAsia" w:ascii="Times New Roman" w:hAnsi="Times New Roman" w:eastAsia="仿宋" w:cs="Times New Roman"/>
          <w:sz w:val="24"/>
          <w:szCs w:val="24"/>
          <w:highlight w:val="none"/>
        </w:rPr>
        <w:t>地址：</w:t>
      </w:r>
      <w:r>
        <w:rPr>
          <w:rFonts w:hint="eastAsia" w:eastAsia="仿宋" w:cs="Times New Roman"/>
          <w:sz w:val="24"/>
          <w:szCs w:val="24"/>
          <w:highlight w:val="none"/>
          <w:lang w:val="en-US" w:eastAsia="zh-CN"/>
        </w:rPr>
        <w:t>成都市武侯区武侯大道顺江段77号汇点广场（吾悦广场）2座709号</w:t>
      </w:r>
    </w:p>
    <w:p w14:paraId="353B8791">
      <w:pPr>
        <w:pStyle w:val="36"/>
        <w:ind w:firstLine="480" w:firstLineChars="200"/>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联 系 人：</w:t>
      </w:r>
      <w:r>
        <w:rPr>
          <w:rFonts w:hint="eastAsia" w:ascii="Times New Roman" w:hAnsi="Times New Roman" w:eastAsia="仿宋" w:cs="Times New Roman"/>
          <w:sz w:val="24"/>
          <w:szCs w:val="24"/>
          <w:highlight w:val="none"/>
          <w:lang w:eastAsia="zh-CN"/>
        </w:rPr>
        <w:t>王女士</w:t>
      </w:r>
      <w:r>
        <w:rPr>
          <w:rFonts w:hint="eastAsia" w:ascii="Times New Roman" w:hAnsi="Times New Roman" w:eastAsia="仿宋" w:cs="Times New Roman"/>
          <w:sz w:val="24"/>
          <w:szCs w:val="24"/>
          <w:highlight w:val="none"/>
        </w:rPr>
        <w:t xml:space="preserve"> </w:t>
      </w:r>
    </w:p>
    <w:p w14:paraId="23D1FDE3">
      <w:pPr>
        <w:pStyle w:val="36"/>
        <w:ind w:firstLine="480" w:firstLineChars="200"/>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rPr>
        <w:t>联系电话：</w:t>
      </w:r>
      <w:r>
        <w:rPr>
          <w:rFonts w:hint="eastAsia" w:ascii="Times New Roman" w:hAnsi="Times New Roman" w:eastAsia="仿宋" w:cs="Times New Roman"/>
          <w:sz w:val="24"/>
          <w:szCs w:val="24"/>
          <w:highlight w:val="none"/>
          <w:lang w:eastAsia="zh-CN"/>
        </w:rPr>
        <w:t>19950260831</w:t>
      </w:r>
    </w:p>
    <w:p w14:paraId="5E3D1E39">
      <w:pPr>
        <w:rPr>
          <w:rFonts w:hint="eastAsia" w:ascii="仿宋" w:hAnsi="仿宋" w:eastAsia="仿宋" w:cs="仿宋"/>
          <w:b/>
          <w:bCs w:val="0"/>
          <w:sz w:val="36"/>
          <w:szCs w:val="32"/>
          <w:highlight w:val="none"/>
        </w:rPr>
      </w:pPr>
      <w:r>
        <w:rPr>
          <w:rFonts w:hint="eastAsia" w:ascii="仿宋" w:hAnsi="仿宋" w:eastAsia="仿宋" w:cs="仿宋"/>
          <w:b/>
          <w:bCs w:val="0"/>
          <w:sz w:val="36"/>
          <w:szCs w:val="32"/>
          <w:highlight w:val="none"/>
        </w:rPr>
        <w:br w:type="page"/>
      </w:r>
    </w:p>
    <w:p w14:paraId="58E29FF2">
      <w:pPr>
        <w:widowControl/>
        <w:spacing w:line="520" w:lineRule="exact"/>
        <w:jc w:val="center"/>
        <w:outlineLvl w:val="0"/>
        <w:rPr>
          <w:rFonts w:hint="eastAsia" w:ascii="仿宋" w:hAnsi="仿宋" w:eastAsia="仿宋" w:cs="仿宋"/>
          <w:b/>
          <w:bCs w:val="0"/>
          <w:sz w:val="36"/>
          <w:szCs w:val="32"/>
          <w:highlight w:val="none"/>
        </w:rPr>
      </w:pPr>
      <w:bookmarkStart w:id="4" w:name="_Toc5327"/>
      <w:r>
        <w:rPr>
          <w:rFonts w:hint="eastAsia" w:ascii="仿宋" w:hAnsi="仿宋" w:eastAsia="仿宋" w:cs="仿宋"/>
          <w:b/>
          <w:bCs w:val="0"/>
          <w:sz w:val="36"/>
          <w:szCs w:val="32"/>
          <w:highlight w:val="none"/>
        </w:rPr>
        <w:t>第二章</w:t>
      </w:r>
      <w:r>
        <w:rPr>
          <w:rFonts w:hint="eastAsia" w:ascii="仿宋" w:hAnsi="仿宋" w:eastAsia="仿宋" w:cs="仿宋"/>
          <w:b/>
          <w:bCs w:val="0"/>
          <w:sz w:val="36"/>
          <w:szCs w:val="32"/>
          <w:highlight w:val="none"/>
          <w:lang w:val="en-US" w:eastAsia="zh-CN"/>
        </w:rPr>
        <w:t xml:space="preserve"> </w:t>
      </w:r>
      <w:r>
        <w:rPr>
          <w:rFonts w:hint="eastAsia" w:ascii="仿宋" w:hAnsi="仿宋" w:eastAsia="仿宋" w:cs="仿宋"/>
          <w:b/>
          <w:bCs w:val="0"/>
          <w:sz w:val="36"/>
          <w:szCs w:val="32"/>
          <w:highlight w:val="none"/>
        </w:rPr>
        <w:t>投标人须知</w:t>
      </w:r>
      <w:bookmarkEnd w:id="3"/>
      <w:bookmarkEnd w:id="4"/>
    </w:p>
    <w:p w14:paraId="39EF2750">
      <w:pPr>
        <w:pStyle w:val="37"/>
        <w:numPr>
          <w:ilvl w:val="0"/>
          <w:numId w:val="0"/>
        </w:numPr>
        <w:spacing w:line="520" w:lineRule="exact"/>
        <w:ind w:left="562" w:leftChars="0" w:firstLine="2249" w:firstLineChars="800"/>
        <w:jc w:val="both"/>
        <w:outlineLvl w:val="1"/>
        <w:rPr>
          <w:sz w:val="28"/>
          <w:szCs w:val="28"/>
          <w:highlight w:val="none"/>
        </w:rPr>
      </w:pPr>
      <w:r>
        <w:rPr>
          <w:rFonts w:hint="eastAsia" w:ascii="Times New Roman" w:hAnsi="Times New Roman" w:eastAsia="仿宋" w:cs="Times New Roman"/>
          <w:b/>
          <w:sz w:val="28"/>
          <w:szCs w:val="28"/>
          <w:highlight w:val="none"/>
          <w:lang w:eastAsia="zh-CN"/>
        </w:rPr>
        <w:t>一、</w:t>
      </w:r>
      <w:r>
        <w:rPr>
          <w:rFonts w:ascii="Times New Roman" w:hAnsi="Times New Roman" w:eastAsia="仿宋" w:cs="Times New Roman"/>
          <w:b/>
          <w:sz w:val="28"/>
          <w:szCs w:val="28"/>
          <w:highlight w:val="none"/>
        </w:rPr>
        <w:t>投标人须知附表</w:t>
      </w:r>
    </w:p>
    <w:tbl>
      <w:tblPr>
        <w:tblStyle w:val="21"/>
        <w:tblW w:w="893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66"/>
        <w:gridCol w:w="2039"/>
        <w:gridCol w:w="6326"/>
      </w:tblGrid>
      <w:tr w14:paraId="0BB0900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66" w:type="dxa"/>
            <w:tcBorders>
              <w:top w:val="single" w:color="auto" w:sz="18" w:space="0"/>
            </w:tcBorders>
            <w:vAlign w:val="center"/>
          </w:tcPr>
          <w:p w14:paraId="125E973C">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2"/>
                <w:szCs w:val="22"/>
                <w:highlight w:val="none"/>
                <w14:textFill>
                  <w14:solidFill>
                    <w14:schemeClr w14:val="tx1"/>
                  </w14:solidFill>
                </w14:textFill>
              </w:rPr>
              <w:t>序号</w:t>
            </w:r>
          </w:p>
        </w:tc>
        <w:tc>
          <w:tcPr>
            <w:tcW w:w="2039" w:type="dxa"/>
            <w:tcBorders>
              <w:top w:val="single" w:color="auto" w:sz="18" w:space="0"/>
            </w:tcBorders>
            <w:vAlign w:val="center"/>
          </w:tcPr>
          <w:p w14:paraId="1C0265C4">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2"/>
                <w:szCs w:val="22"/>
                <w:highlight w:val="none"/>
                <w14:textFill>
                  <w14:solidFill>
                    <w14:schemeClr w14:val="tx1"/>
                  </w14:solidFill>
                </w14:textFill>
              </w:rPr>
              <w:t>应知事项</w:t>
            </w:r>
          </w:p>
        </w:tc>
        <w:tc>
          <w:tcPr>
            <w:tcW w:w="6326" w:type="dxa"/>
            <w:tcBorders>
              <w:top w:val="single" w:color="auto" w:sz="18" w:space="0"/>
            </w:tcBorders>
            <w:vAlign w:val="center"/>
          </w:tcPr>
          <w:p w14:paraId="00484E12">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2"/>
                <w:szCs w:val="22"/>
                <w:highlight w:val="none"/>
                <w14:textFill>
                  <w14:solidFill>
                    <w14:schemeClr w14:val="tx1"/>
                  </w14:solidFill>
                </w14:textFill>
              </w:rPr>
              <w:t>说明和要求</w:t>
            </w:r>
          </w:p>
        </w:tc>
      </w:tr>
      <w:tr w14:paraId="4E70E6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66" w:type="dxa"/>
            <w:vMerge w:val="restart"/>
            <w:vAlign w:val="center"/>
          </w:tcPr>
          <w:p w14:paraId="6B698A9A">
            <w:pPr>
              <w:pStyle w:val="26"/>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2039" w:type="dxa"/>
            <w:vAlign w:val="center"/>
          </w:tcPr>
          <w:p w14:paraId="27872949">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zh-CN" w:eastAsia="zh-CN" w:bidi="ar-SA"/>
              </w:rPr>
              <w:t>采购预算</w:t>
            </w:r>
          </w:p>
          <w:p w14:paraId="4FD839B1">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bCs/>
                <w:kern w:val="0"/>
                <w:sz w:val="22"/>
                <w:szCs w:val="22"/>
                <w:highlight w:val="none"/>
                <w:lang w:val="zh-CN" w:eastAsia="zh-CN" w:bidi="ar-SA"/>
              </w:rPr>
              <w:t>（实质性要求）</w:t>
            </w:r>
          </w:p>
        </w:tc>
        <w:tc>
          <w:tcPr>
            <w:tcW w:w="6326" w:type="dxa"/>
            <w:vAlign w:val="center"/>
          </w:tcPr>
          <w:p w14:paraId="181D06BA">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人民币：30万元</w:t>
            </w:r>
          </w:p>
          <w:p w14:paraId="08437A76">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sz w:val="22"/>
                <w:szCs w:val="22"/>
                <w:highlight w:val="none"/>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投标报价超过采购预算，其投标文件按无效处理</w:t>
            </w:r>
          </w:p>
        </w:tc>
      </w:tr>
      <w:tr w14:paraId="6C1B8DF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66" w:type="dxa"/>
            <w:vMerge w:val="continue"/>
            <w:vAlign w:val="center"/>
          </w:tcPr>
          <w:p w14:paraId="347EB8E9">
            <w:pPr>
              <w:pStyle w:val="26"/>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2039" w:type="dxa"/>
            <w:vAlign w:val="center"/>
          </w:tcPr>
          <w:p w14:paraId="0E0AC535">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zh-CN" w:eastAsia="zh-CN" w:bidi="ar-SA"/>
              </w:rPr>
              <w:t>最高限价</w:t>
            </w:r>
          </w:p>
          <w:p w14:paraId="5E3B0E40">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bCs/>
                <w:kern w:val="0"/>
                <w:sz w:val="22"/>
                <w:szCs w:val="22"/>
                <w:highlight w:val="none"/>
                <w:lang w:val="zh-CN" w:eastAsia="zh-CN" w:bidi="ar-SA"/>
              </w:rPr>
              <w:t>（实质性要求）</w:t>
            </w:r>
          </w:p>
        </w:tc>
        <w:tc>
          <w:tcPr>
            <w:tcW w:w="6326" w:type="dxa"/>
            <w:vAlign w:val="center"/>
          </w:tcPr>
          <w:p w14:paraId="633A396C">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人民币：30万元</w:t>
            </w:r>
          </w:p>
          <w:p w14:paraId="68FAA340">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投标</w:t>
            </w:r>
            <w:r>
              <w:rPr>
                <w:rFonts w:hint="eastAsia" w:ascii="仿宋" w:hAnsi="仿宋" w:eastAsia="仿宋" w:cs="仿宋"/>
                <w:color w:val="000000" w:themeColor="text1"/>
                <w:sz w:val="22"/>
                <w:szCs w:val="22"/>
                <w:highlight w:val="none"/>
                <w14:textFill>
                  <w14:solidFill>
                    <w14:schemeClr w14:val="tx1"/>
                  </w14:solidFill>
                </w14:textFill>
              </w:rPr>
              <w:t>报价超过最高限价，其</w:t>
            </w:r>
            <w:r>
              <w:rPr>
                <w:rFonts w:hint="eastAsia" w:ascii="仿宋" w:hAnsi="仿宋" w:eastAsia="仿宋" w:cs="仿宋"/>
                <w:color w:val="000000" w:themeColor="text1"/>
                <w:sz w:val="22"/>
                <w:szCs w:val="22"/>
                <w:highlight w:val="none"/>
                <w:lang w:eastAsia="zh-CN"/>
                <w14:textFill>
                  <w14:solidFill>
                    <w14:schemeClr w14:val="tx1"/>
                  </w14:solidFill>
                </w14:textFill>
              </w:rPr>
              <w:t>投标</w:t>
            </w:r>
            <w:r>
              <w:rPr>
                <w:rFonts w:hint="eastAsia" w:ascii="仿宋" w:hAnsi="仿宋" w:eastAsia="仿宋" w:cs="仿宋"/>
                <w:color w:val="000000" w:themeColor="text1"/>
                <w:sz w:val="22"/>
                <w:szCs w:val="22"/>
                <w:highlight w:val="none"/>
                <w14:textFill>
                  <w14:solidFill>
                    <w14:schemeClr w14:val="tx1"/>
                  </w14:solidFill>
                </w14:textFill>
              </w:rPr>
              <w:t>文件按无效处理</w:t>
            </w:r>
          </w:p>
        </w:tc>
      </w:tr>
      <w:tr w14:paraId="3092AD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66" w:type="dxa"/>
            <w:vAlign w:val="center"/>
          </w:tcPr>
          <w:p w14:paraId="387E251D">
            <w:pPr>
              <w:pStyle w:val="26"/>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2039" w:type="dxa"/>
            <w:vAlign w:val="center"/>
          </w:tcPr>
          <w:p w14:paraId="6B8FBD8B">
            <w:pPr>
              <w:pStyle w:val="39"/>
              <w:keepNext w:val="0"/>
              <w:keepLines w:val="0"/>
              <w:pageBreakBefore w:val="0"/>
              <w:widowControl w:val="0"/>
              <w:kinsoku/>
              <w:wordWrap/>
              <w:overflowPunct/>
              <w:topLinePunct w:val="0"/>
              <w:bidi w:val="0"/>
              <w:snapToGrid/>
              <w:spacing w:line="360" w:lineRule="auto"/>
              <w:jc w:val="center"/>
              <w:textAlignment w:val="auto"/>
              <w:rPr>
                <w:rFonts w:ascii="Times New Roman" w:hAnsi="Times New Roman" w:eastAsia="仿宋" w:cs="Times New Roman"/>
                <w:b w:val="0"/>
                <w:bCs w:val="0"/>
                <w:kern w:val="0"/>
                <w:sz w:val="22"/>
                <w:szCs w:val="22"/>
                <w:highlight w:val="none"/>
                <w:lang w:val="zh-CN" w:eastAsia="zh-CN" w:bidi="ar-SA"/>
              </w:rPr>
            </w:pPr>
            <w:r>
              <w:rPr>
                <w:rFonts w:ascii="Times New Roman" w:hAnsi="Times New Roman" w:eastAsia="仿宋" w:cs="Times New Roman"/>
                <w:b w:val="0"/>
                <w:bCs w:val="0"/>
                <w:kern w:val="0"/>
                <w:sz w:val="22"/>
                <w:szCs w:val="22"/>
                <w:highlight w:val="none"/>
                <w:lang w:val="zh-CN" w:eastAsia="zh-CN" w:bidi="ar-SA"/>
              </w:rPr>
              <w:t>不正当竞争预防措施</w:t>
            </w:r>
          </w:p>
          <w:p w14:paraId="6C870B2B">
            <w:pPr>
              <w:pStyle w:val="39"/>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bCs/>
                <w:kern w:val="0"/>
                <w:sz w:val="22"/>
                <w:szCs w:val="22"/>
                <w:highlight w:val="none"/>
                <w:lang w:val="zh-CN" w:eastAsia="zh-CN" w:bidi="ar-SA"/>
              </w:rPr>
              <w:t>（实质性要求）</w:t>
            </w:r>
          </w:p>
        </w:tc>
        <w:tc>
          <w:tcPr>
            <w:tcW w:w="6326" w:type="dxa"/>
            <w:vAlign w:val="center"/>
          </w:tcPr>
          <w:p w14:paraId="139DF779">
            <w:pPr>
              <w:pStyle w:val="39"/>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Times New Roman" w:hAnsi="Times New Roman" w:eastAsia="仿宋" w:cs="Times New Roman"/>
                <w:sz w:val="22"/>
                <w:szCs w:val="22"/>
                <w:highlight w:val="none"/>
                <w:lang w:val="zh-CN"/>
              </w:rPr>
              <w:t>评标委员会认为投标人的报价明显低于其他通过符合性审查投标人的报价，有可能影响产品质量或者不能诚信履约的，应当要求其在评标现场合理的时间内提供书面说明，并提交相关证明材料；评标委员会</w:t>
            </w:r>
            <w:r>
              <w:rPr>
                <w:rFonts w:hint="eastAsia" w:ascii="仿宋" w:hAnsi="仿宋" w:eastAsia="仿宋" w:cstheme="minorBidi"/>
                <w:b w:val="0"/>
                <w:bCs/>
                <w:color w:val="000000" w:themeColor="text1"/>
                <w:kern w:val="2"/>
                <w:sz w:val="22"/>
                <w:szCs w:val="22"/>
                <w:highlight w:val="none"/>
                <w:lang w:val="zh-CN" w:eastAsia="zh-CN" w:bidi="ar-SA"/>
                <w14:textFill>
                  <w14:solidFill>
                    <w14:schemeClr w14:val="tx1"/>
                  </w14:solidFill>
                </w14:textFill>
              </w:rPr>
              <w:t>认为其证明材料不能证明其报价合理性，应当将其作为无效投标处理</w:t>
            </w:r>
          </w:p>
        </w:tc>
      </w:tr>
      <w:tr w14:paraId="3EB1BD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66" w:type="dxa"/>
            <w:vAlign w:val="center"/>
          </w:tcPr>
          <w:p w14:paraId="5B8FB6E2">
            <w:pPr>
              <w:pStyle w:val="26"/>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2039" w:type="dxa"/>
            <w:vAlign w:val="center"/>
          </w:tcPr>
          <w:p w14:paraId="1841B42D">
            <w:pPr>
              <w:pStyle w:val="39"/>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zh-CN" w:eastAsia="zh-CN" w:bidi="ar-SA"/>
              </w:rPr>
              <w:t>投标有效期</w:t>
            </w:r>
          </w:p>
          <w:p w14:paraId="6DE3980D">
            <w:pPr>
              <w:pStyle w:val="39"/>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bCs/>
                <w:kern w:val="0"/>
                <w:sz w:val="22"/>
                <w:szCs w:val="22"/>
                <w:highlight w:val="none"/>
                <w:lang w:val="zh-CN" w:eastAsia="zh-CN" w:bidi="ar-SA"/>
              </w:rPr>
              <w:t>（实质性要求）</w:t>
            </w:r>
          </w:p>
        </w:tc>
        <w:tc>
          <w:tcPr>
            <w:tcW w:w="6326" w:type="dxa"/>
            <w:vAlign w:val="center"/>
          </w:tcPr>
          <w:p w14:paraId="2FC73BA2">
            <w:pPr>
              <w:pStyle w:val="39"/>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Times New Roman" w:hAnsi="Times New Roman" w:eastAsia="仿宋" w:cs="Times New Roman"/>
                <w:sz w:val="22"/>
                <w:szCs w:val="22"/>
                <w:highlight w:val="none"/>
                <w:lang w:val="zh-CN" w:eastAsia="zh-CN"/>
              </w:rPr>
            </w:pPr>
            <w:r>
              <w:rPr>
                <w:rFonts w:hint="eastAsia" w:ascii="Times New Roman" w:hAnsi="Times New Roman" w:eastAsia="仿宋" w:cs="Times New Roman"/>
                <w:sz w:val="22"/>
                <w:szCs w:val="22"/>
                <w:highlight w:val="none"/>
                <w:lang w:val="zh-CN" w:eastAsia="zh-CN"/>
              </w:rPr>
              <w:t>提交投标文件截止之日起不少于120天</w:t>
            </w:r>
          </w:p>
        </w:tc>
      </w:tr>
      <w:tr w14:paraId="447402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66" w:type="dxa"/>
            <w:vAlign w:val="center"/>
          </w:tcPr>
          <w:p w14:paraId="365EFF76">
            <w:pPr>
              <w:pStyle w:val="26"/>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2039" w:type="dxa"/>
            <w:vAlign w:val="center"/>
          </w:tcPr>
          <w:p w14:paraId="019F2DC4">
            <w:pPr>
              <w:pStyle w:val="39"/>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zh-CN" w:eastAsia="zh-CN" w:bidi="ar-SA"/>
              </w:rPr>
              <w:t>合同分包</w:t>
            </w:r>
          </w:p>
          <w:p w14:paraId="640B8D07">
            <w:pPr>
              <w:pStyle w:val="39"/>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bCs/>
                <w:kern w:val="0"/>
                <w:sz w:val="22"/>
                <w:szCs w:val="22"/>
                <w:highlight w:val="none"/>
                <w:lang w:val="zh-CN" w:eastAsia="zh-CN" w:bidi="ar-SA"/>
              </w:rPr>
              <w:t>（实质性要求）</w:t>
            </w:r>
          </w:p>
        </w:tc>
        <w:tc>
          <w:tcPr>
            <w:tcW w:w="6326" w:type="dxa"/>
            <w:vAlign w:val="center"/>
          </w:tcPr>
          <w:p w14:paraId="6EEE3E84">
            <w:pPr>
              <w:pStyle w:val="39"/>
              <w:keepNext w:val="0"/>
              <w:keepLines w:val="0"/>
              <w:pageBreakBefore w:val="0"/>
              <w:widowControl w:val="0"/>
              <w:kinsoku/>
              <w:wordWrap/>
              <w:overflowPunct/>
              <w:topLinePunct w:val="0"/>
              <w:bidi w:val="0"/>
              <w:snapToGrid/>
              <w:spacing w:line="360" w:lineRule="auto"/>
              <w:ind w:left="210" w:leftChars="100"/>
              <w:jc w:val="both"/>
              <w:textAlignment w:val="auto"/>
              <w:rPr>
                <w:rFonts w:ascii="Times New Roman" w:hAnsi="Times New Roman" w:eastAsia="仿宋" w:cs="Times New Roman"/>
                <w:color w:val="FF0000"/>
                <w:sz w:val="22"/>
                <w:szCs w:val="22"/>
                <w:highlight w:val="none"/>
                <w:lang w:val="zh-CN"/>
              </w:rPr>
            </w:pPr>
            <w:r>
              <w:rPr>
                <w:rFonts w:hint="eastAsia" w:ascii="Times New Roman" w:hAnsi="Times New Roman" w:eastAsia="仿宋" w:cs="Times New Roman"/>
                <w:sz w:val="22"/>
                <w:szCs w:val="22"/>
                <w:highlight w:val="none"/>
                <w:lang w:val="zh-CN" w:eastAsia="zh-CN"/>
              </w:rPr>
              <w:t>不接受</w:t>
            </w:r>
          </w:p>
        </w:tc>
      </w:tr>
      <w:tr w14:paraId="161664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66" w:type="dxa"/>
            <w:vAlign w:val="center"/>
          </w:tcPr>
          <w:p w14:paraId="2DF8FE78">
            <w:pPr>
              <w:pStyle w:val="26"/>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2039" w:type="dxa"/>
            <w:vAlign w:val="center"/>
          </w:tcPr>
          <w:p w14:paraId="30F54542">
            <w:pPr>
              <w:pStyle w:val="39"/>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zh-CN" w:eastAsia="zh-CN" w:bidi="ar-SA"/>
              </w:rPr>
              <w:t>联合体投标</w:t>
            </w:r>
          </w:p>
          <w:p w14:paraId="72B55873">
            <w:pPr>
              <w:pStyle w:val="39"/>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bCs/>
                <w:kern w:val="0"/>
                <w:sz w:val="22"/>
                <w:szCs w:val="22"/>
                <w:highlight w:val="none"/>
                <w:lang w:val="zh-CN" w:eastAsia="zh-CN" w:bidi="ar-SA"/>
              </w:rPr>
              <w:t>（实质性要求）</w:t>
            </w:r>
          </w:p>
        </w:tc>
        <w:tc>
          <w:tcPr>
            <w:tcW w:w="6326" w:type="dxa"/>
            <w:vAlign w:val="center"/>
          </w:tcPr>
          <w:p w14:paraId="733177CC">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sz w:val="22"/>
                <w:szCs w:val="22"/>
                <w:highlight w:val="none"/>
                <w:lang w:val="zh-CN" w:eastAsia="zh-CN"/>
              </w:rPr>
            </w:pPr>
            <w:r>
              <w:rPr>
                <w:rFonts w:hint="eastAsia" w:ascii="仿宋" w:hAnsi="仿宋" w:eastAsia="仿宋" w:cs="仿宋"/>
                <w:color w:val="000000" w:themeColor="text1"/>
                <w:sz w:val="22"/>
                <w:szCs w:val="22"/>
                <w:highlight w:val="none"/>
                <w14:textFill>
                  <w14:solidFill>
                    <w14:schemeClr w14:val="tx1"/>
                  </w14:solidFill>
                </w14:textFill>
              </w:rPr>
              <w:t>不接受</w:t>
            </w:r>
          </w:p>
        </w:tc>
      </w:tr>
      <w:tr w14:paraId="15041E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66" w:type="dxa"/>
            <w:vAlign w:val="center"/>
          </w:tcPr>
          <w:p w14:paraId="3771DE6B">
            <w:pPr>
              <w:pStyle w:val="26"/>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2039" w:type="dxa"/>
            <w:vAlign w:val="center"/>
          </w:tcPr>
          <w:p w14:paraId="1729C104">
            <w:pPr>
              <w:pStyle w:val="39"/>
              <w:keepNext w:val="0"/>
              <w:keepLines w:val="0"/>
              <w:pageBreakBefore w:val="0"/>
              <w:widowControl w:val="0"/>
              <w:kinsoku/>
              <w:wordWrap/>
              <w:overflowPunct/>
              <w:topLinePunct w:val="0"/>
              <w:bidi w:val="0"/>
              <w:snapToGrid/>
              <w:spacing w:line="360" w:lineRule="auto"/>
              <w:jc w:val="center"/>
              <w:textAlignment w:val="auto"/>
              <w:rPr>
                <w:rFonts w:hint="eastAsia"/>
                <w:sz w:val="22"/>
                <w:szCs w:val="22"/>
                <w:highlight w:val="none"/>
                <w:lang w:val="zh-CN" w:eastAsia="zh-CN"/>
              </w:rPr>
            </w:pPr>
            <w:r>
              <w:rPr>
                <w:rFonts w:hint="eastAsia" w:ascii="Times New Roman" w:hAnsi="Times New Roman" w:eastAsia="仿宋" w:cs="Times New Roman"/>
                <w:b w:val="0"/>
                <w:bCs w:val="0"/>
                <w:kern w:val="0"/>
                <w:sz w:val="22"/>
                <w:szCs w:val="22"/>
                <w:highlight w:val="none"/>
                <w:lang w:val="zh-CN" w:eastAsia="zh-CN" w:bidi="ar-SA"/>
              </w:rPr>
              <w:t>投标文件的份数</w:t>
            </w:r>
          </w:p>
        </w:tc>
        <w:tc>
          <w:tcPr>
            <w:tcW w:w="6326" w:type="dxa"/>
            <w:vAlign w:val="center"/>
          </w:tcPr>
          <w:p w14:paraId="11BA37DA">
            <w:pPr>
              <w:pStyle w:val="39"/>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Times New Roman" w:hAnsi="Times New Roman" w:eastAsia="仿宋" w:cs="Times New Roman"/>
                <w:sz w:val="22"/>
                <w:szCs w:val="22"/>
                <w:highlight w:val="none"/>
                <w:lang w:val="zh-CN" w:eastAsia="zh-CN"/>
              </w:rPr>
            </w:pPr>
            <w:r>
              <w:rPr>
                <w:rFonts w:hint="eastAsia" w:ascii="Times New Roman" w:hAnsi="Times New Roman" w:eastAsia="仿宋" w:cs="Times New Roman"/>
                <w:sz w:val="22"/>
                <w:szCs w:val="22"/>
                <w:highlight w:val="none"/>
                <w:lang w:val="zh-CN" w:eastAsia="zh-CN"/>
              </w:rPr>
              <w:t>“资格性投标文件”正本1份、副本</w:t>
            </w:r>
            <w:r>
              <w:rPr>
                <w:rFonts w:hint="eastAsia" w:ascii="Times New Roman" w:hAnsi="Times New Roman" w:eastAsia="仿宋" w:cs="Times New Roman"/>
                <w:sz w:val="22"/>
                <w:szCs w:val="22"/>
                <w:highlight w:val="none"/>
                <w:lang w:val="en-US" w:eastAsia="zh-CN"/>
              </w:rPr>
              <w:t>2份、电子档1份</w:t>
            </w:r>
            <w:r>
              <w:rPr>
                <w:rFonts w:hint="eastAsia" w:ascii="Times New Roman" w:hAnsi="Times New Roman" w:eastAsia="仿宋" w:cs="Times New Roman"/>
                <w:sz w:val="22"/>
                <w:szCs w:val="22"/>
                <w:highlight w:val="none"/>
                <w:lang w:val="zh-CN" w:eastAsia="zh-CN"/>
              </w:rPr>
              <w:t>；</w:t>
            </w:r>
            <w:r>
              <w:rPr>
                <w:rFonts w:hint="eastAsia" w:ascii="Times New Roman" w:hAnsi="Times New Roman" w:eastAsia="仿宋" w:cs="Times New Roman"/>
                <w:b/>
                <w:bCs/>
                <w:sz w:val="22"/>
                <w:szCs w:val="22"/>
                <w:highlight w:val="none"/>
                <w:lang w:val="zh-CN" w:eastAsia="zh-CN"/>
              </w:rPr>
              <w:t>（实质性要求）</w:t>
            </w:r>
          </w:p>
          <w:p w14:paraId="691C162F">
            <w:pPr>
              <w:pStyle w:val="39"/>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Times New Roman" w:hAnsi="Times New Roman" w:eastAsia="仿宋" w:cs="Times New Roman"/>
                <w:sz w:val="22"/>
                <w:szCs w:val="22"/>
                <w:highlight w:val="none"/>
                <w:lang w:val="zh-CN" w:eastAsia="zh-CN"/>
              </w:rPr>
            </w:pPr>
            <w:r>
              <w:rPr>
                <w:rFonts w:hint="eastAsia" w:ascii="Times New Roman" w:hAnsi="Times New Roman" w:eastAsia="仿宋" w:cs="Times New Roman"/>
                <w:sz w:val="22"/>
                <w:szCs w:val="22"/>
                <w:highlight w:val="none"/>
                <w:lang w:val="zh-CN" w:eastAsia="zh-CN"/>
              </w:rPr>
              <w:t>“</w:t>
            </w:r>
            <w:r>
              <w:rPr>
                <w:rFonts w:hint="eastAsia" w:ascii="Times New Roman" w:hAnsi="Times New Roman" w:eastAsia="仿宋" w:cs="Times New Roman"/>
                <w:sz w:val="22"/>
                <w:szCs w:val="22"/>
                <w:highlight w:val="none"/>
                <w:lang w:val="en-US" w:eastAsia="zh-CN"/>
              </w:rPr>
              <w:t>其他</w:t>
            </w:r>
            <w:r>
              <w:rPr>
                <w:rFonts w:hint="eastAsia" w:ascii="Times New Roman" w:hAnsi="Times New Roman" w:eastAsia="仿宋" w:cs="Times New Roman"/>
                <w:sz w:val="22"/>
                <w:szCs w:val="22"/>
                <w:highlight w:val="none"/>
                <w:lang w:val="zh-CN" w:eastAsia="zh-CN"/>
              </w:rPr>
              <w:t>响应性投标文件”正本1份、副本</w:t>
            </w:r>
            <w:r>
              <w:rPr>
                <w:rFonts w:hint="eastAsia" w:ascii="Times New Roman" w:hAnsi="Times New Roman" w:eastAsia="仿宋" w:cs="Times New Roman"/>
                <w:sz w:val="22"/>
                <w:szCs w:val="22"/>
                <w:highlight w:val="none"/>
                <w:lang w:val="en-US" w:eastAsia="zh-CN"/>
              </w:rPr>
              <w:t>2份、电子档1份</w:t>
            </w:r>
            <w:r>
              <w:rPr>
                <w:rFonts w:hint="eastAsia" w:ascii="Times New Roman" w:hAnsi="Times New Roman" w:eastAsia="仿宋" w:cs="Times New Roman"/>
                <w:sz w:val="22"/>
                <w:szCs w:val="22"/>
                <w:highlight w:val="none"/>
                <w:lang w:val="zh-CN" w:eastAsia="zh-CN"/>
              </w:rPr>
              <w:t>；</w:t>
            </w:r>
            <w:r>
              <w:rPr>
                <w:rFonts w:hint="eastAsia" w:ascii="Times New Roman" w:hAnsi="Times New Roman" w:eastAsia="仿宋" w:cs="Times New Roman"/>
                <w:b/>
                <w:bCs/>
                <w:sz w:val="22"/>
                <w:szCs w:val="22"/>
                <w:highlight w:val="none"/>
                <w:lang w:val="zh-CN" w:eastAsia="zh-CN"/>
              </w:rPr>
              <w:t>（实质性要求）</w:t>
            </w:r>
          </w:p>
          <w:p w14:paraId="4D3982BB">
            <w:pPr>
              <w:keepNext w:val="0"/>
              <w:keepLines w:val="0"/>
              <w:pageBreakBefore w:val="0"/>
              <w:widowControl w:val="0"/>
              <w:kinsoku/>
              <w:wordWrap/>
              <w:overflowPunct/>
              <w:topLinePunct w:val="0"/>
              <w:bidi w:val="0"/>
              <w:snapToGrid/>
              <w:spacing w:line="360" w:lineRule="auto"/>
              <w:ind w:left="210" w:leftChars="100"/>
              <w:textAlignment w:val="auto"/>
              <w:rPr>
                <w:rFonts w:hint="eastAsia"/>
                <w:sz w:val="22"/>
                <w:szCs w:val="22"/>
                <w:highlight w:val="none"/>
              </w:rPr>
            </w:pPr>
            <w:r>
              <w:rPr>
                <w:rFonts w:hint="eastAsia" w:ascii="Times New Roman" w:hAnsi="Times New Roman" w:eastAsia="仿宋" w:cs="Times New Roman"/>
                <w:sz w:val="22"/>
                <w:szCs w:val="22"/>
                <w:highlight w:val="none"/>
                <w:lang w:val="en-US" w:eastAsia="zh-CN"/>
              </w:rPr>
              <w:t>用于开标唱标的</w:t>
            </w:r>
            <w:r>
              <w:rPr>
                <w:rFonts w:hint="eastAsia" w:ascii="Times New Roman" w:hAnsi="Times New Roman" w:eastAsia="仿宋" w:cs="Times New Roman"/>
                <w:sz w:val="22"/>
                <w:szCs w:val="22"/>
                <w:highlight w:val="none"/>
                <w:lang w:val="zh-CN" w:eastAsia="zh-CN"/>
              </w:rPr>
              <w:t>“开标一览表”</w:t>
            </w:r>
            <w:r>
              <w:rPr>
                <w:rFonts w:hint="eastAsia" w:ascii="Times New Roman" w:hAnsi="Times New Roman" w:eastAsia="仿宋" w:cs="Times New Roman"/>
                <w:sz w:val="22"/>
                <w:szCs w:val="22"/>
                <w:highlight w:val="none"/>
                <w:lang w:val="en-US" w:eastAsia="zh-CN"/>
              </w:rPr>
              <w:t>1</w:t>
            </w:r>
            <w:r>
              <w:rPr>
                <w:rFonts w:hint="eastAsia" w:ascii="Times New Roman" w:hAnsi="Times New Roman" w:eastAsia="仿宋" w:cs="Times New Roman"/>
                <w:sz w:val="22"/>
                <w:szCs w:val="22"/>
                <w:highlight w:val="none"/>
                <w:lang w:val="zh-CN" w:eastAsia="zh-CN"/>
              </w:rPr>
              <w:t>份</w:t>
            </w:r>
          </w:p>
        </w:tc>
      </w:tr>
      <w:tr w14:paraId="5222AA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66" w:type="dxa"/>
            <w:vAlign w:val="center"/>
          </w:tcPr>
          <w:p w14:paraId="0AFD986D">
            <w:pPr>
              <w:pStyle w:val="26"/>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2039" w:type="dxa"/>
            <w:vAlign w:val="center"/>
          </w:tcPr>
          <w:p w14:paraId="17DF9932">
            <w:pPr>
              <w:pStyle w:val="39"/>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en-US" w:eastAsia="zh-CN" w:bidi="ar-SA"/>
              </w:rPr>
            </w:pPr>
            <w:r>
              <w:rPr>
                <w:rFonts w:hint="eastAsia" w:ascii="Times New Roman" w:hAnsi="Times New Roman" w:eastAsia="仿宋" w:cs="Times New Roman"/>
                <w:b w:val="0"/>
                <w:bCs w:val="0"/>
                <w:kern w:val="0"/>
                <w:sz w:val="22"/>
                <w:szCs w:val="22"/>
                <w:highlight w:val="none"/>
                <w:lang w:val="en-US" w:eastAsia="zh-CN" w:bidi="ar-SA"/>
              </w:rPr>
              <w:t>投标保证金</w:t>
            </w:r>
          </w:p>
          <w:p w14:paraId="472265D1">
            <w:pPr>
              <w:pStyle w:val="39"/>
              <w:keepNext w:val="0"/>
              <w:keepLines w:val="0"/>
              <w:pageBreakBefore w:val="0"/>
              <w:widowControl w:val="0"/>
              <w:kinsoku/>
              <w:wordWrap/>
              <w:overflowPunct/>
              <w:topLinePunct w:val="0"/>
              <w:bidi w:val="0"/>
              <w:snapToGrid/>
              <w:spacing w:line="360" w:lineRule="auto"/>
              <w:jc w:val="center"/>
              <w:textAlignment w:val="auto"/>
              <w:rPr>
                <w:rFonts w:hint="default" w:ascii="Times New Roman" w:hAnsi="Times New Roman" w:eastAsia="仿宋" w:cs="Times New Roman"/>
                <w:b w:val="0"/>
                <w:bCs w:val="0"/>
                <w:kern w:val="0"/>
                <w:sz w:val="22"/>
                <w:szCs w:val="22"/>
                <w:highlight w:val="none"/>
                <w:lang w:val="en-US" w:eastAsia="zh-CN" w:bidi="ar-SA"/>
              </w:rPr>
            </w:pPr>
            <w:r>
              <w:rPr>
                <w:rFonts w:hint="eastAsia" w:ascii="Times New Roman" w:hAnsi="Times New Roman" w:eastAsia="仿宋" w:cs="Times New Roman"/>
                <w:b/>
                <w:bCs/>
                <w:kern w:val="0"/>
                <w:sz w:val="22"/>
                <w:szCs w:val="22"/>
                <w:highlight w:val="none"/>
                <w:lang w:val="zh-CN" w:eastAsia="zh-CN" w:bidi="ar-SA"/>
              </w:rPr>
              <w:t>（实质性要求）</w:t>
            </w:r>
          </w:p>
        </w:tc>
        <w:tc>
          <w:tcPr>
            <w:tcW w:w="6326" w:type="dxa"/>
            <w:vAlign w:val="center"/>
          </w:tcPr>
          <w:p w14:paraId="7C2ECD2E">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kern w:val="0"/>
                <w:sz w:val="22"/>
                <w:szCs w:val="22"/>
                <w:highlight w:val="none"/>
                <w:lang w:val="en-US" w:eastAsia="zh-CN" w:bidi="ar-SA"/>
              </w:rPr>
            </w:pPr>
            <w:r>
              <w:rPr>
                <w:rFonts w:hint="eastAsia" w:eastAsia="仿宋" w:cs="Times New Roman"/>
                <w:kern w:val="0"/>
                <w:sz w:val="22"/>
                <w:szCs w:val="22"/>
                <w:highlight w:val="none"/>
                <w:lang w:val="en-US" w:eastAsia="zh-CN" w:bidi="ar-SA"/>
              </w:rPr>
              <w:t>不收取</w:t>
            </w:r>
          </w:p>
        </w:tc>
      </w:tr>
      <w:tr w14:paraId="17F3E3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66" w:type="dxa"/>
            <w:vAlign w:val="center"/>
          </w:tcPr>
          <w:p w14:paraId="3A9B85E0">
            <w:pPr>
              <w:pStyle w:val="26"/>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2039" w:type="dxa"/>
            <w:vAlign w:val="center"/>
          </w:tcPr>
          <w:p w14:paraId="0CC7120A">
            <w:pPr>
              <w:pStyle w:val="39"/>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zh-CN" w:eastAsia="zh-CN" w:bidi="ar-SA"/>
              </w:rPr>
              <w:t>履约保证金</w:t>
            </w:r>
          </w:p>
          <w:p w14:paraId="63D3C9AD">
            <w:pPr>
              <w:pStyle w:val="39"/>
              <w:keepNext w:val="0"/>
              <w:keepLines w:val="0"/>
              <w:pageBreakBefore w:val="0"/>
              <w:widowControl w:val="0"/>
              <w:kinsoku/>
              <w:wordWrap/>
              <w:overflowPunct/>
              <w:topLinePunct w:val="0"/>
              <w:bidi w:val="0"/>
              <w:snapToGrid/>
              <w:spacing w:line="360" w:lineRule="auto"/>
              <w:jc w:val="center"/>
              <w:textAlignment w:val="auto"/>
              <w:rPr>
                <w:rFonts w:hint="eastAsia"/>
                <w:sz w:val="22"/>
                <w:szCs w:val="22"/>
                <w:highlight w:val="none"/>
                <w:lang w:val="zh-CN" w:eastAsia="zh-CN"/>
              </w:rPr>
            </w:pPr>
            <w:r>
              <w:rPr>
                <w:rFonts w:hint="eastAsia" w:ascii="Times New Roman" w:hAnsi="Times New Roman" w:eastAsia="仿宋" w:cs="Times New Roman"/>
                <w:b/>
                <w:bCs/>
                <w:kern w:val="0"/>
                <w:sz w:val="22"/>
                <w:szCs w:val="22"/>
                <w:highlight w:val="none"/>
                <w:lang w:val="zh-CN" w:eastAsia="zh-CN" w:bidi="ar-SA"/>
              </w:rPr>
              <w:t>（实质性要求）</w:t>
            </w:r>
          </w:p>
        </w:tc>
        <w:tc>
          <w:tcPr>
            <w:tcW w:w="6326" w:type="dxa"/>
            <w:vAlign w:val="center"/>
          </w:tcPr>
          <w:p w14:paraId="667F09DE">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kern w:val="0"/>
                <w:sz w:val="22"/>
                <w:szCs w:val="22"/>
                <w:highlight w:val="none"/>
                <w:lang w:val="en-US" w:eastAsia="zh-CN" w:bidi="ar-SA"/>
              </w:rPr>
            </w:pPr>
            <w:r>
              <w:rPr>
                <w:rFonts w:hint="eastAsia" w:ascii="Times New Roman" w:hAnsi="Times New Roman" w:eastAsia="仿宋" w:cs="Times New Roman"/>
                <w:kern w:val="0"/>
                <w:sz w:val="22"/>
                <w:szCs w:val="22"/>
                <w:highlight w:val="none"/>
                <w:lang w:val="en-US" w:eastAsia="zh-CN" w:bidi="ar-SA"/>
              </w:rPr>
              <w:t>收取</w:t>
            </w:r>
          </w:p>
          <w:p w14:paraId="12A83BC2">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1.履约保证金为中标金额的百分之五，投标人应在中标通知书发出之日起至合同签订前以银行转账形式向采购人提交履约保证金。</w:t>
            </w:r>
          </w:p>
          <w:p w14:paraId="4A1138FF">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2.履行合同约定（含售后服务）完毕后,无质量问题和违约责任情况，投标人凭“验收报告单”、“收到退还履约保证金的收据”、“履约保证金退还申请”到学校办理，无息退还。采购人收到投标人提交的履约保证金退还申请等资料并经采购人审核后，10个日历天内退还投标人应退部分履约保证金。因采购人原因逾期退还的，应当以未退还金额为基数，按合同订立时1年期贷款市场报价利率标准向投标人支付相应违约金，但违约金最高不得超过未退还金额的百分之二十。</w:t>
            </w:r>
          </w:p>
          <w:p w14:paraId="7E79F991">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3.履约保证金汇入的银行及账号：</w:t>
            </w:r>
          </w:p>
          <w:p w14:paraId="36876B96">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 收款账号：成都市技师学院</w:t>
            </w:r>
          </w:p>
          <w:p w14:paraId="6E34CA09">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 开户行：工行成都红光支行</w:t>
            </w:r>
          </w:p>
          <w:p w14:paraId="5EA300AB">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 银行账号：4402054609100031151</w:t>
            </w:r>
          </w:p>
          <w:p w14:paraId="04777C20">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 4.履约保证金不予退还情形:一是投标人未按合同要求履行的，其履约保证金全部扣除。二是投标人缴纳了履约保证金，但因自身原因被取消中标资格或在中标通知书发出之日起30个日历天（含法定节假日）内投标人不按招标文件确定的事项与采购人签订合同的，其履约保证金不予退还。三是法律法规或合同约定的其他情形</w:t>
            </w:r>
          </w:p>
        </w:tc>
      </w:tr>
      <w:tr w14:paraId="525973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66" w:type="dxa"/>
            <w:vAlign w:val="center"/>
          </w:tcPr>
          <w:p w14:paraId="0486F6B8">
            <w:pPr>
              <w:pStyle w:val="26"/>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2039" w:type="dxa"/>
            <w:vAlign w:val="center"/>
          </w:tcPr>
          <w:p w14:paraId="50AAB72D">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zh-CN" w:eastAsia="zh-CN" w:bidi="ar-SA"/>
              </w:rPr>
              <w:t>小微企业（监狱企业、残疾人福利性单位视同小微企业）价格扣除</w:t>
            </w:r>
          </w:p>
        </w:tc>
        <w:tc>
          <w:tcPr>
            <w:tcW w:w="6326" w:type="dxa"/>
            <w:vAlign w:val="center"/>
          </w:tcPr>
          <w:p w14:paraId="7E065E4C">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default" w:ascii="仿宋" w:hAnsi="仿宋" w:eastAsia="仿宋" w:cs="仿宋"/>
                <w:color w:val="000000" w:themeColor="text1"/>
                <w:sz w:val="22"/>
                <w:szCs w:val="22"/>
                <w:highlight w:val="none"/>
                <w:lang w:val="en-US" w:eastAsia="zh-CN"/>
                <w14:textFill>
                  <w14:solidFill>
                    <w14:schemeClr w14:val="tx1"/>
                  </w14:solidFill>
                </w14:textFill>
              </w:rPr>
              <w:t>非专门面向中小企业采购的项目</w:t>
            </w:r>
          </w:p>
          <w:p w14:paraId="695DF430">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default" w:ascii="仿宋" w:hAnsi="仿宋" w:eastAsia="仿宋" w:cs="仿宋"/>
                <w:color w:val="000000" w:themeColor="text1"/>
                <w:sz w:val="22"/>
                <w:szCs w:val="22"/>
                <w:highlight w:val="none"/>
                <w:lang w:val="en-US" w:eastAsia="zh-CN"/>
                <w14:textFill>
                  <w14:solidFill>
                    <w14:schemeClr w14:val="tx1"/>
                  </w14:solidFill>
                </w14:textFill>
              </w:rPr>
              <w:t>小微企业（监狱企业、残疾人福利性单位视同小微企业）价格扣除：</w:t>
            </w:r>
          </w:p>
          <w:p w14:paraId="61160370">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default" w:ascii="仿宋" w:hAnsi="仿宋" w:eastAsia="仿宋" w:cs="仿宋"/>
                <w:color w:val="000000" w:themeColor="text1"/>
                <w:sz w:val="22"/>
                <w:szCs w:val="22"/>
                <w:highlight w:val="none"/>
                <w:lang w:val="en-US" w:eastAsia="zh-CN"/>
                <w14:textFill>
                  <w14:solidFill>
                    <w14:schemeClr w14:val="tx1"/>
                  </w14:solidFill>
                </w14:textFill>
              </w:rPr>
              <w:t>1、根据《政府采购促进中小企业发展管理办法》财库〔2020〕46号、《关于政府采购支持监狱企业发展有关问题的通知》（财库[2014]68号）、《三部门联合发布关于促进残疾人就业政府采购政策的通知》（财库[2017]141号）和《关于进一步加大政府采购支持中小企业力度的通知》财库〔2022〕19号的规定，对小型和微型企业、监狱企业及残疾人福利性单位提供的服务给予10%的价格扣除，用扣除后的价格参与评标（同时为以上两种及以上企业的，价格不重复扣除）。</w:t>
            </w:r>
          </w:p>
          <w:p w14:paraId="5835C1D4">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default" w:ascii="仿宋" w:hAnsi="仿宋" w:eastAsia="仿宋" w:cs="仿宋"/>
                <w:color w:val="000000" w:themeColor="text1"/>
                <w:sz w:val="22"/>
                <w:szCs w:val="22"/>
                <w:highlight w:val="none"/>
                <w:lang w:val="en-US" w:eastAsia="zh-CN"/>
                <w14:textFill>
                  <w14:solidFill>
                    <w14:schemeClr w14:val="tx1"/>
                  </w14:solidFill>
                </w14:textFill>
              </w:rPr>
              <w:t>2、参加采购活动的中小企业应当提供《中小企业声明函》原件，监狱企业应当提供由省级及以上监狱管理局、戒毒管理局（含新疆生产建设兵团）出具的供应商属于监狱企业的证明文件复印件（加盖鲜章），残疾人福利性单位应当提供《残疾人福利性单位声明函》原件。</w:t>
            </w:r>
          </w:p>
          <w:p w14:paraId="388E0726">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default" w:ascii="仿宋" w:hAnsi="仿宋" w:eastAsia="仿宋" w:cs="仿宋"/>
                <w:color w:val="000000" w:themeColor="text1"/>
                <w:sz w:val="22"/>
                <w:szCs w:val="22"/>
                <w:highlight w:val="none"/>
                <w:lang w:val="en-US" w:eastAsia="zh-CN"/>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325DA1BC">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default" w:ascii="仿宋" w:hAnsi="仿宋" w:eastAsia="仿宋" w:cs="仿宋"/>
                <w:color w:val="000000" w:themeColor="text1"/>
                <w:sz w:val="22"/>
                <w:szCs w:val="22"/>
                <w:highlight w:val="none"/>
                <w:lang w:val="en-US" w:eastAsia="zh-CN"/>
                <w14:textFill>
                  <w14:solidFill>
                    <w14:schemeClr w14:val="tx1"/>
                  </w14:solidFill>
                </w14:textFill>
              </w:rPr>
              <w:t>以联合体形式参加采购活动，联合体各方均为中小企业的，联合体视同中小企业。其中，联合体各方均为小微企业的，联合体视同小微企业。</w:t>
            </w:r>
          </w:p>
          <w:p w14:paraId="2626F423">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default" w:ascii="仿宋" w:hAnsi="仿宋" w:eastAsia="仿宋" w:cs="仿宋"/>
                <w:color w:val="000000" w:themeColor="text1"/>
                <w:sz w:val="22"/>
                <w:szCs w:val="22"/>
                <w:highlight w:val="none"/>
                <w:lang w:val="en-US" w:eastAsia="zh-CN"/>
                <w14:textFill>
                  <w14:solidFill>
                    <w14:schemeClr w14:val="tx1"/>
                  </w14:solidFill>
                </w14:textFill>
              </w:rPr>
              <w:t>4、符合中小企业划分标准的个体工商户，在采购活动中视同中小企业。</w:t>
            </w:r>
          </w:p>
          <w:p w14:paraId="3C6DB17A">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default" w:ascii="仿宋" w:hAnsi="仿宋" w:eastAsia="仿宋" w:cs="仿宋"/>
                <w:color w:val="000000" w:themeColor="text1"/>
                <w:sz w:val="22"/>
                <w:szCs w:val="22"/>
                <w:highlight w:val="none"/>
                <w:lang w:val="en-US" w:eastAsia="zh-CN"/>
                <w14:textFill>
                  <w14:solidFill>
                    <w14:schemeClr w14:val="tx1"/>
                  </w14:solidFill>
                </w14:textFill>
              </w:rPr>
              <w:t>专门面向中小企业采购的项目</w:t>
            </w:r>
          </w:p>
          <w:p w14:paraId="0484BE80">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default" w:ascii="仿宋" w:hAnsi="仿宋" w:eastAsia="仿宋" w:cs="仿宋"/>
                <w:color w:val="000000" w:themeColor="text1"/>
                <w:sz w:val="22"/>
                <w:szCs w:val="22"/>
                <w:highlight w:val="none"/>
                <w:lang w:val="en-US" w:eastAsia="zh-CN"/>
                <w14:textFill>
                  <w14:solidFill>
                    <w14:schemeClr w14:val="tx1"/>
                  </w14:solidFill>
                </w14:textFill>
              </w:rPr>
              <w:t>1.本项目专门面向中小企业采购，根据《政府采购促进中小企业发展管理办法》财库〔2020〕46号、《关于政府采购支持监狱企业发展有关问题的通知》（财库[2014]68号）、《三部门联合发布关于促进残疾人就业政府采购政策的通知》（财库[2017]141号）和《关于进一步加大政府采购支持中小企业力度的通知》财库〔2022〕19号的规定，不再作价格扣除。</w:t>
            </w:r>
          </w:p>
        </w:tc>
      </w:tr>
      <w:tr w14:paraId="32BBF08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66" w:type="dxa"/>
            <w:vAlign w:val="center"/>
          </w:tcPr>
          <w:p w14:paraId="4CEDD609">
            <w:pPr>
              <w:pStyle w:val="26"/>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2039" w:type="dxa"/>
            <w:vAlign w:val="center"/>
          </w:tcPr>
          <w:p w14:paraId="0A044077">
            <w:pPr>
              <w:keepNext w:val="0"/>
              <w:keepLines w:val="0"/>
              <w:pageBreakBefore w:val="0"/>
              <w:widowControl w:val="0"/>
              <w:kinsoku/>
              <w:wordWrap/>
              <w:overflowPunct/>
              <w:topLinePunct w:val="0"/>
              <w:bidi w:val="0"/>
              <w:snapToGrid/>
              <w:spacing w:line="360" w:lineRule="auto"/>
              <w:ind w:left="105" w:leftChars="50" w:right="105" w:rightChars="50"/>
              <w:jc w:val="center"/>
              <w:textAlignment w:val="auto"/>
              <w:rPr>
                <w:rFonts w:hint="default" w:ascii="Times New Roman" w:hAnsi="Times New Roman" w:eastAsia="仿宋" w:cs="Times New Roman"/>
                <w:b w:val="0"/>
                <w:bCs w:val="0"/>
                <w:kern w:val="0"/>
                <w:sz w:val="22"/>
                <w:szCs w:val="22"/>
                <w:highlight w:val="none"/>
                <w:lang w:val="en-US" w:eastAsia="zh-CN" w:bidi="ar-SA"/>
              </w:rPr>
            </w:pPr>
            <w:r>
              <w:rPr>
                <w:rFonts w:hint="eastAsia" w:eastAsia="仿宋" w:cs="Times New Roman"/>
                <w:b w:val="0"/>
                <w:bCs w:val="0"/>
                <w:kern w:val="0"/>
                <w:sz w:val="22"/>
                <w:szCs w:val="22"/>
                <w:highlight w:val="none"/>
                <w:lang w:val="en-US" w:eastAsia="zh-CN" w:bidi="ar-SA"/>
              </w:rPr>
              <w:t>所属行业</w:t>
            </w:r>
          </w:p>
        </w:tc>
        <w:tc>
          <w:tcPr>
            <w:tcW w:w="6326" w:type="dxa"/>
            <w:vAlign w:val="center"/>
          </w:tcPr>
          <w:p w14:paraId="7F3CCEA4">
            <w:pPr>
              <w:pStyle w:val="39"/>
              <w:keepNext w:val="0"/>
              <w:keepLines w:val="0"/>
              <w:pageBreakBefore w:val="0"/>
              <w:widowControl w:val="0"/>
              <w:kinsoku/>
              <w:wordWrap/>
              <w:overflowPunct/>
              <w:topLinePunct w:val="0"/>
              <w:bidi w:val="0"/>
              <w:snapToGrid/>
              <w:spacing w:line="360" w:lineRule="auto"/>
              <w:ind w:left="210" w:leftChars="100"/>
              <w:jc w:val="both"/>
              <w:textAlignment w:val="auto"/>
              <w:rPr>
                <w:rFonts w:hint="default" w:ascii="仿宋" w:hAnsi="仿宋" w:eastAsia="仿宋" w:cs="仿宋"/>
                <w:color w:val="000000" w:themeColor="text1"/>
                <w:sz w:val="22"/>
                <w:szCs w:val="22"/>
                <w:highlight w:val="none"/>
                <w:lang w:val="en-US"/>
                <w14:textFill>
                  <w14:solidFill>
                    <w14:schemeClr w14:val="tx1"/>
                  </w14:solidFill>
                </w14:textFill>
              </w:rPr>
            </w:pPr>
            <w:r>
              <w:rPr>
                <w:rFonts w:hint="default" w:ascii="仿宋" w:hAnsi="仿宋" w:eastAsia="仿宋" w:cs="仿宋"/>
                <w:color w:val="000000" w:themeColor="text1"/>
                <w:sz w:val="22"/>
                <w:szCs w:val="22"/>
                <w:highlight w:val="none"/>
                <w:lang w:val="en-US" w:eastAsia="zh-CN"/>
                <w14:textFill>
                  <w14:solidFill>
                    <w14:schemeClr w14:val="tx1"/>
                  </w14:solidFill>
                </w14:textFill>
              </w:rPr>
              <w:t>软件和信息技术服务业</w:t>
            </w:r>
          </w:p>
        </w:tc>
      </w:tr>
      <w:tr w14:paraId="00763F1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66" w:type="dxa"/>
            <w:vAlign w:val="center"/>
          </w:tcPr>
          <w:p w14:paraId="480A0158">
            <w:pPr>
              <w:pStyle w:val="26"/>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2039" w:type="dxa"/>
            <w:vAlign w:val="center"/>
          </w:tcPr>
          <w:p w14:paraId="430DF138">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en-US" w:eastAsia="zh-CN" w:bidi="ar-SA"/>
              </w:rPr>
              <w:t>中标</w:t>
            </w:r>
            <w:r>
              <w:rPr>
                <w:rFonts w:hint="eastAsia" w:ascii="Times New Roman" w:hAnsi="Times New Roman" w:eastAsia="仿宋" w:cs="Times New Roman"/>
                <w:b w:val="0"/>
                <w:bCs w:val="0"/>
                <w:kern w:val="0"/>
                <w:sz w:val="22"/>
                <w:szCs w:val="22"/>
                <w:highlight w:val="none"/>
                <w:lang w:val="zh-CN" w:eastAsia="zh-CN" w:bidi="ar-SA"/>
              </w:rPr>
              <w:t>通知书领取</w:t>
            </w:r>
          </w:p>
        </w:tc>
        <w:tc>
          <w:tcPr>
            <w:tcW w:w="6326" w:type="dxa"/>
            <w:vAlign w:val="center"/>
          </w:tcPr>
          <w:p w14:paraId="6830AE0F">
            <w:pPr>
              <w:pStyle w:val="39"/>
              <w:keepNext w:val="0"/>
              <w:keepLines w:val="0"/>
              <w:pageBreakBefore w:val="0"/>
              <w:widowControl w:val="0"/>
              <w:kinsoku/>
              <w:wordWrap/>
              <w:overflowPunct/>
              <w:topLinePunct w:val="0"/>
              <w:bidi w:val="0"/>
              <w:snapToGrid/>
              <w:spacing w:line="360" w:lineRule="auto"/>
              <w:ind w:left="210" w:leftChars="100"/>
              <w:jc w:val="both"/>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default" w:ascii="仿宋" w:hAnsi="仿宋" w:eastAsia="仿宋" w:cs="仿宋"/>
                <w:color w:val="000000" w:themeColor="text1"/>
                <w:sz w:val="22"/>
                <w:szCs w:val="22"/>
                <w:highlight w:val="none"/>
                <w:lang w:val="en-US" w:eastAsia="zh-CN"/>
                <w14:textFill>
                  <w14:solidFill>
                    <w14:schemeClr w14:val="tx1"/>
                  </w14:solidFill>
                </w14:textFill>
              </w:rPr>
              <w:t>接采购代理机构通知后，成交供应商应凭有效身份证明证件及招标代理服务费交纳凭证到恒泰工程咨询集团有限公司领取成交通知书。</w:t>
            </w:r>
          </w:p>
          <w:p w14:paraId="4DC460A3">
            <w:pPr>
              <w:pStyle w:val="39"/>
              <w:keepNext w:val="0"/>
              <w:keepLines w:val="0"/>
              <w:pageBreakBefore w:val="0"/>
              <w:widowControl w:val="0"/>
              <w:kinsoku/>
              <w:wordWrap/>
              <w:overflowPunct/>
              <w:topLinePunct w:val="0"/>
              <w:bidi w:val="0"/>
              <w:snapToGrid/>
              <w:spacing w:line="360" w:lineRule="auto"/>
              <w:ind w:left="210" w:leftChars="100"/>
              <w:jc w:val="both"/>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default" w:ascii="仿宋" w:hAnsi="仿宋" w:eastAsia="仿宋" w:cs="仿宋"/>
                <w:color w:val="000000" w:themeColor="text1"/>
                <w:sz w:val="22"/>
                <w:szCs w:val="22"/>
                <w:highlight w:val="none"/>
                <w:lang w:val="en-US" w:eastAsia="zh-CN"/>
                <w14:textFill>
                  <w14:solidFill>
                    <w14:schemeClr w14:val="tx1"/>
                  </w14:solidFill>
                </w14:textFill>
              </w:rPr>
              <w:t>联系人：王女士</w:t>
            </w:r>
          </w:p>
          <w:p w14:paraId="0685A31C">
            <w:pPr>
              <w:pStyle w:val="39"/>
              <w:keepNext w:val="0"/>
              <w:keepLines w:val="0"/>
              <w:pageBreakBefore w:val="0"/>
              <w:widowControl w:val="0"/>
              <w:kinsoku/>
              <w:wordWrap/>
              <w:overflowPunct/>
              <w:topLinePunct w:val="0"/>
              <w:bidi w:val="0"/>
              <w:snapToGrid/>
              <w:spacing w:line="360" w:lineRule="auto"/>
              <w:ind w:left="210" w:leftChars="100"/>
              <w:jc w:val="both"/>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default" w:ascii="仿宋" w:hAnsi="仿宋" w:eastAsia="仿宋" w:cs="仿宋"/>
                <w:color w:val="000000" w:themeColor="text1"/>
                <w:sz w:val="22"/>
                <w:szCs w:val="22"/>
                <w:highlight w:val="none"/>
                <w:lang w:val="en-US" w:eastAsia="zh-CN"/>
                <w14:textFill>
                  <w14:solidFill>
                    <w14:schemeClr w14:val="tx1"/>
                  </w14:solidFill>
                </w14:textFill>
              </w:rPr>
              <w:t>联系电话：</w:t>
            </w:r>
            <w:r>
              <w:rPr>
                <w:rFonts w:hint="eastAsia" w:ascii="仿宋" w:hAnsi="仿宋" w:eastAsia="仿宋" w:cs="仿宋"/>
                <w:color w:val="000000" w:themeColor="text1"/>
                <w:sz w:val="22"/>
                <w:szCs w:val="22"/>
                <w:highlight w:val="none"/>
                <w:lang w:val="en-US" w:eastAsia="zh-CN"/>
                <w14:textFill>
                  <w14:solidFill>
                    <w14:schemeClr w14:val="tx1"/>
                  </w14:solidFill>
                </w14:textFill>
              </w:rPr>
              <w:t>19950260831</w:t>
            </w:r>
          </w:p>
          <w:p w14:paraId="121D2284">
            <w:pPr>
              <w:pStyle w:val="39"/>
              <w:keepNext w:val="0"/>
              <w:keepLines w:val="0"/>
              <w:pageBreakBefore w:val="0"/>
              <w:widowControl w:val="0"/>
              <w:kinsoku/>
              <w:wordWrap/>
              <w:overflowPunct/>
              <w:topLinePunct w:val="0"/>
              <w:bidi w:val="0"/>
              <w:snapToGrid/>
              <w:spacing w:line="360" w:lineRule="auto"/>
              <w:ind w:left="210" w:leftChars="100"/>
              <w:jc w:val="both"/>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default" w:ascii="仿宋" w:hAnsi="仿宋" w:eastAsia="仿宋" w:cs="仿宋"/>
                <w:color w:val="000000" w:themeColor="text1"/>
                <w:sz w:val="22"/>
                <w:szCs w:val="22"/>
                <w:highlight w:val="none"/>
                <w:lang w:val="en-US" w:eastAsia="zh-CN"/>
                <w14:textFill>
                  <w14:solidFill>
                    <w14:schemeClr w14:val="tx1"/>
                  </w14:solidFill>
                </w14:textFill>
              </w:rPr>
              <w:t>地址：成都市武侯区武侯大道顺江段77号汇点广场（吾悦广场）2座709号。</w:t>
            </w:r>
          </w:p>
        </w:tc>
      </w:tr>
      <w:tr w14:paraId="395715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66" w:type="dxa"/>
            <w:vAlign w:val="center"/>
          </w:tcPr>
          <w:p w14:paraId="1A455A2B">
            <w:pPr>
              <w:pStyle w:val="26"/>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2039" w:type="dxa"/>
            <w:vAlign w:val="center"/>
          </w:tcPr>
          <w:p w14:paraId="1EAFED31">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en-US" w:eastAsia="zh-CN" w:bidi="ar-SA"/>
              </w:rPr>
            </w:pPr>
            <w:r>
              <w:rPr>
                <w:rFonts w:hint="eastAsia" w:ascii="Times New Roman" w:hAnsi="Times New Roman" w:eastAsia="仿宋" w:cs="Times New Roman"/>
                <w:b w:val="0"/>
                <w:bCs w:val="0"/>
                <w:kern w:val="0"/>
                <w:sz w:val="22"/>
                <w:szCs w:val="22"/>
                <w:highlight w:val="none"/>
                <w:lang w:val="en-US" w:eastAsia="zh-CN" w:bidi="ar-SA"/>
              </w:rPr>
              <w:t>招标代理服务费</w:t>
            </w:r>
          </w:p>
          <w:p w14:paraId="26EEF37B">
            <w:pPr>
              <w:keepNext w:val="0"/>
              <w:keepLines w:val="0"/>
              <w:pageBreakBefore w:val="0"/>
              <w:widowControl w:val="0"/>
              <w:kinsoku/>
              <w:wordWrap/>
              <w:overflowPunct/>
              <w:topLinePunct w:val="0"/>
              <w:bidi w:val="0"/>
              <w:snapToGrid/>
              <w:spacing w:line="360" w:lineRule="auto"/>
              <w:jc w:val="center"/>
              <w:textAlignment w:val="auto"/>
              <w:rPr>
                <w:rFonts w:hint="default"/>
                <w:sz w:val="22"/>
                <w:szCs w:val="22"/>
                <w:highlight w:val="none"/>
                <w:lang w:val="en-US" w:eastAsia="zh-CN"/>
              </w:rPr>
            </w:pPr>
            <w:r>
              <w:rPr>
                <w:rFonts w:hint="eastAsia" w:ascii="Times New Roman" w:hAnsi="Times New Roman" w:eastAsia="仿宋" w:cs="Times New Roman"/>
                <w:b/>
                <w:bCs/>
                <w:kern w:val="0"/>
                <w:sz w:val="22"/>
                <w:szCs w:val="22"/>
                <w:highlight w:val="none"/>
                <w:lang w:val="zh-CN" w:eastAsia="zh-CN" w:bidi="ar-SA"/>
              </w:rPr>
              <w:t>（实质性要求）</w:t>
            </w:r>
          </w:p>
        </w:tc>
        <w:tc>
          <w:tcPr>
            <w:tcW w:w="6326" w:type="dxa"/>
            <w:vAlign w:val="center"/>
          </w:tcPr>
          <w:p w14:paraId="0EBAA5C3">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kern w:val="0"/>
                <w:sz w:val="22"/>
                <w:szCs w:val="22"/>
                <w:highlight w:val="none"/>
                <w:lang w:val="zh-CN" w:eastAsia="zh-CN" w:bidi="ar-SA"/>
              </w:rPr>
            </w:pPr>
            <w:r>
              <w:rPr>
                <w:rFonts w:hint="eastAsia" w:ascii="Times New Roman" w:hAnsi="Times New Roman" w:eastAsia="仿宋" w:cs="Times New Roman"/>
                <w:kern w:val="0"/>
                <w:sz w:val="22"/>
                <w:szCs w:val="22"/>
                <w:highlight w:val="none"/>
                <w:lang w:val="zh-CN" w:eastAsia="zh-CN" w:bidi="ar-SA"/>
              </w:rPr>
              <w:t>（</w:t>
            </w:r>
            <w:r>
              <w:rPr>
                <w:rFonts w:hint="eastAsia" w:ascii="Times New Roman" w:hAnsi="Times New Roman" w:eastAsia="仿宋" w:cs="Times New Roman"/>
                <w:kern w:val="0"/>
                <w:sz w:val="22"/>
                <w:szCs w:val="22"/>
                <w:highlight w:val="none"/>
                <w:lang w:val="en-US" w:eastAsia="zh-CN" w:bidi="ar-SA"/>
              </w:rPr>
              <w:t>1</w:t>
            </w:r>
            <w:r>
              <w:rPr>
                <w:rFonts w:hint="eastAsia" w:ascii="Times New Roman" w:hAnsi="Times New Roman" w:eastAsia="仿宋" w:cs="Times New Roman"/>
                <w:kern w:val="0"/>
                <w:sz w:val="22"/>
                <w:szCs w:val="22"/>
                <w:highlight w:val="none"/>
                <w:lang w:val="zh-CN" w:eastAsia="zh-CN" w:bidi="ar-SA"/>
              </w:rPr>
              <w:t>）</w:t>
            </w:r>
            <w:r>
              <w:rPr>
                <w:rFonts w:hint="eastAsia" w:ascii="Times New Roman" w:hAnsi="Times New Roman" w:eastAsia="仿宋" w:cs="Times New Roman"/>
                <w:kern w:val="0"/>
                <w:sz w:val="22"/>
                <w:szCs w:val="22"/>
                <w:highlight w:val="none"/>
                <w:lang w:val="en-US" w:eastAsia="zh-CN" w:bidi="ar-SA"/>
              </w:rPr>
              <w:t>本项目</w:t>
            </w:r>
            <w:r>
              <w:rPr>
                <w:rFonts w:hint="eastAsia" w:ascii="Times New Roman" w:hAnsi="Times New Roman" w:eastAsia="仿宋" w:cs="Times New Roman"/>
                <w:kern w:val="0"/>
                <w:sz w:val="22"/>
                <w:szCs w:val="22"/>
                <w:highlight w:val="none"/>
                <w:lang w:val="zh-CN" w:eastAsia="zh-CN" w:bidi="ar-SA"/>
              </w:rPr>
              <w:t>参照《四川省政府采购营商环境指标提升专项行动工作方案》中“成本+合理利润”原则，本项目招标代理服务费共计</w:t>
            </w:r>
            <w:r>
              <w:rPr>
                <w:rFonts w:hint="eastAsia" w:eastAsia="仿宋" w:cs="Times New Roman"/>
                <w:kern w:val="0"/>
                <w:sz w:val="22"/>
                <w:szCs w:val="22"/>
                <w:highlight w:val="none"/>
                <w:lang w:val="en-US" w:eastAsia="zh-CN" w:bidi="ar-SA"/>
              </w:rPr>
              <w:t>3375.00</w:t>
            </w:r>
            <w:r>
              <w:rPr>
                <w:rFonts w:hint="eastAsia" w:ascii="Times New Roman" w:hAnsi="Times New Roman" w:eastAsia="仿宋" w:cs="Times New Roman"/>
                <w:kern w:val="0"/>
                <w:sz w:val="22"/>
                <w:szCs w:val="22"/>
                <w:highlight w:val="none"/>
                <w:lang w:val="zh-CN" w:eastAsia="zh-CN" w:bidi="ar-SA"/>
              </w:rPr>
              <w:t>元；</w:t>
            </w:r>
          </w:p>
          <w:p w14:paraId="49AD1A9E">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kern w:val="0"/>
                <w:sz w:val="22"/>
                <w:szCs w:val="22"/>
                <w:highlight w:val="none"/>
                <w:lang w:val="zh-CN" w:eastAsia="zh-CN" w:bidi="ar-SA"/>
              </w:rPr>
            </w:pPr>
            <w:r>
              <w:rPr>
                <w:rFonts w:hint="eastAsia" w:ascii="Times New Roman" w:hAnsi="Times New Roman" w:eastAsia="仿宋" w:cs="Times New Roman"/>
                <w:kern w:val="0"/>
                <w:sz w:val="22"/>
                <w:szCs w:val="22"/>
                <w:highlight w:val="none"/>
                <w:lang w:val="zh-CN" w:eastAsia="zh-CN" w:bidi="ar-SA"/>
              </w:rPr>
              <w:t>（</w:t>
            </w:r>
            <w:r>
              <w:rPr>
                <w:rFonts w:hint="eastAsia" w:ascii="Times New Roman" w:hAnsi="Times New Roman" w:eastAsia="仿宋" w:cs="Times New Roman"/>
                <w:kern w:val="0"/>
                <w:sz w:val="22"/>
                <w:szCs w:val="22"/>
                <w:highlight w:val="none"/>
                <w:lang w:val="en-US" w:eastAsia="zh-CN" w:bidi="ar-SA"/>
              </w:rPr>
              <w:t>2</w:t>
            </w:r>
            <w:r>
              <w:rPr>
                <w:rFonts w:hint="eastAsia" w:ascii="Times New Roman" w:hAnsi="Times New Roman" w:eastAsia="仿宋" w:cs="Times New Roman"/>
                <w:kern w:val="0"/>
                <w:sz w:val="22"/>
                <w:szCs w:val="22"/>
                <w:highlight w:val="none"/>
                <w:lang w:val="zh-CN" w:eastAsia="zh-CN" w:bidi="ar-SA"/>
              </w:rPr>
              <w:t>）由中标人在领取中标通知书前向采购代理机构</w:t>
            </w:r>
            <w:r>
              <w:rPr>
                <w:rFonts w:hint="eastAsia" w:ascii="Times New Roman" w:hAnsi="Times New Roman" w:eastAsia="仿宋" w:cs="Times New Roman"/>
                <w:kern w:val="0"/>
                <w:sz w:val="22"/>
                <w:szCs w:val="22"/>
                <w:highlight w:val="none"/>
                <w:lang w:val="en-US" w:eastAsia="zh-CN" w:bidi="ar-SA"/>
              </w:rPr>
              <w:t>一次性</w:t>
            </w:r>
            <w:r>
              <w:rPr>
                <w:rFonts w:hint="eastAsia" w:ascii="Times New Roman" w:hAnsi="Times New Roman" w:eastAsia="仿宋" w:cs="Times New Roman"/>
                <w:kern w:val="0"/>
                <w:sz w:val="22"/>
                <w:szCs w:val="22"/>
                <w:highlight w:val="none"/>
                <w:lang w:val="zh-CN" w:eastAsia="zh-CN" w:bidi="ar-SA"/>
              </w:rPr>
              <w:t>缴纳招标代理服务费；</w:t>
            </w:r>
          </w:p>
          <w:p w14:paraId="61A85D50">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default" w:ascii="仿宋" w:hAnsi="仿宋" w:eastAsia="仿宋" w:cs="仿宋"/>
                <w:color w:val="000000" w:themeColor="text1"/>
                <w:sz w:val="22"/>
                <w:szCs w:val="22"/>
                <w:highlight w:val="none"/>
                <w:lang w:val="en-US" w:eastAsia="zh-CN"/>
                <w14:textFill>
                  <w14:solidFill>
                    <w14:schemeClr w14:val="tx1"/>
                  </w14:solidFill>
                </w14:textFill>
              </w:rPr>
              <w:t>收款单位：恒泰工程咨询集团有限公司四川分公司</w:t>
            </w:r>
          </w:p>
          <w:p w14:paraId="10B8D377">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default" w:ascii="仿宋" w:hAnsi="仿宋" w:eastAsia="仿宋" w:cs="仿宋"/>
                <w:color w:val="000000" w:themeColor="text1"/>
                <w:sz w:val="22"/>
                <w:szCs w:val="22"/>
                <w:highlight w:val="none"/>
                <w:lang w:val="en-US" w:eastAsia="zh-CN"/>
                <w14:textFill>
                  <w14:solidFill>
                    <w14:schemeClr w14:val="tx1"/>
                  </w14:solidFill>
                </w14:textFill>
              </w:rPr>
              <w:t>开 户 行：中国民生银行股份有限公司成都蜀汉支行</w:t>
            </w:r>
          </w:p>
          <w:p w14:paraId="5CBE52B0">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default" w:ascii="仿宋" w:hAnsi="仿宋" w:eastAsia="仿宋" w:cs="仿宋"/>
                <w:color w:val="000000" w:themeColor="text1"/>
                <w:sz w:val="22"/>
                <w:szCs w:val="22"/>
                <w:highlight w:val="none"/>
                <w:lang w:val="en-US" w:eastAsia="zh-CN"/>
                <w14:textFill>
                  <w14:solidFill>
                    <w14:schemeClr w14:val="tx1"/>
                  </w14:solidFill>
                </w14:textFill>
              </w:rPr>
              <w:t>银行账号：6387 97990</w:t>
            </w:r>
          </w:p>
        </w:tc>
      </w:tr>
      <w:tr w14:paraId="313DF2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66" w:type="dxa"/>
            <w:vAlign w:val="center"/>
          </w:tcPr>
          <w:p w14:paraId="37F98DE9">
            <w:pPr>
              <w:pStyle w:val="26"/>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2039" w:type="dxa"/>
            <w:vAlign w:val="center"/>
          </w:tcPr>
          <w:p w14:paraId="49583B5A">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zh-CN" w:eastAsia="zh-CN" w:bidi="ar-SA"/>
              </w:rPr>
              <w:t>报价</w:t>
            </w:r>
            <w:r>
              <w:rPr>
                <w:rFonts w:hint="eastAsia" w:ascii="Times New Roman" w:hAnsi="Times New Roman" w:eastAsia="仿宋" w:cs="Times New Roman"/>
                <w:b w:val="0"/>
                <w:bCs w:val="0"/>
                <w:kern w:val="0"/>
                <w:sz w:val="22"/>
                <w:szCs w:val="22"/>
                <w:highlight w:val="none"/>
                <w:lang w:val="en-US" w:eastAsia="zh-CN" w:bidi="ar-SA"/>
              </w:rPr>
              <w:t>或</w:t>
            </w:r>
            <w:r>
              <w:rPr>
                <w:rFonts w:hint="eastAsia" w:ascii="Times New Roman" w:hAnsi="Times New Roman" w:eastAsia="仿宋" w:cs="Times New Roman"/>
                <w:b w:val="0"/>
                <w:bCs w:val="0"/>
                <w:kern w:val="0"/>
                <w:sz w:val="22"/>
                <w:szCs w:val="22"/>
                <w:highlight w:val="none"/>
                <w:lang w:val="zh-CN" w:eastAsia="zh-CN" w:bidi="ar-SA"/>
              </w:rPr>
              <w:t>分值</w:t>
            </w:r>
            <w:r>
              <w:rPr>
                <w:rFonts w:hint="eastAsia" w:ascii="Times New Roman" w:hAnsi="Times New Roman" w:eastAsia="仿宋" w:cs="Times New Roman"/>
                <w:b w:val="0"/>
                <w:bCs w:val="0"/>
                <w:kern w:val="0"/>
                <w:sz w:val="22"/>
                <w:szCs w:val="22"/>
                <w:highlight w:val="none"/>
                <w:lang w:val="en-US" w:eastAsia="zh-CN" w:bidi="ar-SA"/>
              </w:rPr>
              <w:t>的</w:t>
            </w:r>
            <w:r>
              <w:rPr>
                <w:rFonts w:hint="eastAsia" w:ascii="Times New Roman" w:hAnsi="Times New Roman" w:eastAsia="仿宋" w:cs="Times New Roman"/>
                <w:b w:val="0"/>
                <w:bCs w:val="0"/>
                <w:kern w:val="0"/>
                <w:sz w:val="22"/>
                <w:szCs w:val="22"/>
                <w:highlight w:val="none"/>
                <w:lang w:val="zh-CN" w:eastAsia="zh-CN" w:bidi="ar-SA"/>
              </w:rPr>
              <w:t>精确度</w:t>
            </w:r>
          </w:p>
        </w:tc>
        <w:tc>
          <w:tcPr>
            <w:tcW w:w="6326" w:type="dxa"/>
            <w:vAlign w:val="center"/>
          </w:tcPr>
          <w:p w14:paraId="6836A9D7">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kern w:val="0"/>
                <w:sz w:val="22"/>
                <w:szCs w:val="22"/>
                <w:highlight w:val="none"/>
                <w:lang w:val="en-US" w:eastAsia="zh-CN" w:bidi="ar-SA"/>
              </w:rPr>
              <w:t>本项目所涉及的报价或分值的计算，保留小数点后两位</w:t>
            </w:r>
            <w:r>
              <w:rPr>
                <w:rFonts w:hint="eastAsia" w:ascii="Times New Roman" w:hAnsi="Times New Roman" w:eastAsia="仿宋" w:cs="Times New Roman"/>
                <w:kern w:val="0"/>
                <w:sz w:val="22"/>
                <w:szCs w:val="22"/>
                <w:highlight w:val="none"/>
                <w:lang w:val="zh-CN" w:eastAsia="zh-CN" w:bidi="ar-SA"/>
              </w:rPr>
              <w:t>，超出</w:t>
            </w:r>
            <w:r>
              <w:rPr>
                <w:rFonts w:hint="eastAsia" w:ascii="Times New Roman" w:hAnsi="Times New Roman" w:eastAsia="仿宋" w:cs="Times New Roman"/>
                <w:kern w:val="0"/>
                <w:sz w:val="22"/>
                <w:szCs w:val="22"/>
                <w:highlight w:val="none"/>
                <w:lang w:val="en-US" w:eastAsia="zh-CN" w:bidi="ar-SA"/>
              </w:rPr>
              <w:t>后两</w:t>
            </w:r>
            <w:r>
              <w:rPr>
                <w:rFonts w:hint="eastAsia" w:ascii="Times New Roman" w:hAnsi="Times New Roman" w:eastAsia="仿宋" w:cs="Times New Roman"/>
                <w:kern w:val="0"/>
                <w:sz w:val="22"/>
                <w:szCs w:val="22"/>
                <w:highlight w:val="none"/>
                <w:lang w:val="zh-CN" w:eastAsia="zh-CN" w:bidi="ar-SA"/>
              </w:rPr>
              <w:t>的数值</w:t>
            </w:r>
            <w:r>
              <w:rPr>
                <w:rFonts w:hint="eastAsia" w:ascii="Times New Roman" w:hAnsi="Times New Roman" w:eastAsia="仿宋" w:cs="Times New Roman"/>
                <w:kern w:val="0"/>
                <w:sz w:val="22"/>
                <w:szCs w:val="22"/>
                <w:highlight w:val="none"/>
                <w:lang w:val="en-US" w:eastAsia="zh-CN" w:bidi="ar-SA"/>
              </w:rPr>
              <w:t>均</w:t>
            </w:r>
            <w:r>
              <w:rPr>
                <w:rFonts w:hint="eastAsia" w:ascii="Times New Roman" w:hAnsi="Times New Roman" w:eastAsia="仿宋" w:cs="Times New Roman"/>
                <w:kern w:val="0"/>
                <w:sz w:val="22"/>
                <w:szCs w:val="22"/>
                <w:highlight w:val="none"/>
                <w:lang w:val="zh-CN" w:eastAsia="zh-CN" w:bidi="ar-SA"/>
              </w:rPr>
              <w:t>采用四舍五入的方式进行精确</w:t>
            </w:r>
          </w:p>
        </w:tc>
      </w:tr>
      <w:tr w14:paraId="38DA8D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66" w:type="dxa"/>
            <w:vAlign w:val="center"/>
          </w:tcPr>
          <w:p w14:paraId="3C2C0BBB">
            <w:pPr>
              <w:pStyle w:val="26"/>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2039" w:type="dxa"/>
            <w:vAlign w:val="center"/>
          </w:tcPr>
          <w:p w14:paraId="51491B1B">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zh-CN" w:eastAsia="zh-CN" w:bidi="ar-SA"/>
              </w:rPr>
              <w:t>是否现场踏勘</w:t>
            </w:r>
          </w:p>
        </w:tc>
        <w:tc>
          <w:tcPr>
            <w:tcW w:w="6326" w:type="dxa"/>
            <w:vAlign w:val="center"/>
          </w:tcPr>
          <w:p w14:paraId="2A2E06BA">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否</w:t>
            </w:r>
          </w:p>
        </w:tc>
      </w:tr>
      <w:tr w14:paraId="7040E49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66" w:type="dxa"/>
            <w:vAlign w:val="center"/>
          </w:tcPr>
          <w:p w14:paraId="7F2FFDCF">
            <w:pPr>
              <w:pStyle w:val="26"/>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2039" w:type="dxa"/>
            <w:vAlign w:val="center"/>
          </w:tcPr>
          <w:p w14:paraId="466A7C50">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bCs/>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zh-CN" w:eastAsia="zh-CN" w:bidi="ar-SA"/>
              </w:rPr>
              <w:t>说明</w:t>
            </w:r>
          </w:p>
        </w:tc>
        <w:tc>
          <w:tcPr>
            <w:tcW w:w="6326" w:type="dxa"/>
            <w:vAlign w:val="center"/>
          </w:tcPr>
          <w:p w14:paraId="796DF0E9">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kern w:val="0"/>
                <w:sz w:val="22"/>
                <w:szCs w:val="22"/>
                <w:highlight w:val="none"/>
                <w:lang w:val="zh-CN" w:eastAsia="zh-CN" w:bidi="ar-SA"/>
              </w:rPr>
            </w:pPr>
            <w:r>
              <w:rPr>
                <w:rFonts w:hint="eastAsia" w:ascii="仿宋" w:hAnsi="仿宋" w:eastAsia="仿宋" w:cs="仿宋"/>
                <w:color w:val="000000" w:themeColor="text1"/>
                <w:sz w:val="22"/>
                <w:szCs w:val="22"/>
                <w:highlight w:val="none"/>
                <w:lang w:val="zh-CN" w:eastAsia="zh-CN"/>
                <w14:textFill>
                  <w14:solidFill>
                    <w14:schemeClr w14:val="tx1"/>
                  </w14:solidFill>
                </w14:textFill>
              </w:rPr>
              <w:t>本项目为非政府采购项目，招标文件中所有涉及政府采购相关内容均为参照执行，最终解释权归采购人和采购代理机构所有</w:t>
            </w:r>
          </w:p>
        </w:tc>
      </w:tr>
    </w:tbl>
    <w:p w14:paraId="33255826">
      <w:pPr>
        <w:rPr>
          <w:rFonts w:hint="eastAsia" w:ascii="Times New Roman" w:hAnsi="Times New Roman" w:eastAsia="仿宋" w:cs="Times New Roman"/>
          <w:b/>
          <w:sz w:val="28"/>
          <w:szCs w:val="28"/>
          <w:highlight w:val="none"/>
          <w:lang w:eastAsia="zh-CN"/>
        </w:rPr>
      </w:pPr>
      <w:r>
        <w:rPr>
          <w:rFonts w:hint="eastAsia" w:ascii="Times New Roman" w:hAnsi="Times New Roman" w:eastAsia="仿宋" w:cs="Times New Roman"/>
          <w:b/>
          <w:sz w:val="28"/>
          <w:szCs w:val="28"/>
          <w:highlight w:val="none"/>
          <w:lang w:eastAsia="zh-CN"/>
        </w:rPr>
        <w:br w:type="page"/>
      </w:r>
    </w:p>
    <w:p w14:paraId="13CE97A5">
      <w:pPr>
        <w:pStyle w:val="37"/>
        <w:numPr>
          <w:ilvl w:val="0"/>
          <w:numId w:val="0"/>
        </w:numPr>
        <w:spacing w:line="520" w:lineRule="exact"/>
        <w:ind w:left="562" w:leftChars="0"/>
        <w:jc w:val="center"/>
        <w:outlineLvl w:val="1"/>
        <w:rPr>
          <w:rFonts w:hint="eastAsia" w:ascii="Times New Roman" w:hAnsi="Times New Roman" w:eastAsia="仿宋" w:cs="Times New Roman"/>
          <w:b/>
          <w:sz w:val="28"/>
          <w:szCs w:val="28"/>
          <w:highlight w:val="none"/>
          <w:lang w:eastAsia="zh-CN"/>
        </w:rPr>
      </w:pPr>
      <w:r>
        <w:rPr>
          <w:rFonts w:hint="eastAsia" w:ascii="Times New Roman" w:hAnsi="Times New Roman" w:eastAsia="仿宋" w:cs="Times New Roman"/>
          <w:b/>
          <w:sz w:val="28"/>
          <w:szCs w:val="28"/>
          <w:highlight w:val="none"/>
          <w:lang w:eastAsia="zh-CN"/>
        </w:rPr>
        <w:t>二、总  则</w:t>
      </w:r>
    </w:p>
    <w:p w14:paraId="15348BC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（一）适用范围</w:t>
      </w:r>
    </w:p>
    <w:p w14:paraId="0640F2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1.</w:t>
      </w:r>
      <w:r>
        <w:rPr>
          <w:rFonts w:ascii="Times New Roman" w:hAnsi="Times New Roman" w:eastAsia="仿宋" w:cs="Times New Roman"/>
          <w:sz w:val="24"/>
          <w:szCs w:val="24"/>
          <w:highlight w:val="none"/>
        </w:rPr>
        <w:t>本招标文件仅适用于本次</w:t>
      </w:r>
      <w:r>
        <w:rPr>
          <w:rFonts w:hint="eastAsia" w:ascii="Times New Roman" w:hAnsi="Times New Roman" w:eastAsia="仿宋" w:cs="Times New Roman"/>
          <w:sz w:val="24"/>
          <w:szCs w:val="24"/>
          <w:highlight w:val="none"/>
          <w:lang w:val="en-US" w:eastAsia="zh-CN"/>
        </w:rPr>
        <w:t>招标</w:t>
      </w:r>
      <w:r>
        <w:rPr>
          <w:rFonts w:ascii="Times New Roman" w:hAnsi="Times New Roman" w:eastAsia="仿宋" w:cs="Times New Roman"/>
          <w:sz w:val="24"/>
          <w:szCs w:val="24"/>
          <w:highlight w:val="none"/>
        </w:rPr>
        <w:t>采购活动。</w:t>
      </w:r>
    </w:p>
    <w:p w14:paraId="19A360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Times New Roman" w:hAnsi="Times New Roman" w:eastAsia="仿宋" w:cs="Times New Roman"/>
          <w:sz w:val="24"/>
          <w:szCs w:val="24"/>
          <w:highlight w:val="none"/>
          <w:lang w:val="en-US" w:eastAsia="zh-CN"/>
        </w:rPr>
        <w:t>2.</w:t>
      </w:r>
      <w:r>
        <w:rPr>
          <w:rFonts w:hint="eastAsia" w:ascii="Times New Roman" w:hAnsi="Times New Roman" w:eastAsia="仿宋" w:cs="Times New Roman"/>
          <w:sz w:val="24"/>
          <w:szCs w:val="24"/>
          <w:highlight w:val="none"/>
        </w:rPr>
        <w:t>本</w:t>
      </w:r>
      <w:r>
        <w:rPr>
          <w:rFonts w:hint="eastAsia" w:ascii="Times New Roman" w:hAnsi="Times New Roman" w:eastAsia="仿宋" w:cs="Times New Roman"/>
          <w:sz w:val="24"/>
          <w:szCs w:val="24"/>
          <w:highlight w:val="none"/>
          <w:lang w:val="en-US" w:eastAsia="zh-CN"/>
        </w:rPr>
        <w:t>招标</w:t>
      </w:r>
      <w:r>
        <w:rPr>
          <w:rFonts w:hint="eastAsia" w:ascii="Times New Roman" w:hAnsi="Times New Roman" w:eastAsia="仿宋" w:cs="Times New Roman"/>
          <w:sz w:val="24"/>
          <w:szCs w:val="24"/>
          <w:highlight w:val="none"/>
        </w:rPr>
        <w:t>文件的解释权归采购人和采购代理机构所有。</w:t>
      </w:r>
    </w:p>
    <w:p w14:paraId="62ED3AC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ascii="Times New Roman" w:hAnsi="Times New Roman" w:eastAsia="仿宋" w:cs="Times New Roman"/>
          <w:b/>
          <w:sz w:val="24"/>
          <w:szCs w:val="24"/>
          <w:highlight w:val="none"/>
          <w:lang w:val="en-US" w:eastAsia="zh-CN"/>
        </w:rPr>
      </w:pPr>
      <w:r>
        <w:rPr>
          <w:rFonts w:ascii="Times New Roman" w:hAnsi="Times New Roman" w:eastAsia="仿宋" w:cs="Times New Roman"/>
          <w:b/>
          <w:sz w:val="24"/>
          <w:szCs w:val="24"/>
          <w:highlight w:val="none"/>
        </w:rPr>
        <w:t>（二）</w:t>
      </w:r>
      <w:r>
        <w:rPr>
          <w:rFonts w:hint="eastAsia" w:ascii="Times New Roman" w:hAnsi="Times New Roman" w:eastAsia="仿宋" w:cs="Times New Roman"/>
          <w:b/>
          <w:sz w:val="24"/>
          <w:szCs w:val="24"/>
          <w:highlight w:val="none"/>
          <w:lang w:val="en-US" w:eastAsia="zh-CN"/>
        </w:rPr>
        <w:t>有关定义</w:t>
      </w:r>
    </w:p>
    <w:p w14:paraId="1B6FF8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1.“采购人”系指成都市技师学院（成都工贸职业技术学院）。</w:t>
      </w:r>
    </w:p>
    <w:p w14:paraId="1EA262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2.“采购代理机构”系指恒泰工程咨询集团有限公司。</w:t>
      </w:r>
    </w:p>
    <w:p w14:paraId="2C6048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Times New Roman" w:hAnsi="Times New Roman" w:eastAsia="仿宋" w:cs="Times New Roman"/>
          <w:sz w:val="24"/>
          <w:szCs w:val="24"/>
          <w:highlight w:val="none"/>
          <w:lang w:val="en-US" w:eastAsia="zh-CN"/>
        </w:rPr>
        <w:t>3.“投标人”系指获取了招标文件拟参加投标和向采购人提供货物及相应服务的供应商。</w:t>
      </w:r>
    </w:p>
    <w:p w14:paraId="23C3AF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4</w:t>
      </w:r>
      <w:r>
        <w:rPr>
          <w:rFonts w:ascii="Times New Roman" w:hAnsi="Times New Roman" w:eastAsia="仿宋" w:cs="Times New Roman"/>
          <w:sz w:val="24"/>
          <w:szCs w:val="24"/>
          <w:highlight w:val="none"/>
        </w:rPr>
        <w:t>.招标文件</w:t>
      </w:r>
      <w:r>
        <w:rPr>
          <w:rFonts w:hint="eastAsia" w:ascii="Times New Roman" w:hAnsi="Times New Roman" w:eastAsia="仿宋" w:cs="Times New Roman"/>
          <w:sz w:val="24"/>
          <w:szCs w:val="24"/>
          <w:highlight w:val="none"/>
        </w:rPr>
        <w:t>所称的“以上”、“以下”、“以内”、“届满”，包括本数；所称的“不满”、“超过”、“以外”，不包括本数</w:t>
      </w:r>
      <w:r>
        <w:rPr>
          <w:rFonts w:ascii="Times New Roman" w:hAnsi="Times New Roman" w:eastAsia="仿宋" w:cs="Times New Roman"/>
          <w:sz w:val="24"/>
          <w:szCs w:val="24"/>
          <w:highlight w:val="none"/>
        </w:rPr>
        <w:t>。</w:t>
      </w:r>
    </w:p>
    <w:p w14:paraId="205FE9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5</w:t>
      </w:r>
      <w:r>
        <w:rPr>
          <w:rFonts w:hint="eastAsia" w:ascii="Times New Roman" w:hAnsi="Times New Roman" w:eastAsia="仿宋" w:cs="Times New Roman"/>
          <w:sz w:val="24"/>
          <w:szCs w:val="24"/>
          <w:highlight w:val="none"/>
        </w:rPr>
        <w:t>.招标项目要求投标人提供原件资料的，招标文件均以“原件”字样作以标注；未作“原件”标注的，投标资料可使用原件的复印件或影印件。</w:t>
      </w:r>
    </w:p>
    <w:p w14:paraId="431E2E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6.本招标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16636B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（三）合格的投标人</w:t>
      </w: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实质性要求</w:t>
      </w:r>
      <w:r>
        <w:rPr>
          <w:rFonts w:hint="eastAsia" w:ascii="Times New Roman" w:hAnsi="Times New Roman" w:eastAsia="仿宋" w:cs="Times New Roman"/>
          <w:b/>
          <w:sz w:val="24"/>
          <w:szCs w:val="24"/>
          <w:highlight w:val="none"/>
          <w:lang w:eastAsia="zh-CN"/>
        </w:rPr>
        <w:t>）</w:t>
      </w:r>
    </w:p>
    <w:p w14:paraId="5448F4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4"/>
          <w:szCs w:val="24"/>
          <w:highlight w:val="none"/>
        </w:rPr>
      </w:pPr>
      <w:r>
        <w:rPr>
          <w:rFonts w:ascii="Times New Roman" w:hAnsi="Times New Roman" w:eastAsia="仿宋" w:cs="Times New Roman"/>
          <w:sz w:val="24"/>
          <w:szCs w:val="24"/>
          <w:highlight w:val="none"/>
        </w:rPr>
        <w:t>合格的投标人应具备以下条件：</w:t>
      </w:r>
    </w:p>
    <w:p w14:paraId="715A49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4"/>
          <w:szCs w:val="24"/>
          <w:highlight w:val="none"/>
        </w:rPr>
      </w:pPr>
      <w:r>
        <w:rPr>
          <w:rFonts w:ascii="Times New Roman" w:hAnsi="Times New Roman" w:eastAsia="仿宋" w:cs="Times New Roman"/>
          <w:sz w:val="24"/>
          <w:szCs w:val="24"/>
          <w:highlight w:val="none"/>
        </w:rPr>
        <w:t>1.遵守国家有关的法律、法规、规章和其他政策制度；</w:t>
      </w:r>
    </w:p>
    <w:p w14:paraId="79A26C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4"/>
          <w:szCs w:val="24"/>
          <w:highlight w:val="none"/>
        </w:rPr>
      </w:pPr>
      <w:r>
        <w:rPr>
          <w:rFonts w:ascii="Times New Roman" w:hAnsi="Times New Roman" w:eastAsia="仿宋" w:cs="Times New Roman"/>
          <w:sz w:val="24"/>
          <w:szCs w:val="24"/>
          <w:highlight w:val="none"/>
        </w:rPr>
        <w:t>2.符合本招标文件规定的</w:t>
      </w:r>
      <w:r>
        <w:rPr>
          <w:rFonts w:hint="eastAsia" w:ascii="Times New Roman" w:hAnsi="Times New Roman" w:eastAsia="仿宋" w:cs="Times New Roman"/>
          <w:sz w:val="24"/>
          <w:szCs w:val="24"/>
          <w:highlight w:val="none"/>
          <w:lang w:val="en-US" w:eastAsia="zh-CN"/>
        </w:rPr>
        <w:t>资格</w:t>
      </w:r>
      <w:r>
        <w:rPr>
          <w:rFonts w:ascii="Times New Roman" w:hAnsi="Times New Roman" w:eastAsia="仿宋" w:cs="Times New Roman"/>
          <w:sz w:val="24"/>
          <w:szCs w:val="24"/>
          <w:highlight w:val="none"/>
        </w:rPr>
        <w:t>条件；</w:t>
      </w:r>
    </w:p>
    <w:p w14:paraId="2537CB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ascii="Times New Roman" w:hAnsi="Times New Roman" w:eastAsia="仿宋" w:cs="Times New Roman"/>
          <w:sz w:val="24"/>
          <w:szCs w:val="24"/>
          <w:highlight w:val="none"/>
        </w:rPr>
        <w:t>3.按照本招标文件规定</w:t>
      </w:r>
      <w:r>
        <w:rPr>
          <w:rFonts w:hint="eastAsia" w:ascii="Times New Roman" w:hAnsi="Times New Roman" w:eastAsia="仿宋" w:cs="Times New Roman"/>
          <w:sz w:val="24"/>
          <w:szCs w:val="24"/>
          <w:highlight w:val="none"/>
          <w:lang w:val="en-US" w:eastAsia="zh-CN"/>
        </w:rPr>
        <w:t>获取</w:t>
      </w:r>
      <w:r>
        <w:rPr>
          <w:rFonts w:ascii="Times New Roman" w:hAnsi="Times New Roman" w:eastAsia="仿宋" w:cs="Times New Roman"/>
          <w:sz w:val="24"/>
          <w:szCs w:val="24"/>
          <w:highlight w:val="none"/>
        </w:rPr>
        <w:t>招标文件。</w:t>
      </w:r>
    </w:p>
    <w:p w14:paraId="68CA6E8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ascii="Times New Roman" w:hAnsi="Times New Roman" w:eastAsia="仿宋" w:cs="Times New Roman"/>
          <w:b/>
          <w:sz w:val="24"/>
          <w:szCs w:val="24"/>
          <w:highlight w:val="none"/>
        </w:rPr>
        <w:t>（四）参与采购活动的费用</w:t>
      </w: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实质性要求</w:t>
      </w:r>
      <w:r>
        <w:rPr>
          <w:rFonts w:hint="eastAsia" w:ascii="Times New Roman" w:hAnsi="Times New Roman" w:eastAsia="仿宋" w:cs="Times New Roman"/>
          <w:b/>
          <w:sz w:val="24"/>
          <w:szCs w:val="24"/>
          <w:highlight w:val="none"/>
          <w:lang w:eastAsia="zh-CN"/>
        </w:rPr>
        <w:t>）</w:t>
      </w:r>
    </w:p>
    <w:p w14:paraId="21AD62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ascii="Times New Roman" w:hAnsi="Times New Roman" w:eastAsia="仿宋" w:cs="Times New Roman"/>
          <w:sz w:val="24"/>
          <w:szCs w:val="24"/>
          <w:highlight w:val="none"/>
        </w:rPr>
        <w:t>供应商参加投标活动的一切费用由供应商自行承担。</w:t>
      </w:r>
    </w:p>
    <w:p w14:paraId="2F869F1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（五）充分、公平竞争保障措施</w:t>
      </w:r>
    </w:p>
    <w:p w14:paraId="6EDBFDE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lang w:val="en-US" w:eastAsia="zh-CN"/>
        </w:rPr>
        <w:t>1</w:t>
      </w:r>
      <w:r>
        <w:rPr>
          <w:rFonts w:ascii="Times New Roman" w:hAnsi="Times New Roman" w:eastAsia="仿宋" w:cs="Times New Roman"/>
          <w:b/>
          <w:sz w:val="24"/>
          <w:szCs w:val="24"/>
          <w:highlight w:val="none"/>
        </w:rPr>
        <w:t>.利害关系供应商处理</w:t>
      </w:r>
    </w:p>
    <w:p w14:paraId="686E79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4"/>
          <w:szCs w:val="24"/>
          <w:highlight w:val="none"/>
        </w:rPr>
      </w:pPr>
      <w:r>
        <w:rPr>
          <w:rFonts w:ascii="Times New Roman" w:hAnsi="Times New Roman" w:eastAsia="仿宋" w:cs="Times New Roman"/>
          <w:sz w:val="24"/>
          <w:szCs w:val="24"/>
          <w:highlight w:val="none"/>
        </w:rPr>
        <w:t>单位负责人为同一人或者存在直接控股、管理关系的不同供应商不得参加同一合同项下的采购活动。</w:t>
      </w:r>
    </w:p>
    <w:p w14:paraId="309B754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lang w:val="en-US" w:eastAsia="zh-CN"/>
        </w:rPr>
        <w:t>2</w:t>
      </w:r>
      <w:r>
        <w:rPr>
          <w:rFonts w:ascii="Times New Roman" w:hAnsi="Times New Roman" w:eastAsia="仿宋" w:cs="Times New Roman"/>
          <w:b/>
          <w:sz w:val="24"/>
          <w:szCs w:val="24"/>
          <w:highlight w:val="none"/>
        </w:rPr>
        <w:t>.前期参与供应商处理</w:t>
      </w:r>
    </w:p>
    <w:p w14:paraId="72D423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4"/>
          <w:szCs w:val="24"/>
          <w:highlight w:val="none"/>
        </w:rPr>
      </w:pPr>
      <w:r>
        <w:rPr>
          <w:rFonts w:ascii="Times New Roman" w:hAnsi="Times New Roman" w:eastAsia="仿宋" w:cs="Times New Roman"/>
          <w:sz w:val="24"/>
          <w:szCs w:val="24"/>
          <w:highlight w:val="none"/>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和商务要求、评</w:t>
      </w:r>
      <w:r>
        <w:rPr>
          <w:rFonts w:hint="eastAsia" w:ascii="Times New Roman" w:hAnsi="Times New Roman" w:eastAsia="仿宋" w:cs="Times New Roman"/>
          <w:sz w:val="24"/>
          <w:szCs w:val="24"/>
          <w:highlight w:val="none"/>
        </w:rPr>
        <w:t>审</w:t>
      </w:r>
      <w:r>
        <w:rPr>
          <w:rFonts w:ascii="Times New Roman" w:hAnsi="Times New Roman" w:eastAsia="仿宋" w:cs="Times New Roman"/>
          <w:sz w:val="24"/>
          <w:szCs w:val="24"/>
          <w:highlight w:val="none"/>
        </w:rPr>
        <w:t>因素和标准、采购合同等实质性内容条款的，视同为采购项目提供规范编制。</w:t>
      </w:r>
    </w:p>
    <w:p w14:paraId="59A2E8D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lang w:val="en-US" w:eastAsia="zh-CN"/>
        </w:rPr>
        <w:t>3</w:t>
      </w:r>
      <w:r>
        <w:rPr>
          <w:rFonts w:ascii="Times New Roman" w:hAnsi="Times New Roman" w:eastAsia="仿宋" w:cs="Times New Roman"/>
          <w:b/>
          <w:sz w:val="24"/>
          <w:szCs w:val="24"/>
          <w:highlight w:val="none"/>
        </w:rPr>
        <w:t>.利害关系代理人处理</w:t>
      </w:r>
    </w:p>
    <w:p w14:paraId="64FC5D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4"/>
          <w:szCs w:val="24"/>
          <w:highlight w:val="none"/>
        </w:rPr>
      </w:pPr>
      <w:r>
        <w:rPr>
          <w:rFonts w:ascii="Times New Roman" w:hAnsi="Times New Roman" w:eastAsia="仿宋" w:cs="Times New Roman"/>
          <w:sz w:val="24"/>
          <w:szCs w:val="24"/>
          <w:highlight w:val="none"/>
        </w:rPr>
        <w:t>2家以上的供应商不得在同一合同项下的采购项目中，同时委托同一个自然人、同一家庭的人员、同一单位的人员作为其代理人，否则，其投标文件作为无效处理。</w:t>
      </w:r>
    </w:p>
    <w:p w14:paraId="05AE64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4.</w:t>
      </w:r>
      <w:r>
        <w:rPr>
          <w:rFonts w:hint="eastAsia" w:ascii="Times New Roman" w:hAnsi="Times New Roman" w:eastAsia="仿宋" w:cs="Times New Roman"/>
          <w:sz w:val="24"/>
          <w:szCs w:val="24"/>
          <w:highlight w:val="none"/>
        </w:rPr>
        <w:t>供应商实际控制人或者中高级管理人员，同时是采购代理机构工作人员，不得参与本项目采购活动。</w:t>
      </w:r>
    </w:p>
    <w:p w14:paraId="20CE3E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5.</w:t>
      </w:r>
      <w:r>
        <w:rPr>
          <w:rFonts w:hint="eastAsia" w:ascii="Times New Roman" w:hAnsi="Times New Roman" w:eastAsia="仿宋" w:cs="Times New Roman"/>
          <w:sz w:val="24"/>
          <w:szCs w:val="24"/>
          <w:highlight w:val="none"/>
        </w:rPr>
        <w:t>供应商与采购代理机构存在关联关系，或者是采购代理机构的母公司或子公司，不得参加本项目采购活动。</w:t>
      </w:r>
    </w:p>
    <w:p w14:paraId="6B9188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6.</w:t>
      </w:r>
      <w:r>
        <w:rPr>
          <w:rFonts w:hint="eastAsia" w:ascii="Times New Roman" w:hAnsi="Times New Roman" w:eastAsia="仿宋" w:cs="Times New Roman"/>
          <w:sz w:val="24"/>
          <w:szCs w:val="24"/>
          <w:highlight w:val="none"/>
        </w:rPr>
        <w:t>回避。采购活动中，采购人员及相关人员与供应商有下列利害关系之一的，应当回避：</w:t>
      </w:r>
    </w:p>
    <w:p w14:paraId="4ECCEE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（1）参加采购活动前3年内与供应商存在劳动关系；</w:t>
      </w:r>
    </w:p>
    <w:p w14:paraId="6D94AC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（2）参加采购活动前3年内担任供应商的董事、监事；</w:t>
      </w:r>
    </w:p>
    <w:p w14:paraId="781406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（3）参加采购活动前3年内是供应商的控股股东或者实际控制人；</w:t>
      </w:r>
    </w:p>
    <w:p w14:paraId="442595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（4）与供应商的法定代表人或者负责人有夫妻、直系血亲、三代以内旁系血亲或者近姻亲关系；</w:t>
      </w:r>
    </w:p>
    <w:p w14:paraId="3E9214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（5）与供应商有其他可能影响采购活动公平、公正进行的关系。</w:t>
      </w:r>
    </w:p>
    <w:p w14:paraId="1B9D09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评审小组成员。</w:t>
      </w:r>
    </w:p>
    <w:p w14:paraId="6CC80D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8"/>
          <w:szCs w:val="28"/>
          <w:highlight w:val="none"/>
        </w:rPr>
      </w:pPr>
      <w:r>
        <w:rPr>
          <w:rFonts w:hint="eastAsia" w:ascii="Times New Roman" w:hAnsi="Times New Roman" w:eastAsia="仿宋" w:cs="Times New Roman"/>
          <w:sz w:val="24"/>
          <w:szCs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14:paraId="7D7E9A59">
      <w:pPr>
        <w:pStyle w:val="37"/>
        <w:keepNext w:val="0"/>
        <w:keepLines w:val="0"/>
        <w:pageBreakBefore w:val="0"/>
        <w:numPr>
          <w:ilvl w:val="0"/>
          <w:numId w:val="0"/>
        </w:numPr>
        <w:kinsoku/>
        <w:wordWrap/>
        <w:overflowPunct/>
        <w:topLinePunct w:val="0"/>
        <w:autoSpaceDE/>
        <w:autoSpaceDN/>
        <w:bidi w:val="0"/>
        <w:snapToGrid/>
        <w:spacing w:line="360" w:lineRule="auto"/>
        <w:ind w:left="562" w:leftChars="0"/>
        <w:jc w:val="center"/>
        <w:outlineLvl w:val="1"/>
        <w:rPr>
          <w:rFonts w:hint="eastAsia" w:ascii="Times New Roman" w:hAnsi="Times New Roman" w:eastAsia="仿宋" w:cs="Times New Roman"/>
          <w:b/>
          <w:sz w:val="28"/>
          <w:szCs w:val="28"/>
          <w:highlight w:val="none"/>
          <w:lang w:eastAsia="zh-CN"/>
        </w:rPr>
      </w:pPr>
      <w:r>
        <w:rPr>
          <w:rFonts w:hint="eastAsia" w:ascii="Times New Roman" w:hAnsi="Times New Roman" w:eastAsia="仿宋" w:cs="Times New Roman"/>
          <w:b/>
          <w:sz w:val="28"/>
          <w:szCs w:val="28"/>
          <w:highlight w:val="none"/>
          <w:lang w:eastAsia="zh-CN"/>
        </w:rPr>
        <w:t>三、招标文件</w:t>
      </w:r>
    </w:p>
    <w:p w14:paraId="6707D8B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（一）招标文件的构成</w:t>
      </w:r>
    </w:p>
    <w:p w14:paraId="3E9AE8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4"/>
          <w:szCs w:val="24"/>
          <w:highlight w:val="none"/>
        </w:rPr>
      </w:pPr>
      <w:r>
        <w:rPr>
          <w:rFonts w:ascii="Times New Roman" w:hAnsi="Times New Roman" w:eastAsia="仿宋" w:cs="Times New Roman"/>
          <w:sz w:val="24"/>
          <w:szCs w:val="24"/>
          <w:highlight w:val="none"/>
        </w:rPr>
        <w:t>1.招标文件是供应商准备投标文件和参加投标的依据，同时也是评标的重要依据，具有</w:t>
      </w:r>
      <w:r>
        <w:rPr>
          <w:rFonts w:hint="eastAsia" w:ascii="Times New Roman" w:hAnsi="Times New Roman" w:eastAsia="仿宋" w:cs="Times New Roman"/>
          <w:sz w:val="24"/>
          <w:szCs w:val="24"/>
          <w:highlight w:val="none"/>
        </w:rPr>
        <w:t>准</w:t>
      </w:r>
      <w:r>
        <w:rPr>
          <w:rFonts w:ascii="Times New Roman" w:hAnsi="Times New Roman" w:eastAsia="仿宋" w:cs="Times New Roman"/>
          <w:sz w:val="24"/>
          <w:szCs w:val="24"/>
          <w:highlight w:val="none"/>
        </w:rPr>
        <w:t>法律文件性质。招标文件用以阐明招标项目所需的</w:t>
      </w:r>
      <w:r>
        <w:rPr>
          <w:rFonts w:hint="eastAsia" w:ascii="Times New Roman" w:hAnsi="Times New Roman" w:eastAsia="仿宋" w:cs="Times New Roman"/>
          <w:sz w:val="24"/>
          <w:szCs w:val="24"/>
          <w:highlight w:val="none"/>
        </w:rPr>
        <w:t>资格</w:t>
      </w:r>
      <w:r>
        <w:rPr>
          <w:rFonts w:ascii="Times New Roman" w:hAnsi="Times New Roman" w:eastAsia="仿宋" w:cs="Times New Roman"/>
          <w:sz w:val="24"/>
          <w:szCs w:val="24"/>
          <w:highlight w:val="none"/>
        </w:rPr>
        <w:t>、技术、服务及报价等要求、招标投标程序、有关规定和注意事项</w:t>
      </w:r>
      <w:r>
        <w:rPr>
          <w:rFonts w:hint="eastAsia" w:ascii="Times New Roman" w:hAnsi="Times New Roman" w:eastAsia="仿宋" w:cs="Times New Roman"/>
          <w:sz w:val="24"/>
          <w:szCs w:val="24"/>
          <w:highlight w:val="none"/>
        </w:rPr>
        <w:t>、</w:t>
      </w:r>
      <w:r>
        <w:rPr>
          <w:rFonts w:ascii="Times New Roman" w:hAnsi="Times New Roman" w:eastAsia="仿宋" w:cs="Times New Roman"/>
          <w:sz w:val="24"/>
          <w:szCs w:val="24"/>
          <w:highlight w:val="none"/>
        </w:rPr>
        <w:t>合同主要条款等。本招标文件包括以下内容：</w:t>
      </w:r>
    </w:p>
    <w:p w14:paraId="0E0705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4"/>
          <w:szCs w:val="24"/>
          <w:highlight w:val="none"/>
        </w:rPr>
      </w:pPr>
      <w:r>
        <w:rPr>
          <w:rFonts w:ascii="Times New Roman" w:hAnsi="Times New Roman" w:eastAsia="仿宋" w:cs="Times New Roman"/>
          <w:sz w:val="24"/>
          <w:szCs w:val="24"/>
          <w:highlight w:val="none"/>
        </w:rPr>
        <w:t>（1）投标邀请；</w:t>
      </w:r>
    </w:p>
    <w:p w14:paraId="59B996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4"/>
          <w:szCs w:val="24"/>
          <w:highlight w:val="none"/>
        </w:rPr>
      </w:pPr>
      <w:r>
        <w:rPr>
          <w:rFonts w:ascii="Times New Roman" w:hAnsi="Times New Roman" w:eastAsia="仿宋" w:cs="Times New Roman"/>
          <w:sz w:val="24"/>
          <w:szCs w:val="24"/>
          <w:highlight w:val="none"/>
        </w:rPr>
        <w:t>（2）投标人须知；</w:t>
      </w:r>
    </w:p>
    <w:p w14:paraId="21E7AE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4"/>
          <w:szCs w:val="24"/>
          <w:highlight w:val="none"/>
        </w:rPr>
      </w:pPr>
      <w:r>
        <w:rPr>
          <w:rFonts w:ascii="Times New Roman" w:hAnsi="Times New Roman" w:eastAsia="仿宋" w:cs="Times New Roman"/>
          <w:sz w:val="24"/>
          <w:szCs w:val="24"/>
          <w:highlight w:val="none"/>
        </w:rPr>
        <w:t>（3）投标文件格式；</w:t>
      </w:r>
    </w:p>
    <w:p w14:paraId="69CBC9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4"/>
          <w:szCs w:val="24"/>
          <w:highlight w:val="none"/>
        </w:rPr>
      </w:pPr>
      <w:r>
        <w:rPr>
          <w:rFonts w:ascii="Times New Roman" w:hAnsi="Times New Roman" w:eastAsia="仿宋" w:cs="Times New Roman"/>
          <w:sz w:val="24"/>
          <w:szCs w:val="24"/>
          <w:highlight w:val="none"/>
        </w:rPr>
        <w:t>（4）</w:t>
      </w:r>
      <w:r>
        <w:rPr>
          <w:rFonts w:hint="eastAsia" w:ascii="Times New Roman" w:hAnsi="Times New Roman" w:eastAsia="仿宋" w:cs="Times New Roman"/>
          <w:sz w:val="24"/>
          <w:szCs w:val="24"/>
          <w:highlight w:val="none"/>
        </w:rPr>
        <w:t>招标项目的资格要求以及投标人应当提供的资格证明材料</w:t>
      </w:r>
      <w:r>
        <w:rPr>
          <w:rFonts w:ascii="Times New Roman" w:hAnsi="Times New Roman" w:eastAsia="仿宋" w:cs="Times New Roman"/>
          <w:sz w:val="24"/>
          <w:szCs w:val="24"/>
          <w:highlight w:val="none"/>
        </w:rPr>
        <w:t>；</w:t>
      </w:r>
    </w:p>
    <w:p w14:paraId="43C445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4"/>
          <w:szCs w:val="24"/>
          <w:highlight w:val="none"/>
        </w:rPr>
      </w:pPr>
      <w:r>
        <w:rPr>
          <w:rFonts w:ascii="Times New Roman" w:hAnsi="Times New Roman" w:eastAsia="仿宋" w:cs="Times New Roman"/>
          <w:sz w:val="24"/>
          <w:szCs w:val="24"/>
          <w:highlight w:val="none"/>
        </w:rPr>
        <w:t>（5）招标项目技术、服务和其他要求；</w:t>
      </w:r>
    </w:p>
    <w:p w14:paraId="2C4FA7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4"/>
          <w:szCs w:val="24"/>
          <w:highlight w:val="none"/>
        </w:rPr>
      </w:pPr>
      <w:r>
        <w:rPr>
          <w:rFonts w:ascii="Times New Roman" w:hAnsi="Times New Roman" w:eastAsia="仿宋" w:cs="Times New Roman"/>
          <w:sz w:val="24"/>
          <w:szCs w:val="24"/>
          <w:highlight w:val="none"/>
        </w:rPr>
        <w:t>（6）评标办法；</w:t>
      </w:r>
    </w:p>
    <w:p w14:paraId="545971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4"/>
          <w:szCs w:val="24"/>
          <w:highlight w:val="none"/>
        </w:rPr>
      </w:pPr>
      <w:r>
        <w:rPr>
          <w:rFonts w:ascii="Times New Roman" w:hAnsi="Times New Roman" w:eastAsia="仿宋" w:cs="Times New Roman"/>
          <w:sz w:val="24"/>
          <w:szCs w:val="24"/>
          <w:highlight w:val="none"/>
        </w:rPr>
        <w:t>（7）</w:t>
      </w:r>
      <w:r>
        <w:rPr>
          <w:rFonts w:hint="eastAsia" w:ascii="Times New Roman" w:hAnsi="Times New Roman" w:eastAsia="仿宋" w:cs="Times New Roman"/>
          <w:sz w:val="24"/>
          <w:szCs w:val="24"/>
          <w:highlight w:val="none"/>
        </w:rPr>
        <w:t>拟签订的合同文本</w:t>
      </w:r>
    </w:p>
    <w:p w14:paraId="52220A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ascii="Times New Roman" w:hAnsi="Times New Roman" w:eastAsia="仿宋" w:cs="Times New Roman"/>
          <w:sz w:val="24"/>
          <w:szCs w:val="24"/>
          <w:highlight w:val="none"/>
        </w:rPr>
        <w:t>2.投标人应认真阅读和充分理解招标文件中所有的事项、格式条款和规范要求。投标人没有对招标文件全面做出实质性响应是投标人的风险。没有按照招标文件要求作出实质性响应的投标文件将被拒绝。</w:t>
      </w:r>
    </w:p>
    <w:p w14:paraId="6E32A7A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（二）招标文件的澄清和修改</w:t>
      </w:r>
    </w:p>
    <w:p w14:paraId="6D1C47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1.招标采购单位可以依法对招标文件进行澄清或者修改。</w:t>
      </w:r>
    </w:p>
    <w:p w14:paraId="30F56D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2.招标采购单位对已发出的招标文件进行澄清或者修改，应当在</w:t>
      </w:r>
      <w:r>
        <w:rPr>
          <w:rFonts w:hint="eastAsia" w:eastAsia="仿宋" w:cs="Times New Roman"/>
          <w:sz w:val="24"/>
          <w:szCs w:val="24"/>
          <w:highlight w:val="none"/>
          <w:lang w:val="en-US" w:eastAsia="zh-CN"/>
        </w:rPr>
        <w:t>中国招标投标公共服务平台</w:t>
      </w:r>
      <w:r>
        <w:rPr>
          <w:rFonts w:hint="eastAsia" w:ascii="Times New Roman" w:hAnsi="Times New Roman" w:eastAsia="仿宋" w:cs="Times New Roman"/>
          <w:sz w:val="24"/>
          <w:szCs w:val="24"/>
          <w:highlight w:val="none"/>
          <w:lang w:val="en-US" w:eastAsia="zh-CN"/>
        </w:rPr>
        <w:t>上发布更正公告。该澄清或者修改的内容为招标文件的组成部分，澄清或者修改的内容可能影响投标文件、资格预审申请文件编制的，采购人或者采购代理机构发布对应公告。</w:t>
      </w:r>
    </w:p>
    <w:p w14:paraId="72CA62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3.投标人应于投标文件提交截止时间之前在</w:t>
      </w:r>
      <w:r>
        <w:rPr>
          <w:rFonts w:hint="eastAsia" w:eastAsia="仿宋" w:cs="Times New Roman"/>
          <w:sz w:val="24"/>
          <w:szCs w:val="24"/>
          <w:highlight w:val="none"/>
          <w:lang w:val="en-US" w:eastAsia="zh-CN"/>
        </w:rPr>
        <w:t>中国招标投标公共服务平台</w:t>
      </w:r>
      <w:r>
        <w:rPr>
          <w:rFonts w:hint="eastAsia" w:ascii="Times New Roman" w:hAnsi="Times New Roman" w:eastAsia="仿宋" w:cs="Times New Roman"/>
          <w:sz w:val="24"/>
          <w:szCs w:val="24"/>
          <w:highlight w:val="none"/>
          <w:lang w:val="en-US" w:eastAsia="zh-CN"/>
        </w:rPr>
        <w:t>查询本项目的更正公告，以保证其对招标文件作出正确的响应。投标人未按要求下载相关文件，或由于未及时关注更正公告的信息造成的后果，其责任由投标人自行负责。</w:t>
      </w:r>
    </w:p>
    <w:p w14:paraId="5808DFD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lang w:eastAsia="zh-CN"/>
        </w:rPr>
        <w:t>（三）</w:t>
      </w:r>
      <w:r>
        <w:rPr>
          <w:rFonts w:ascii="Times New Roman" w:hAnsi="Times New Roman" w:eastAsia="仿宋" w:cs="Times New Roman"/>
          <w:b/>
          <w:sz w:val="24"/>
          <w:szCs w:val="24"/>
          <w:highlight w:val="none"/>
        </w:rPr>
        <w:t>答疑会和现场考察</w:t>
      </w:r>
    </w:p>
    <w:p w14:paraId="1BBED8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highlight w:val="none"/>
        </w:rPr>
      </w:pPr>
      <w:r>
        <w:rPr>
          <w:rFonts w:hint="eastAsia" w:ascii="Times New Roman" w:hAnsi="Times New Roman" w:eastAsia="仿宋" w:cs="Times New Roman"/>
          <w:sz w:val="24"/>
          <w:szCs w:val="24"/>
          <w:highlight w:val="none"/>
          <w:lang w:val="en-US" w:eastAsia="zh-CN"/>
        </w:rPr>
        <w:t>1.本项目现场答疑考察与否，以“投标人须知附表”为准。</w:t>
      </w:r>
    </w:p>
    <w:p w14:paraId="0EE01B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2.</w:t>
      </w:r>
      <w:r>
        <w:rPr>
          <w:rFonts w:eastAsia="仿宋"/>
          <w:b/>
          <w:bCs w:val="0"/>
          <w:sz w:val="24"/>
          <w:highlight w:val="none"/>
        </w:rPr>
        <w:t>（</w:t>
      </w:r>
      <w:r>
        <w:rPr>
          <w:rFonts w:hint="eastAsia" w:eastAsia="仿宋"/>
          <w:b/>
          <w:bCs w:val="0"/>
          <w:sz w:val="24"/>
          <w:highlight w:val="none"/>
          <w:lang w:eastAsia="zh-CN"/>
        </w:rPr>
        <w:t>以下</w:t>
      </w:r>
      <w:r>
        <w:rPr>
          <w:rFonts w:hint="eastAsia" w:eastAsia="仿宋"/>
          <w:b/>
          <w:bCs w:val="0"/>
          <w:sz w:val="24"/>
          <w:highlight w:val="none"/>
          <w:lang w:val="en-US" w:eastAsia="zh-CN"/>
        </w:rPr>
        <w:t>仅适用</w:t>
      </w:r>
      <w:r>
        <w:rPr>
          <w:rFonts w:hint="eastAsia" w:eastAsia="仿宋"/>
          <w:b/>
          <w:bCs w:val="0"/>
          <w:sz w:val="24"/>
          <w:highlight w:val="none"/>
          <w:lang w:eastAsia="zh-CN"/>
        </w:rPr>
        <w:t>接受</w:t>
      </w:r>
      <w:r>
        <w:rPr>
          <w:rFonts w:hint="eastAsia" w:ascii="Times New Roman" w:hAnsi="Times New Roman" w:eastAsia="仿宋" w:cs="Times New Roman"/>
          <w:b/>
          <w:bCs w:val="0"/>
          <w:sz w:val="24"/>
          <w:szCs w:val="24"/>
          <w:highlight w:val="none"/>
          <w:lang w:val="en-US" w:eastAsia="zh-CN"/>
        </w:rPr>
        <w:t>现场答疑考察</w:t>
      </w:r>
      <w:r>
        <w:rPr>
          <w:rFonts w:hint="eastAsia" w:eastAsia="仿宋"/>
          <w:b/>
          <w:bCs w:val="0"/>
          <w:sz w:val="24"/>
          <w:highlight w:val="none"/>
          <w:lang w:val="en-US" w:eastAsia="zh-CN"/>
        </w:rPr>
        <w:t>的情形</w:t>
      </w:r>
      <w:r>
        <w:rPr>
          <w:rFonts w:eastAsia="仿宋"/>
          <w:b/>
          <w:bCs w:val="0"/>
          <w:sz w:val="24"/>
          <w:highlight w:val="none"/>
        </w:rPr>
        <w:t>）</w:t>
      </w:r>
      <w:r>
        <w:rPr>
          <w:rFonts w:hint="eastAsia" w:ascii="Times New Roman" w:hAnsi="Times New Roman" w:eastAsia="仿宋" w:cs="Times New Roman"/>
          <w:sz w:val="24"/>
          <w:szCs w:val="24"/>
          <w:highlight w:val="none"/>
          <w:lang w:val="en-US" w:eastAsia="zh-CN"/>
        </w:rPr>
        <w:t>根据采购项目和具体情况，招标采购单位认为有必要，可以在提交投标文件截止前，组织已获取招标文件的潜在投标人现场考察或者召开开标前答疑会。组织现场考察或者召开答疑会的，可通知所有获取招标文件的潜在投标人。</w:t>
      </w:r>
    </w:p>
    <w:p w14:paraId="629B74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Times New Roman" w:hAnsi="Times New Roman" w:eastAsia="仿宋" w:cs="Times New Roman"/>
          <w:sz w:val="24"/>
          <w:szCs w:val="24"/>
          <w:highlight w:val="none"/>
          <w:lang w:val="en-US" w:eastAsia="zh-CN"/>
        </w:rPr>
        <w:t>3.</w:t>
      </w:r>
      <w:r>
        <w:rPr>
          <w:rFonts w:ascii="Times New Roman" w:hAnsi="Times New Roman" w:eastAsia="仿宋" w:cs="Times New Roman"/>
          <w:sz w:val="24"/>
          <w:szCs w:val="24"/>
          <w:highlight w:val="none"/>
        </w:rPr>
        <w:t>供应商考察现场所发生的一切费用由供应商自</w:t>
      </w:r>
      <w:r>
        <w:rPr>
          <w:rFonts w:hint="eastAsia" w:ascii="Times New Roman" w:hAnsi="Times New Roman" w:eastAsia="仿宋" w:cs="Times New Roman"/>
          <w:sz w:val="24"/>
          <w:szCs w:val="24"/>
          <w:highlight w:val="none"/>
        </w:rPr>
        <w:t>行</w:t>
      </w:r>
      <w:r>
        <w:rPr>
          <w:rFonts w:ascii="Times New Roman" w:hAnsi="Times New Roman" w:eastAsia="仿宋" w:cs="Times New Roman"/>
          <w:sz w:val="24"/>
          <w:szCs w:val="24"/>
          <w:highlight w:val="none"/>
        </w:rPr>
        <w:t>承担。</w:t>
      </w:r>
    </w:p>
    <w:p w14:paraId="4B3D1D0A">
      <w:pPr>
        <w:pStyle w:val="37"/>
        <w:keepNext w:val="0"/>
        <w:keepLines w:val="0"/>
        <w:pageBreakBefore w:val="0"/>
        <w:numPr>
          <w:ilvl w:val="0"/>
          <w:numId w:val="0"/>
        </w:numPr>
        <w:kinsoku/>
        <w:wordWrap/>
        <w:overflowPunct/>
        <w:topLinePunct w:val="0"/>
        <w:autoSpaceDE/>
        <w:autoSpaceDN/>
        <w:bidi w:val="0"/>
        <w:snapToGrid/>
        <w:spacing w:line="360" w:lineRule="auto"/>
        <w:ind w:left="562" w:leftChars="0"/>
        <w:jc w:val="center"/>
        <w:outlineLvl w:val="1"/>
        <w:rPr>
          <w:rFonts w:hint="eastAsia" w:ascii="Times New Roman" w:hAnsi="Times New Roman" w:eastAsia="仿宋" w:cs="Times New Roman"/>
          <w:b/>
          <w:sz w:val="32"/>
          <w:szCs w:val="32"/>
          <w:highlight w:val="none"/>
          <w:lang w:eastAsia="zh-CN"/>
        </w:rPr>
      </w:pPr>
      <w:r>
        <w:rPr>
          <w:rFonts w:hint="eastAsia" w:ascii="Times New Roman" w:hAnsi="Times New Roman" w:eastAsia="仿宋" w:cs="Times New Roman"/>
          <w:b/>
          <w:sz w:val="32"/>
          <w:szCs w:val="32"/>
          <w:highlight w:val="none"/>
          <w:lang w:eastAsia="zh-CN"/>
        </w:rPr>
        <w:t>四、投标文件</w:t>
      </w:r>
    </w:p>
    <w:p w14:paraId="5F96F89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（一）投标文件的语言</w:t>
      </w: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实质性要求</w:t>
      </w:r>
      <w:r>
        <w:rPr>
          <w:rFonts w:hint="eastAsia" w:ascii="Times New Roman" w:hAnsi="Times New Roman" w:eastAsia="仿宋" w:cs="Times New Roman"/>
          <w:b/>
          <w:sz w:val="24"/>
          <w:szCs w:val="24"/>
          <w:highlight w:val="none"/>
          <w:lang w:eastAsia="zh-CN"/>
        </w:rPr>
        <w:t>）</w:t>
      </w:r>
    </w:p>
    <w:p w14:paraId="4B11C4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1.投标人提交的投标文件以及投标人与</w:t>
      </w:r>
      <w:r>
        <w:rPr>
          <w:rFonts w:hint="eastAsia" w:ascii="Times New Roman" w:hAnsi="Times New Roman" w:eastAsia="仿宋" w:cs="Times New Roman"/>
          <w:sz w:val="24"/>
          <w:szCs w:val="24"/>
          <w:highlight w:val="none"/>
          <w:lang w:eastAsia="zh-CN"/>
        </w:rPr>
        <w:t>采购人或采购代理机构</w:t>
      </w:r>
      <w:r>
        <w:rPr>
          <w:rFonts w:hint="eastAsia" w:ascii="Times New Roman" w:hAnsi="Times New Roman" w:eastAsia="仿宋" w:cs="Times New Roman"/>
          <w:sz w:val="24"/>
          <w:szCs w:val="24"/>
          <w:highlight w:val="none"/>
        </w:rPr>
        <w:t>就有关投标的所有来往书面文件均应使用中文。投标文件中如附有外文资料，应逐一对应翻译成中文并加盖投标人公章后附在相关外文资料后面，否则，投标人</w:t>
      </w:r>
      <w:r>
        <w:rPr>
          <w:rFonts w:hint="eastAsia" w:ascii="Times New Roman" w:hAnsi="Times New Roman" w:eastAsia="仿宋" w:cs="Times New Roman"/>
          <w:sz w:val="24"/>
          <w:szCs w:val="24"/>
          <w:highlight w:val="none"/>
          <w:lang w:val="en-US" w:eastAsia="zh-CN"/>
        </w:rPr>
        <w:t>所提供的外文资料将被视为无效材料。</w:t>
      </w:r>
    </w:p>
    <w:p w14:paraId="096FCA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2.翻译的中文资料与外文资料如果出现差异和矛盾时，以中文为准。涉嫌虚假响应的按照相关法律法规处理。</w:t>
      </w:r>
    </w:p>
    <w:p w14:paraId="56E717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Times New Roman" w:hAnsi="Times New Roman" w:eastAsia="仿宋" w:cs="Times New Roman"/>
          <w:sz w:val="24"/>
          <w:szCs w:val="24"/>
          <w:highlight w:val="none"/>
          <w:lang w:val="en-US" w:eastAsia="zh-CN"/>
        </w:rPr>
        <w:t>3</w:t>
      </w:r>
      <w:r>
        <w:rPr>
          <w:rFonts w:hint="eastAsia" w:ascii="Times New Roman" w:hAnsi="Times New Roman" w:eastAsia="仿宋" w:cs="Times New Roman"/>
          <w:sz w:val="24"/>
          <w:szCs w:val="24"/>
          <w:highlight w:val="none"/>
        </w:rPr>
        <w:t>.对不同文字文本投标文件的解释发生异议的，以中文文本为准。</w:t>
      </w:r>
    </w:p>
    <w:p w14:paraId="0426053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（二）计量单位</w:t>
      </w: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实质性要求</w:t>
      </w:r>
      <w:r>
        <w:rPr>
          <w:rFonts w:hint="eastAsia" w:ascii="Times New Roman" w:hAnsi="Times New Roman" w:eastAsia="仿宋" w:cs="Times New Roman"/>
          <w:b/>
          <w:sz w:val="24"/>
          <w:szCs w:val="24"/>
          <w:highlight w:val="none"/>
          <w:lang w:eastAsia="zh-CN"/>
        </w:rPr>
        <w:t>）</w:t>
      </w:r>
    </w:p>
    <w:p w14:paraId="3A2C91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Times New Roman" w:hAnsi="Times New Roman" w:eastAsia="仿宋" w:cs="Times New Roman"/>
          <w:sz w:val="24"/>
          <w:szCs w:val="24"/>
          <w:highlight w:val="none"/>
        </w:rPr>
        <w:t>除技术规格及要求中另有规定外，本采购项下的投标均采用国家法定的计量单位。</w:t>
      </w:r>
    </w:p>
    <w:p w14:paraId="63E9CDF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（三）投标货币</w:t>
      </w: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实质性要求</w:t>
      </w:r>
      <w:r>
        <w:rPr>
          <w:rFonts w:hint="eastAsia" w:ascii="Times New Roman" w:hAnsi="Times New Roman" w:eastAsia="仿宋" w:cs="Times New Roman"/>
          <w:b/>
          <w:sz w:val="24"/>
          <w:szCs w:val="24"/>
          <w:highlight w:val="none"/>
          <w:lang w:eastAsia="zh-CN"/>
        </w:rPr>
        <w:t>）</w:t>
      </w:r>
    </w:p>
    <w:p w14:paraId="35D509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Times New Roman" w:hAnsi="Times New Roman" w:eastAsia="仿宋" w:cs="Times New Roman"/>
          <w:sz w:val="24"/>
          <w:szCs w:val="24"/>
          <w:highlight w:val="none"/>
        </w:rPr>
        <w:t>本次招标项目的投标均以人民币报价。</w:t>
      </w:r>
    </w:p>
    <w:p w14:paraId="6E94792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（四）联合体投标</w:t>
      </w: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实质性要求</w:t>
      </w:r>
      <w:r>
        <w:rPr>
          <w:rFonts w:hint="eastAsia" w:ascii="Times New Roman" w:hAnsi="Times New Roman" w:eastAsia="仿宋" w:cs="Times New Roman"/>
          <w:b/>
          <w:sz w:val="24"/>
          <w:szCs w:val="24"/>
          <w:highlight w:val="none"/>
          <w:lang w:eastAsia="zh-CN"/>
        </w:rPr>
        <w:t>）</w:t>
      </w:r>
    </w:p>
    <w:p w14:paraId="069B63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color w:val="auto"/>
          <w:sz w:val="24"/>
          <w:szCs w:val="24"/>
          <w:highlight w:val="none"/>
          <w:lang w:val="en-US" w:eastAsia="zh-CN"/>
        </w:rPr>
        <w:t>1</w:t>
      </w:r>
      <w:r>
        <w:rPr>
          <w:rFonts w:hint="eastAsia" w:ascii="Times New Roman" w:hAnsi="Times New Roman" w:eastAsia="仿宋" w:cs="Times New Roman"/>
          <w:color w:val="auto"/>
          <w:sz w:val="24"/>
          <w:szCs w:val="24"/>
          <w:highlight w:val="none"/>
        </w:rPr>
        <w:t>.</w:t>
      </w:r>
      <w:r>
        <w:rPr>
          <w:rFonts w:hint="eastAsia" w:ascii="Times New Roman" w:hAnsi="Times New Roman" w:eastAsia="仿宋" w:cs="Times New Roman"/>
          <w:sz w:val="24"/>
          <w:szCs w:val="24"/>
          <w:highlight w:val="none"/>
          <w:lang w:val="en-US" w:eastAsia="zh-CN"/>
        </w:rPr>
        <w:t>本项目是否接受联合体响应，以“投标人须知附表”为准。</w:t>
      </w:r>
    </w:p>
    <w:p w14:paraId="291432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2.</w:t>
      </w:r>
      <w:r>
        <w:rPr>
          <w:rFonts w:eastAsia="仿宋"/>
          <w:b/>
          <w:sz w:val="24"/>
          <w:highlight w:val="none"/>
        </w:rPr>
        <w:t>（</w:t>
      </w:r>
      <w:r>
        <w:rPr>
          <w:rFonts w:hint="eastAsia" w:eastAsia="仿宋"/>
          <w:b/>
          <w:sz w:val="24"/>
          <w:highlight w:val="none"/>
          <w:lang w:eastAsia="zh-CN"/>
        </w:rPr>
        <w:t>以下</w:t>
      </w:r>
      <w:r>
        <w:rPr>
          <w:rFonts w:hint="eastAsia" w:eastAsia="仿宋"/>
          <w:b/>
          <w:sz w:val="24"/>
          <w:highlight w:val="none"/>
          <w:lang w:val="en-US" w:eastAsia="zh-CN"/>
        </w:rPr>
        <w:t>仅适用</w:t>
      </w:r>
      <w:r>
        <w:rPr>
          <w:rFonts w:eastAsia="仿宋"/>
          <w:b/>
          <w:sz w:val="24"/>
          <w:highlight w:val="none"/>
        </w:rPr>
        <w:t>接受联合体响应</w:t>
      </w:r>
      <w:r>
        <w:rPr>
          <w:rFonts w:hint="eastAsia" w:eastAsia="仿宋"/>
          <w:b/>
          <w:sz w:val="24"/>
          <w:highlight w:val="none"/>
          <w:lang w:val="en-US" w:eastAsia="zh-CN"/>
        </w:rPr>
        <w:t>的情形</w:t>
      </w:r>
      <w:r>
        <w:rPr>
          <w:rFonts w:eastAsia="仿宋"/>
          <w:b/>
          <w:sz w:val="24"/>
          <w:highlight w:val="none"/>
        </w:rPr>
        <w:t>）</w:t>
      </w:r>
      <w:r>
        <w:rPr>
          <w:rFonts w:hint="eastAsia" w:ascii="Times New Roman" w:hAnsi="Times New Roman" w:eastAsia="仿宋" w:cs="Times New Roman"/>
          <w:color w:val="auto"/>
          <w:sz w:val="24"/>
          <w:szCs w:val="24"/>
          <w:highlight w:val="none"/>
        </w:rPr>
        <w:t>两个以上供应商可以组成一个联合体，以一个投标人的身份投标。供应商组成联合体参加投标的，联合体各方均应当符合《</w:t>
      </w:r>
      <w:r>
        <w:rPr>
          <w:rFonts w:hint="eastAsia" w:ascii="Times New Roman" w:hAnsi="Times New Roman" w:eastAsia="仿宋" w:cs="Times New Roman"/>
          <w:color w:val="auto"/>
          <w:sz w:val="24"/>
          <w:szCs w:val="24"/>
          <w:highlight w:val="none"/>
          <w:lang w:val="en-US" w:eastAsia="zh-CN"/>
        </w:rPr>
        <w:t>中华人民共和国</w:t>
      </w:r>
      <w:r>
        <w:rPr>
          <w:rFonts w:hint="eastAsia" w:ascii="Times New Roman" w:hAnsi="Times New Roman" w:eastAsia="仿宋" w:cs="Times New Roman"/>
          <w:color w:val="auto"/>
          <w:sz w:val="24"/>
          <w:szCs w:val="24"/>
          <w:highlight w:val="none"/>
        </w:rPr>
        <w:t>政府采购法》第二十二条规定的条件。</w:t>
      </w:r>
    </w:p>
    <w:p w14:paraId="15EA0A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3</w:t>
      </w:r>
      <w:r>
        <w:rPr>
          <w:rFonts w:hint="eastAsia" w:ascii="Times New Roman" w:hAnsi="Times New Roman" w:eastAsia="仿宋" w:cs="Times New Roman"/>
          <w:color w:val="auto"/>
          <w:sz w:val="24"/>
          <w:szCs w:val="24"/>
          <w:highlight w:val="none"/>
        </w:rPr>
        <w:t>.联合体各方之间应当签订联合体投标协议，明确约定联合体各方承担的工作和相应的责任。</w:t>
      </w:r>
    </w:p>
    <w:p w14:paraId="29C847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4</w:t>
      </w:r>
      <w:r>
        <w:rPr>
          <w:rFonts w:hint="eastAsia" w:ascii="Times New Roman" w:hAnsi="Times New Roman" w:eastAsia="仿宋" w:cs="Times New Roman"/>
          <w:color w:val="auto"/>
          <w:sz w:val="24"/>
          <w:szCs w:val="24"/>
          <w:highlight w:val="none"/>
        </w:rPr>
        <w:t>.联合体应当确定其中一个单位为采购合同签订和履行的全权代表，即联合体牵头人。联合体牵头人将负责投标的一切事务，并承担合同签订、履行中应承担的全部责任与义务。</w:t>
      </w:r>
    </w:p>
    <w:p w14:paraId="110469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5</w:t>
      </w:r>
      <w:r>
        <w:rPr>
          <w:rFonts w:hint="eastAsia" w:ascii="Times New Roman" w:hAnsi="Times New Roman" w:eastAsia="仿宋" w:cs="Times New Roman"/>
          <w:color w:val="auto"/>
          <w:sz w:val="24"/>
          <w:szCs w:val="24"/>
          <w:highlight w:val="none"/>
        </w:rPr>
        <w:t>.联合体各方应当共同与采购人签订采购合同，就采购合同约定的事项对采购人承担连带责任。</w:t>
      </w:r>
    </w:p>
    <w:p w14:paraId="6B21FB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6</w:t>
      </w:r>
      <w:r>
        <w:rPr>
          <w:rFonts w:hint="eastAsia" w:ascii="Times New Roman" w:hAnsi="Times New Roman" w:eastAsia="仿宋" w:cs="Times New Roman"/>
          <w:color w:val="auto"/>
          <w:sz w:val="24"/>
          <w:szCs w:val="24"/>
          <w:highlight w:val="none"/>
        </w:rPr>
        <w:t>.联合体中有同类资质的供应商按照联合体分工承担相同工作的，应当按照资质等级较低的供应商确定资质等级。</w:t>
      </w:r>
    </w:p>
    <w:p w14:paraId="7248C4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Times New Roman" w:hAnsi="Times New Roman" w:eastAsia="仿宋" w:cs="Times New Roman"/>
          <w:color w:val="auto"/>
          <w:sz w:val="24"/>
          <w:szCs w:val="24"/>
          <w:highlight w:val="none"/>
          <w:lang w:val="en-US" w:eastAsia="zh-CN"/>
        </w:rPr>
        <w:t>7</w:t>
      </w:r>
      <w:r>
        <w:rPr>
          <w:rFonts w:hint="eastAsia" w:ascii="Times New Roman" w:hAnsi="Times New Roman" w:eastAsia="仿宋" w:cs="Times New Roman"/>
          <w:color w:val="auto"/>
          <w:sz w:val="24"/>
          <w:szCs w:val="24"/>
          <w:highlight w:val="none"/>
        </w:rPr>
        <w:t>.以联合体形式参加采购活动的，联合体各方不得再单独参加或者与其他供应商另外组成联合体参加本项目采购活动。</w:t>
      </w:r>
    </w:p>
    <w:p w14:paraId="5DE82F4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eastAsia="zh-CN"/>
        </w:rPr>
      </w:pPr>
      <w:r>
        <w:rPr>
          <w:rFonts w:ascii="Times New Roman" w:hAnsi="Times New Roman" w:eastAsia="仿宋" w:cs="Times New Roman"/>
          <w:b/>
          <w:sz w:val="24"/>
          <w:szCs w:val="24"/>
          <w:highlight w:val="none"/>
        </w:rPr>
        <w:t>（五）知识产权</w:t>
      </w: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实质性要求</w:t>
      </w:r>
      <w:r>
        <w:rPr>
          <w:rFonts w:hint="eastAsia" w:ascii="Times New Roman" w:hAnsi="Times New Roman" w:eastAsia="仿宋" w:cs="Times New Roman"/>
          <w:b/>
          <w:sz w:val="24"/>
          <w:szCs w:val="24"/>
          <w:highlight w:val="none"/>
          <w:lang w:eastAsia="zh-CN"/>
        </w:rPr>
        <w:t>）</w:t>
      </w:r>
    </w:p>
    <w:p w14:paraId="743291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333480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2.采购人享有本项目实施过程中产生的知识成果及知识产权。</w:t>
      </w:r>
    </w:p>
    <w:p w14:paraId="7FA3F1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3.投标人如欲在项目实施过程中采用自有知识成果，应在投标文件中声明，并提供相关知识产权证明文件。使用该知识成果后，投标人应提供开发接口和开发手册等技术文档，并承诺提供无限期技术支持，采购人享有永久使用权（含采购人委托第三方在该项目后续开发的使用权）。</w:t>
      </w:r>
    </w:p>
    <w:p w14:paraId="105ABF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Times New Roman" w:hAnsi="Times New Roman" w:eastAsia="仿宋" w:cs="Times New Roman"/>
          <w:sz w:val="24"/>
          <w:szCs w:val="24"/>
          <w:highlight w:val="none"/>
        </w:rPr>
        <w:t>4.如采用投标人所不拥有的知识产权，则在投标报价中应包括合法获取该知识产权的相关费用。</w:t>
      </w:r>
    </w:p>
    <w:p w14:paraId="32D8E4B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rPr>
      </w:pPr>
      <w:bookmarkStart w:id="5" w:name="_Hlk3798868"/>
      <w:r>
        <w:rPr>
          <w:rFonts w:hint="eastAsia" w:ascii="Times New Roman" w:hAnsi="Times New Roman" w:eastAsia="仿宋" w:cs="Times New Roman"/>
          <w:b/>
          <w:sz w:val="24"/>
          <w:szCs w:val="24"/>
          <w:highlight w:val="none"/>
        </w:rPr>
        <w:t>投标保证金</w:t>
      </w:r>
      <w:bookmarkEnd w:id="5"/>
      <w:r>
        <w:rPr>
          <w:rFonts w:hint="eastAsia" w:ascii="Times New Roman" w:hAnsi="Times New Roman" w:eastAsia="仿宋" w:cs="Times New Roman"/>
          <w:b/>
          <w:sz w:val="24"/>
          <w:szCs w:val="24"/>
          <w:highlight w:val="none"/>
        </w:rPr>
        <w:t>（实质性要求）</w:t>
      </w:r>
    </w:p>
    <w:p w14:paraId="76E8A5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1.本项目是否交纳投标保证金，以“投标人须知附表”为准。</w:t>
      </w:r>
    </w:p>
    <w:p w14:paraId="078A85C3">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b/>
          <w:sz w:val="24"/>
          <w:szCs w:val="24"/>
          <w:highlight w:val="none"/>
          <w:lang w:val="en-US" w:eastAsia="zh-CN"/>
        </w:rPr>
        <w:t>2.（以下仅适用于交纳保证金的情形）</w:t>
      </w:r>
      <w:r>
        <w:rPr>
          <w:rFonts w:hint="eastAsia" w:ascii="Times New Roman" w:hAnsi="Times New Roman" w:eastAsia="仿宋" w:cs="Times New Roman"/>
          <w:sz w:val="24"/>
          <w:szCs w:val="24"/>
          <w:highlight w:val="none"/>
        </w:rPr>
        <w:t>投标人投标时，必须以人民币提交招标文件规定数额的投标保证金，并作为其投标的一部分。</w:t>
      </w:r>
    </w:p>
    <w:p w14:paraId="51397286">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3.</w:t>
      </w:r>
      <w:r>
        <w:rPr>
          <w:rFonts w:hint="eastAsia" w:ascii="Times New Roman" w:hAnsi="Times New Roman" w:eastAsia="仿宋" w:cs="Times New Roman"/>
          <w:sz w:val="24"/>
          <w:szCs w:val="24"/>
          <w:highlight w:val="none"/>
        </w:rPr>
        <w:t>投标保证金交款方式：详见投标人须知前附表。</w:t>
      </w:r>
    </w:p>
    <w:p w14:paraId="2BD2A0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4.</w:t>
      </w:r>
      <w:r>
        <w:rPr>
          <w:rFonts w:hint="eastAsia" w:ascii="Times New Roman" w:hAnsi="Times New Roman" w:eastAsia="仿宋" w:cs="Times New Roman"/>
          <w:sz w:val="24"/>
          <w:szCs w:val="24"/>
          <w:highlight w:val="none"/>
        </w:rPr>
        <w:t>发生下列情形之一的，采购代理机构将不予退还投标人交纳的投标保证金：</w:t>
      </w:r>
    </w:p>
    <w:p w14:paraId="3E297132">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（1）在招标文件规定的投标截止时间后撤回或撤销投标的；</w:t>
      </w:r>
    </w:p>
    <w:p w14:paraId="6E9181E2">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（2）在采购人确定中标人以前放弃中标候选资格的；</w:t>
      </w:r>
    </w:p>
    <w:p w14:paraId="16A4E3B6">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（3）中标后放弃中标、不领取或者不接收中标通知书的；</w:t>
      </w:r>
    </w:p>
    <w:p w14:paraId="23FCF436">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（4）由于中标人的原因未能按照招标文件的规定与采购人签订合同的；</w:t>
      </w:r>
    </w:p>
    <w:p w14:paraId="5385D0DE">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（5）由于中标人的原因未能按照招标文件的规定交纳履约保证金的；</w:t>
      </w:r>
    </w:p>
    <w:p w14:paraId="36C1340F">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（6）投标人提供虚假资料的；</w:t>
      </w:r>
    </w:p>
    <w:p w14:paraId="31BB924A">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（7）投标有效期内，投标人在采购活动中有违法、违规、违纪行为；</w:t>
      </w:r>
    </w:p>
    <w:p w14:paraId="0B7774FA">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highlight w:val="none"/>
          <w:lang w:val="en-US" w:eastAsia="zh-CN"/>
        </w:rPr>
      </w:pPr>
      <w:r>
        <w:rPr>
          <w:rFonts w:hint="eastAsia" w:ascii="Times New Roman" w:hAnsi="Times New Roman" w:eastAsia="仿宋" w:cs="Times New Roman"/>
          <w:sz w:val="24"/>
          <w:szCs w:val="24"/>
          <w:highlight w:val="none"/>
        </w:rPr>
        <w:t>（8）招标文件规定的其他不予退还投标保证金的情形。</w:t>
      </w:r>
    </w:p>
    <w:p w14:paraId="15206A5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（七）投标有效期</w:t>
      </w: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实质性要求</w:t>
      </w:r>
      <w:r>
        <w:rPr>
          <w:rFonts w:hint="eastAsia" w:ascii="Times New Roman" w:hAnsi="Times New Roman" w:eastAsia="仿宋" w:cs="Times New Roman"/>
          <w:b/>
          <w:sz w:val="24"/>
          <w:szCs w:val="24"/>
          <w:highlight w:val="none"/>
          <w:lang w:eastAsia="zh-CN"/>
        </w:rPr>
        <w:t>）</w:t>
      </w:r>
    </w:p>
    <w:p w14:paraId="374C5B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1.</w:t>
      </w:r>
      <w:r>
        <w:rPr>
          <w:rFonts w:hint="eastAsia" w:ascii="Times New Roman" w:hAnsi="Times New Roman" w:eastAsia="仿宋" w:cs="Times New Roman"/>
          <w:sz w:val="24"/>
          <w:szCs w:val="24"/>
          <w:highlight w:val="none"/>
        </w:rPr>
        <w:t>本项目投标有效期为投标截止时间届满后</w:t>
      </w:r>
      <w:r>
        <w:rPr>
          <w:rFonts w:hint="eastAsia" w:ascii="Times New Roman" w:hAnsi="Times New Roman" w:eastAsia="仿宋" w:cs="Times New Roman"/>
          <w:b/>
          <w:bCs/>
          <w:sz w:val="24"/>
          <w:szCs w:val="24"/>
          <w:highlight w:val="none"/>
          <w:lang w:eastAsia="zh-CN"/>
        </w:rPr>
        <w:t>120天</w:t>
      </w:r>
      <w:r>
        <w:rPr>
          <w:rFonts w:hint="eastAsia" w:ascii="Times New Roman" w:hAnsi="Times New Roman" w:eastAsia="仿宋" w:cs="Times New Roman"/>
          <w:sz w:val="24"/>
          <w:szCs w:val="24"/>
          <w:highlight w:val="none"/>
        </w:rPr>
        <w:t>（投标有效期从提交投标文件的截止之日起算）。投标人投标文件中必须载明投标有效期，投标文件中载明的投标有效期可以长于招标文件规定的期限，但不得短于招标文件规定的期限。否则，其投标文件将作为无效投标处理。</w:t>
      </w:r>
    </w:p>
    <w:p w14:paraId="2082D6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2.</w:t>
      </w:r>
      <w:r>
        <w:rPr>
          <w:rFonts w:hint="eastAsia" w:ascii="Times New Roman" w:hAnsi="Times New Roman" w:eastAsia="仿宋" w:cs="Times New Roman"/>
          <w:sz w:val="24"/>
          <w:szCs w:val="24"/>
          <w:highlight w:val="none"/>
        </w:rPr>
        <w:t>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p>
    <w:p w14:paraId="61BB6D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3.</w:t>
      </w:r>
      <w:r>
        <w:rPr>
          <w:rFonts w:hint="eastAsia" w:ascii="Times New Roman" w:hAnsi="Times New Roman" w:eastAsia="仿宋" w:cs="Times New Roman"/>
          <w:sz w:val="24"/>
          <w:szCs w:val="24"/>
          <w:highlight w:val="none"/>
        </w:rPr>
        <w:t>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14:paraId="3FE91E2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（八）投标文件的组成</w:t>
      </w:r>
    </w:p>
    <w:p w14:paraId="75DCF8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Times New Roman" w:hAnsi="Times New Roman" w:eastAsia="仿宋" w:cs="Times New Roman"/>
          <w:sz w:val="24"/>
          <w:szCs w:val="24"/>
          <w:highlight w:val="none"/>
        </w:rPr>
        <w:t>投标人编写的投标文件包括</w:t>
      </w:r>
      <w:r>
        <w:rPr>
          <w:rFonts w:hint="eastAsia" w:ascii="Times New Roman" w:hAnsi="Times New Roman" w:eastAsia="仿宋" w:cs="Times New Roman"/>
          <w:sz w:val="24"/>
          <w:szCs w:val="24"/>
          <w:highlight w:val="none"/>
          <w:lang w:val="en-US" w:eastAsia="zh-CN"/>
        </w:rPr>
        <w:t>但不限于</w:t>
      </w:r>
      <w:r>
        <w:rPr>
          <w:rFonts w:hint="eastAsia" w:ascii="Times New Roman" w:hAnsi="Times New Roman" w:eastAsia="仿宋" w:cs="Times New Roman"/>
          <w:sz w:val="24"/>
          <w:szCs w:val="24"/>
          <w:highlight w:val="none"/>
        </w:rPr>
        <w:t>下列部分</w:t>
      </w:r>
      <w:r>
        <w:rPr>
          <w:rFonts w:hint="eastAsia" w:ascii="Times New Roman" w:hAnsi="Times New Roman" w:eastAsia="仿宋" w:cs="Times New Roman"/>
          <w:sz w:val="24"/>
          <w:szCs w:val="24"/>
          <w:highlight w:val="none"/>
          <w:lang w:eastAsia="zh-CN"/>
        </w:rPr>
        <w:t>，需</w:t>
      </w:r>
      <w:r>
        <w:rPr>
          <w:rFonts w:hint="eastAsia" w:ascii="Times New Roman" w:hAnsi="Times New Roman" w:eastAsia="仿宋" w:cs="Times New Roman"/>
          <w:sz w:val="24"/>
          <w:szCs w:val="24"/>
          <w:highlight w:val="none"/>
          <w:lang w:val="en-US" w:eastAsia="zh-CN"/>
        </w:rPr>
        <w:t>分册装订</w:t>
      </w:r>
      <w:r>
        <w:rPr>
          <w:rFonts w:hint="eastAsia" w:ascii="Times New Roman" w:hAnsi="Times New Roman" w:eastAsia="仿宋" w:cs="Times New Roman"/>
          <w:sz w:val="24"/>
          <w:szCs w:val="24"/>
          <w:highlight w:val="none"/>
        </w:rPr>
        <w:t>：：</w:t>
      </w:r>
    </w:p>
    <w:p w14:paraId="1BED618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文件一：单独的用于开标唱标的</w:t>
      </w:r>
      <w:r>
        <w:rPr>
          <w:rFonts w:hint="eastAsia" w:ascii="Times New Roman" w:hAnsi="Times New Roman" w:eastAsia="仿宋" w:cs="Times New Roman"/>
          <w:b/>
          <w:sz w:val="24"/>
          <w:szCs w:val="24"/>
          <w:highlight w:val="none"/>
        </w:rPr>
        <w:t>“开标一览表”</w:t>
      </w:r>
      <w:r>
        <w:rPr>
          <w:rFonts w:hint="eastAsia" w:ascii="Times New Roman" w:hAnsi="Times New Roman" w:eastAsia="仿宋" w:cs="Times New Roman"/>
          <w:b/>
          <w:sz w:val="24"/>
          <w:szCs w:val="24"/>
          <w:highlight w:val="none"/>
          <w:lang w:val="en-US" w:eastAsia="zh-CN"/>
        </w:rPr>
        <w:t>文件1</w:t>
      </w:r>
      <w:r>
        <w:rPr>
          <w:rFonts w:hint="eastAsia" w:ascii="Times New Roman" w:hAnsi="Times New Roman" w:eastAsia="仿宋" w:cs="Times New Roman"/>
          <w:b/>
          <w:sz w:val="24"/>
          <w:szCs w:val="24"/>
          <w:highlight w:val="none"/>
          <w:lang w:val="zh-CN" w:eastAsia="zh-CN"/>
        </w:rPr>
        <w:t>份</w:t>
      </w:r>
    </w:p>
    <w:p w14:paraId="295D5B0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文件二：</w:t>
      </w:r>
      <w:r>
        <w:rPr>
          <w:rFonts w:hint="eastAsia" w:ascii="Times New Roman" w:hAnsi="Times New Roman" w:eastAsia="仿宋" w:cs="Times New Roman"/>
          <w:b/>
          <w:sz w:val="24"/>
          <w:szCs w:val="24"/>
          <w:highlight w:val="none"/>
        </w:rPr>
        <w:t>“资格性投标文件”</w:t>
      </w:r>
    </w:p>
    <w:p w14:paraId="4CE629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投标人按照招标文件第四章的要求提供有关证明材料。</w:t>
      </w:r>
    </w:p>
    <w:p w14:paraId="78847E8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 w:cs="Times New Roman"/>
          <w:b/>
          <w:bCs/>
          <w:sz w:val="24"/>
          <w:szCs w:val="24"/>
          <w:highlight w:val="none"/>
          <w:lang w:val="en-US" w:eastAsia="zh-CN"/>
        </w:rPr>
      </w:pPr>
      <w:r>
        <w:rPr>
          <w:rFonts w:hint="eastAsia" w:ascii="Times New Roman" w:hAnsi="Times New Roman" w:eastAsia="仿宋" w:cs="Times New Roman"/>
          <w:b/>
          <w:bCs/>
          <w:sz w:val="24"/>
          <w:szCs w:val="24"/>
          <w:highlight w:val="none"/>
          <w:lang w:val="en-US" w:eastAsia="zh-CN"/>
        </w:rPr>
        <w:t>文件三：</w:t>
      </w:r>
      <w:r>
        <w:rPr>
          <w:rFonts w:hint="eastAsia" w:ascii="Times New Roman" w:hAnsi="Times New Roman" w:eastAsia="仿宋" w:cs="Times New Roman"/>
          <w:b/>
          <w:sz w:val="24"/>
          <w:szCs w:val="24"/>
          <w:highlight w:val="none"/>
        </w:rPr>
        <w:t>“</w:t>
      </w:r>
      <w:r>
        <w:rPr>
          <w:rFonts w:hint="eastAsia" w:ascii="Times New Roman" w:hAnsi="Times New Roman" w:eastAsia="仿宋" w:cs="Times New Roman"/>
          <w:b/>
          <w:bCs/>
          <w:sz w:val="24"/>
          <w:szCs w:val="24"/>
          <w:highlight w:val="none"/>
          <w:lang w:val="en-US" w:eastAsia="zh-CN"/>
        </w:rPr>
        <w:t>其它响应性投标文件</w:t>
      </w:r>
      <w:r>
        <w:rPr>
          <w:rFonts w:hint="eastAsia" w:ascii="Times New Roman" w:hAnsi="Times New Roman" w:eastAsia="仿宋" w:cs="Times New Roman"/>
          <w:b/>
          <w:sz w:val="24"/>
          <w:szCs w:val="24"/>
          <w:highlight w:val="none"/>
        </w:rPr>
        <w:t>”</w:t>
      </w:r>
    </w:p>
    <w:p w14:paraId="787586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b/>
          <w:bCs/>
          <w:color w:val="auto"/>
          <w:sz w:val="24"/>
          <w:szCs w:val="24"/>
          <w:highlight w:val="none"/>
          <w:lang w:val="en-US" w:eastAsia="zh-CN"/>
        </w:rPr>
        <w:t>1</w:t>
      </w:r>
      <w:r>
        <w:rPr>
          <w:rFonts w:hint="eastAsia" w:ascii="Times New Roman" w:hAnsi="Times New Roman" w:eastAsia="仿宋" w:cs="Times New Roman"/>
          <w:b/>
          <w:bCs/>
          <w:color w:val="auto"/>
          <w:sz w:val="24"/>
          <w:szCs w:val="24"/>
          <w:highlight w:val="none"/>
        </w:rPr>
        <w:t>.报价部分</w:t>
      </w:r>
      <w:r>
        <w:rPr>
          <w:rFonts w:hint="eastAsia" w:ascii="Times New Roman" w:hAnsi="Times New Roman" w:eastAsia="仿宋" w:cs="Times New Roman"/>
          <w:sz w:val="24"/>
          <w:szCs w:val="24"/>
          <w:highlight w:val="none"/>
          <w:lang w:val="en-US" w:eastAsia="zh-CN"/>
        </w:rPr>
        <w:t xml:space="preserve"> </w:t>
      </w:r>
      <w:r>
        <w:rPr>
          <w:rFonts w:hint="eastAsia" w:ascii="Times New Roman" w:hAnsi="Times New Roman" w:eastAsia="仿宋" w:cs="Times New Roman"/>
          <w:sz w:val="24"/>
          <w:szCs w:val="24"/>
          <w:highlight w:val="none"/>
        </w:rPr>
        <w:t>投标人为本项目准备“开标一览表”“分项报价明细表”。本项目的报价要求：</w:t>
      </w:r>
    </w:p>
    <w:p w14:paraId="3AC416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w:t>
      </w:r>
      <w:r>
        <w:rPr>
          <w:rFonts w:hint="eastAsia" w:ascii="Times New Roman" w:hAnsi="Times New Roman" w:eastAsia="仿宋" w:cs="Times New Roman"/>
          <w:sz w:val="24"/>
          <w:szCs w:val="24"/>
          <w:highlight w:val="none"/>
          <w:lang w:val="en-US" w:eastAsia="zh-CN"/>
        </w:rPr>
        <w:t>详见</w:t>
      </w:r>
      <w:r>
        <w:rPr>
          <w:rFonts w:hint="eastAsia" w:ascii="Times New Roman" w:hAnsi="Times New Roman" w:eastAsia="仿宋" w:cs="Times New Roman"/>
          <w:sz w:val="24"/>
          <w:szCs w:val="24"/>
          <w:highlight w:val="none"/>
        </w:rPr>
        <w:t>“</w:t>
      </w:r>
      <w:r>
        <w:rPr>
          <w:rFonts w:hint="eastAsia" w:ascii="Times New Roman" w:hAnsi="Times New Roman" w:eastAsia="仿宋" w:cs="Times New Roman"/>
          <w:sz w:val="24"/>
          <w:szCs w:val="24"/>
          <w:highlight w:val="none"/>
          <w:lang w:val="en-US" w:eastAsia="zh-CN"/>
        </w:rPr>
        <w:t>第五章 商务要求</w:t>
      </w:r>
      <w:r>
        <w:rPr>
          <w:rFonts w:hint="eastAsia" w:ascii="Times New Roman" w:hAnsi="Times New Roman" w:eastAsia="仿宋" w:cs="Times New Roman"/>
          <w:sz w:val="24"/>
          <w:szCs w:val="24"/>
          <w:highlight w:val="none"/>
        </w:rPr>
        <w:t>”。</w:t>
      </w:r>
    </w:p>
    <w:p w14:paraId="09C4AF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（2）投标人</w:t>
      </w:r>
      <w:bookmarkStart w:id="6" w:name="_Hlk497229046"/>
      <w:r>
        <w:rPr>
          <w:rFonts w:hint="eastAsia" w:ascii="Times New Roman" w:hAnsi="Times New Roman" w:eastAsia="仿宋" w:cs="Times New Roman"/>
          <w:sz w:val="24"/>
          <w:szCs w:val="24"/>
          <w:highlight w:val="none"/>
        </w:rPr>
        <w:t>每种货物或服务项</w:t>
      </w:r>
      <w:bookmarkEnd w:id="6"/>
      <w:r>
        <w:rPr>
          <w:rFonts w:hint="eastAsia" w:ascii="Times New Roman" w:hAnsi="Times New Roman" w:eastAsia="仿宋" w:cs="Times New Roman"/>
          <w:sz w:val="24"/>
          <w:szCs w:val="24"/>
          <w:highlight w:val="none"/>
        </w:rPr>
        <w:t>只允许有一个报价，并且在合同履行过程中是固定不变的，任何有选择或可调整的报价将不予接受，并按无效投标处理。</w:t>
      </w:r>
    </w:p>
    <w:p w14:paraId="03339EC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 w:cs="Times New Roman"/>
          <w:sz w:val="24"/>
          <w:szCs w:val="24"/>
          <w:highlight w:val="none"/>
          <w:lang w:eastAsia="zh-CN"/>
        </w:rPr>
      </w:pPr>
      <w:r>
        <w:rPr>
          <w:rFonts w:hint="eastAsia" w:ascii="Times New Roman" w:hAnsi="Times New Roman" w:eastAsia="仿宋" w:cs="Times New Roman"/>
          <w:b/>
          <w:bCs/>
          <w:sz w:val="24"/>
          <w:szCs w:val="24"/>
          <w:highlight w:val="none"/>
          <w:lang w:val="en-US" w:eastAsia="zh-CN"/>
        </w:rPr>
        <w:t>2</w:t>
      </w:r>
      <w:r>
        <w:rPr>
          <w:rFonts w:hint="eastAsia" w:ascii="Times New Roman" w:hAnsi="Times New Roman" w:eastAsia="仿宋" w:cs="Times New Roman"/>
          <w:b/>
          <w:bCs/>
          <w:sz w:val="24"/>
          <w:szCs w:val="24"/>
          <w:highlight w:val="none"/>
        </w:rPr>
        <w:t>.技术部分</w:t>
      </w:r>
      <w:r>
        <w:rPr>
          <w:rFonts w:hint="eastAsia" w:ascii="Times New Roman" w:hAnsi="Times New Roman" w:eastAsia="仿宋" w:cs="Times New Roman"/>
          <w:b/>
          <w:bCs/>
          <w:sz w:val="24"/>
          <w:szCs w:val="24"/>
          <w:highlight w:val="none"/>
          <w:lang w:val="en-US" w:eastAsia="zh-CN"/>
        </w:rPr>
        <w:t>及</w:t>
      </w:r>
      <w:r>
        <w:rPr>
          <w:rFonts w:hint="eastAsia" w:ascii="Times New Roman" w:hAnsi="Times New Roman" w:eastAsia="仿宋" w:cs="Times New Roman"/>
          <w:b/>
          <w:bCs/>
          <w:sz w:val="24"/>
          <w:szCs w:val="24"/>
          <w:highlight w:val="none"/>
        </w:rPr>
        <w:t>商务部分</w:t>
      </w:r>
      <w:r>
        <w:rPr>
          <w:rFonts w:hint="eastAsia" w:ascii="Times New Roman" w:hAnsi="Times New Roman" w:eastAsia="仿宋" w:cs="Times New Roman"/>
          <w:sz w:val="24"/>
          <w:szCs w:val="24"/>
          <w:highlight w:val="none"/>
          <w:lang w:val="en-US" w:eastAsia="zh-CN"/>
        </w:rPr>
        <w:t xml:space="preserve"> </w:t>
      </w:r>
      <w:r>
        <w:rPr>
          <w:rFonts w:hint="eastAsia" w:ascii="Times New Roman" w:hAnsi="Times New Roman" w:eastAsia="仿宋" w:cs="Times New Roman"/>
          <w:sz w:val="24"/>
          <w:szCs w:val="24"/>
          <w:highlight w:val="none"/>
        </w:rPr>
        <w:t>投标人按照招标文件要求提供的有关证明材料。</w:t>
      </w:r>
      <w:bookmarkStart w:id="7" w:name="_Hlk497229122"/>
    </w:p>
    <w:p w14:paraId="257B63CE">
      <w:pPr>
        <w:keepNext w:val="0"/>
        <w:keepLines w:val="0"/>
        <w:pageBreakBefore w:val="0"/>
        <w:numPr>
          <w:ilvl w:val="0"/>
          <w:numId w:val="0"/>
        </w:numPr>
        <w:tabs>
          <w:tab w:val="left" w:pos="851"/>
        </w:tabs>
        <w:kinsoku/>
        <w:wordWrap/>
        <w:overflowPunct/>
        <w:topLinePunct w:val="0"/>
        <w:autoSpaceDE/>
        <w:autoSpaceDN/>
        <w:bidi w:val="0"/>
        <w:snapToGrid/>
        <w:spacing w:line="360" w:lineRule="auto"/>
        <w:ind w:left="510" w:leftChars="0"/>
        <w:rPr>
          <w:rFonts w:hint="eastAsia"/>
          <w:highlight w:val="none"/>
          <w:lang w:val="en-US" w:eastAsia="zh-CN"/>
        </w:rPr>
      </w:pPr>
      <w:r>
        <w:rPr>
          <w:rFonts w:hint="eastAsia" w:ascii="Times New Roman" w:hAnsi="Times New Roman" w:eastAsia="仿宋" w:cs="Times New Roman"/>
          <w:b/>
          <w:bCs/>
          <w:sz w:val="24"/>
          <w:szCs w:val="24"/>
          <w:highlight w:val="none"/>
          <w:lang w:val="en-US" w:eastAsia="zh-CN"/>
        </w:rPr>
        <w:t>3</w:t>
      </w:r>
      <w:r>
        <w:rPr>
          <w:rFonts w:hint="eastAsia" w:ascii="Times New Roman" w:hAnsi="Times New Roman" w:eastAsia="仿宋" w:cs="Times New Roman"/>
          <w:b/>
          <w:bCs/>
          <w:sz w:val="24"/>
          <w:szCs w:val="24"/>
          <w:highlight w:val="none"/>
        </w:rPr>
        <w:t>.</w:t>
      </w:r>
      <w:r>
        <w:rPr>
          <w:rFonts w:hint="eastAsia" w:ascii="Times New Roman" w:hAnsi="Times New Roman" w:eastAsia="仿宋" w:cs="Times New Roman"/>
          <w:b/>
          <w:bCs/>
          <w:sz w:val="24"/>
          <w:szCs w:val="24"/>
          <w:highlight w:val="none"/>
          <w:lang w:val="en-US" w:eastAsia="zh-CN"/>
        </w:rPr>
        <w:t xml:space="preserve">其他部分 </w:t>
      </w:r>
      <w:r>
        <w:rPr>
          <w:rFonts w:ascii="仿宋" w:hAnsi="仿宋" w:eastAsia="仿宋"/>
          <w:b w:val="0"/>
          <w:color w:val="auto"/>
          <w:kern w:val="2"/>
          <w:sz w:val="24"/>
          <w:szCs w:val="24"/>
          <w:highlight w:val="none"/>
          <w:lang w:val="en-US"/>
        </w:rPr>
        <w:t>投标人认为需要</w:t>
      </w:r>
      <w:r>
        <w:rPr>
          <w:rFonts w:hint="eastAsia" w:ascii="仿宋" w:hAnsi="仿宋" w:eastAsia="仿宋"/>
          <w:b w:val="0"/>
          <w:color w:val="auto"/>
          <w:kern w:val="2"/>
          <w:sz w:val="24"/>
          <w:szCs w:val="24"/>
          <w:highlight w:val="none"/>
          <w:lang w:val="en-US" w:eastAsia="zh-CN"/>
        </w:rPr>
        <w:t>补充</w:t>
      </w:r>
      <w:r>
        <w:rPr>
          <w:rFonts w:ascii="仿宋" w:hAnsi="仿宋" w:eastAsia="仿宋"/>
          <w:b w:val="0"/>
          <w:color w:val="auto"/>
          <w:kern w:val="2"/>
          <w:sz w:val="24"/>
          <w:szCs w:val="24"/>
          <w:highlight w:val="none"/>
          <w:lang w:val="en-US"/>
        </w:rPr>
        <w:t>的其他文件和资料</w:t>
      </w:r>
      <w:r>
        <w:rPr>
          <w:rFonts w:hint="eastAsia" w:ascii="仿宋" w:hAnsi="仿宋" w:eastAsia="仿宋"/>
          <w:b w:val="0"/>
          <w:color w:val="auto"/>
          <w:kern w:val="2"/>
          <w:sz w:val="24"/>
          <w:szCs w:val="24"/>
          <w:highlight w:val="none"/>
          <w:lang w:val="en-US" w:eastAsia="zh-CN"/>
        </w:rPr>
        <w:t>。</w:t>
      </w:r>
    </w:p>
    <w:bookmarkEnd w:id="7"/>
    <w:p w14:paraId="2EFF453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eastAsia="zh-CN"/>
        </w:rPr>
      </w:pPr>
      <w:r>
        <w:rPr>
          <w:rFonts w:ascii="Times New Roman" w:hAnsi="Times New Roman" w:eastAsia="仿宋" w:cs="Times New Roman"/>
          <w:b/>
          <w:sz w:val="24"/>
          <w:szCs w:val="24"/>
          <w:highlight w:val="none"/>
        </w:rPr>
        <w:t>（九）投标文件格式</w:t>
      </w:r>
      <w:r>
        <w:rPr>
          <w:rFonts w:hint="eastAsia" w:ascii="Times New Roman" w:hAnsi="Times New Roman" w:eastAsia="仿宋" w:cs="Times New Roman"/>
          <w:b/>
          <w:sz w:val="24"/>
          <w:szCs w:val="24"/>
          <w:highlight w:val="none"/>
          <w:lang w:eastAsia="zh-CN"/>
        </w:rPr>
        <w:t>和内容</w:t>
      </w:r>
    </w:p>
    <w:p w14:paraId="6EDE65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b w:val="0"/>
          <w:kern w:val="2"/>
          <w:sz w:val="24"/>
          <w:szCs w:val="24"/>
          <w:highlight w:val="none"/>
          <w:lang w:val="en-US" w:eastAsia="zh-CN" w:bidi="ar-SA"/>
        </w:rPr>
      </w:pPr>
      <w:r>
        <w:rPr>
          <w:rFonts w:hint="eastAsia" w:ascii="Times New Roman" w:hAnsi="Times New Roman" w:eastAsia="仿宋" w:cs="Times New Roman"/>
          <w:b w:val="0"/>
          <w:kern w:val="2"/>
          <w:sz w:val="24"/>
          <w:szCs w:val="24"/>
          <w:highlight w:val="none"/>
          <w:lang w:val="en-US" w:eastAsia="zh-CN" w:bidi="ar-SA"/>
        </w:rPr>
        <w:t>投标人可参照招标文件的提供的格式，进行编制投标文件。</w:t>
      </w:r>
    </w:p>
    <w:p w14:paraId="1AF9632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投标文件的</w:t>
      </w:r>
      <w:r>
        <w:rPr>
          <w:rFonts w:hint="eastAsia" w:ascii="Times New Roman" w:hAnsi="Times New Roman" w:eastAsia="仿宋" w:cs="Times New Roman"/>
          <w:b/>
          <w:sz w:val="24"/>
          <w:szCs w:val="24"/>
          <w:highlight w:val="none"/>
          <w:lang w:val="en-US" w:eastAsia="zh-CN"/>
        </w:rPr>
        <w:t>编制</w:t>
      </w:r>
      <w:r>
        <w:rPr>
          <w:rFonts w:ascii="Times New Roman" w:hAnsi="Times New Roman" w:eastAsia="仿宋" w:cs="Times New Roman"/>
          <w:b/>
          <w:sz w:val="24"/>
          <w:szCs w:val="24"/>
          <w:highlight w:val="none"/>
        </w:rPr>
        <w:t>和签署</w:t>
      </w:r>
    </w:p>
    <w:p w14:paraId="05D33B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1.投标文件的份数，以“投标人须知附表”为准。</w:t>
      </w:r>
      <w:r>
        <w:rPr>
          <w:rFonts w:hint="eastAsia" w:ascii="仿宋" w:hAnsi="仿宋" w:eastAsia="仿宋" w:cs="Times New Roman"/>
          <w:b/>
          <w:bCs/>
          <w:kern w:val="2"/>
          <w:sz w:val="24"/>
          <w:szCs w:val="32"/>
          <w:highlight w:val="none"/>
          <w:lang w:val="en-US" w:eastAsia="zh-CN" w:bidi="ar-SA"/>
        </w:rPr>
        <w:t>（实质性要求）</w:t>
      </w:r>
    </w:p>
    <w:p w14:paraId="7115D0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2.若正本和副本有不一致的内容，以正本书面投标文件为准。</w:t>
      </w:r>
      <w:r>
        <w:rPr>
          <w:rFonts w:hint="eastAsia" w:ascii="仿宋" w:hAnsi="仿宋" w:eastAsia="仿宋" w:cs="Times New Roman"/>
          <w:b/>
          <w:bCs/>
          <w:kern w:val="2"/>
          <w:sz w:val="24"/>
          <w:szCs w:val="32"/>
          <w:highlight w:val="none"/>
          <w:lang w:val="en-US" w:eastAsia="zh-CN" w:bidi="ar-SA"/>
        </w:rPr>
        <w:t>（实质性要求）</w:t>
      </w:r>
    </w:p>
    <w:p w14:paraId="4AC4E1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b/>
          <w:bCs/>
          <w:kern w:val="2"/>
          <w:sz w:val="24"/>
          <w:szCs w:val="32"/>
          <w:highlight w:val="none"/>
          <w:lang w:val="en-US" w:eastAsia="zh-CN" w:bidi="ar-SA"/>
        </w:rPr>
      </w:pPr>
      <w:r>
        <w:rPr>
          <w:rFonts w:hint="eastAsia" w:ascii="Times New Roman" w:hAnsi="Times New Roman" w:eastAsia="仿宋" w:cs="Times New Roman"/>
          <w:b w:val="0"/>
          <w:kern w:val="2"/>
          <w:sz w:val="24"/>
          <w:szCs w:val="24"/>
          <w:highlight w:val="none"/>
          <w:lang w:val="en-US" w:eastAsia="zh-CN" w:bidi="ar-SA"/>
        </w:rPr>
        <w:t>3.</w:t>
      </w:r>
      <w:r>
        <w:rPr>
          <w:rFonts w:hint="eastAsia" w:ascii="Times New Roman" w:hAnsi="Times New Roman" w:eastAsia="仿宋" w:cs="Times New Roman"/>
          <w:b w:val="0"/>
          <w:bCs/>
          <w:sz w:val="24"/>
          <w:szCs w:val="24"/>
          <w:highlight w:val="none"/>
          <w:lang w:val="zh-CN" w:eastAsia="zh-CN"/>
        </w:rPr>
        <w:t>单独的用于开标唱标的“开标一览表”文件1份</w:t>
      </w:r>
      <w:r>
        <w:rPr>
          <w:rFonts w:hint="eastAsia" w:ascii="Times New Roman" w:hAnsi="Times New Roman" w:eastAsia="仿宋" w:cs="Times New Roman"/>
          <w:b w:val="0"/>
          <w:kern w:val="2"/>
          <w:sz w:val="24"/>
          <w:szCs w:val="24"/>
          <w:highlight w:val="none"/>
          <w:lang w:val="en-US" w:eastAsia="zh-CN" w:bidi="ar-SA"/>
        </w:rPr>
        <w:t>。</w:t>
      </w:r>
    </w:p>
    <w:p w14:paraId="5667D9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4.投标文件密封袋的最外层可以注明项目名称、项目编号、采购包号号及名称（若有）、供应商名称、“正本”或“副本”字样。</w:t>
      </w:r>
    </w:p>
    <w:p w14:paraId="0381D4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5.投标文件应根据招标文件的要求签署、盖章。</w:t>
      </w:r>
      <w:r>
        <w:rPr>
          <w:rFonts w:hint="eastAsia" w:ascii="仿宋" w:hAnsi="仿宋" w:eastAsia="仿宋" w:cs="Times New Roman"/>
          <w:b/>
          <w:bCs/>
          <w:kern w:val="2"/>
          <w:sz w:val="24"/>
          <w:szCs w:val="32"/>
          <w:highlight w:val="none"/>
          <w:lang w:val="en-US" w:eastAsia="zh-CN" w:bidi="ar-SA"/>
        </w:rPr>
        <w:t>（实质性要求）</w:t>
      </w:r>
    </w:p>
    <w:p w14:paraId="336711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Times New Roman"/>
          <w:b/>
          <w:bCs/>
          <w:kern w:val="2"/>
          <w:sz w:val="24"/>
          <w:szCs w:val="32"/>
          <w:highlight w:val="none"/>
          <w:lang w:val="en-US" w:eastAsia="zh-CN" w:bidi="ar-SA"/>
        </w:rPr>
      </w:pPr>
      <w:r>
        <w:rPr>
          <w:rFonts w:hint="eastAsia" w:ascii="Times New Roman" w:hAnsi="Times New Roman" w:eastAsia="仿宋" w:cs="Times New Roman"/>
          <w:sz w:val="24"/>
          <w:szCs w:val="24"/>
          <w:highlight w:val="none"/>
          <w:lang w:val="en-US" w:eastAsia="zh-CN"/>
        </w:rPr>
        <w:t>6.投标文件若涉及，行间插字、涂改或增删，应由投标人的法定代表人或单位负责人或其授权代表签字并盖投标人公章。</w:t>
      </w:r>
      <w:r>
        <w:rPr>
          <w:rFonts w:hint="eastAsia" w:ascii="仿宋" w:hAnsi="仿宋" w:eastAsia="仿宋" w:cs="Times New Roman"/>
          <w:b/>
          <w:bCs/>
          <w:kern w:val="2"/>
          <w:sz w:val="24"/>
          <w:szCs w:val="32"/>
          <w:highlight w:val="none"/>
          <w:lang w:val="en-US" w:eastAsia="zh-CN" w:bidi="ar-SA"/>
        </w:rPr>
        <w:t>（实质性要求）</w:t>
      </w:r>
    </w:p>
    <w:p w14:paraId="5D8ABD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7.投标文件正本和副本可采用打印或用不褪色、不变质的墨水书写，投标文件副本可采用正本的复印件。</w:t>
      </w:r>
      <w:r>
        <w:rPr>
          <w:rFonts w:hint="eastAsia" w:ascii="Times New Roman" w:hAnsi="Times New Roman" w:eastAsia="仿宋" w:cs="Times New Roman"/>
          <w:sz w:val="24"/>
          <w:szCs w:val="24"/>
          <w:highlight w:val="none"/>
        </w:rPr>
        <w:t>招标文件提供的格式中，除明确要求联合体各方签署的之外，均可由联合体牵头人统一签署。</w:t>
      </w:r>
    </w:p>
    <w:p w14:paraId="1392ED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8.投标文件正本和副本可以采用A4幅面纸胶装方式装订成册并编目编码。</w:t>
      </w:r>
    </w:p>
    <w:p w14:paraId="4568B0B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（十一）投标文件的密封</w:t>
      </w:r>
    </w:p>
    <w:p w14:paraId="0962FE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1.投标文件正本和副本可以单独密封包装，也可以将所有投标文件密封包装在一个密封袋内。</w:t>
      </w:r>
    </w:p>
    <w:p w14:paraId="130E64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2.投标文件所有外层应当密封完好。</w:t>
      </w:r>
      <w:r>
        <w:rPr>
          <w:rFonts w:hint="eastAsia" w:ascii="Times New Roman" w:hAnsi="Times New Roman" w:eastAsia="仿宋" w:cs="Times New Roman"/>
          <w:b/>
          <w:sz w:val="24"/>
          <w:szCs w:val="24"/>
          <w:highlight w:val="none"/>
          <w:lang w:eastAsia="zh-CN"/>
        </w:rPr>
        <w:t>（实质性要求）</w:t>
      </w:r>
    </w:p>
    <w:p w14:paraId="124AD5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3.未密封的投标文件，采购人、采购代理机构将拒收或者在法定时间允许的范围内，要求修改完善后接收。</w:t>
      </w:r>
      <w:r>
        <w:rPr>
          <w:rFonts w:hint="eastAsia" w:ascii="Times New Roman" w:hAnsi="Times New Roman" w:eastAsia="仿宋" w:cs="Times New Roman"/>
          <w:b/>
          <w:sz w:val="24"/>
          <w:szCs w:val="24"/>
          <w:highlight w:val="none"/>
          <w:lang w:eastAsia="zh-CN"/>
        </w:rPr>
        <w:t>（实质性要求）</w:t>
      </w:r>
    </w:p>
    <w:p w14:paraId="084BBC1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（十二）投标文件的</w:t>
      </w:r>
      <w:r>
        <w:rPr>
          <w:rFonts w:hint="eastAsia" w:ascii="Times New Roman" w:hAnsi="Times New Roman" w:eastAsia="仿宋" w:cs="Times New Roman"/>
          <w:b/>
          <w:sz w:val="24"/>
          <w:szCs w:val="24"/>
          <w:highlight w:val="none"/>
          <w:lang w:val="en-US" w:eastAsia="zh-CN"/>
        </w:rPr>
        <w:t>提交</w:t>
      </w: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实质性要求</w:t>
      </w:r>
      <w:r>
        <w:rPr>
          <w:rFonts w:hint="eastAsia" w:ascii="Times New Roman" w:hAnsi="Times New Roman" w:eastAsia="仿宋" w:cs="Times New Roman"/>
          <w:b/>
          <w:sz w:val="24"/>
          <w:szCs w:val="24"/>
          <w:highlight w:val="none"/>
          <w:lang w:eastAsia="zh-CN"/>
        </w:rPr>
        <w:t>）</w:t>
      </w:r>
    </w:p>
    <w:p w14:paraId="6E26E9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1.投标文件应在投标截止时间前送达开标地点。</w:t>
      </w:r>
    </w:p>
    <w:p w14:paraId="0594FF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2.</w:t>
      </w:r>
      <w:r>
        <w:rPr>
          <w:rFonts w:hint="eastAsia" w:ascii="Times New Roman" w:hAnsi="Times New Roman" w:eastAsia="仿宋" w:cs="Times New Roman"/>
          <w:sz w:val="24"/>
          <w:szCs w:val="24"/>
          <w:highlight w:val="none"/>
        </w:rPr>
        <w:t>逾期送达或者未密封的投标文件，</w:t>
      </w:r>
      <w:r>
        <w:rPr>
          <w:rFonts w:hint="eastAsia" w:ascii="Times New Roman" w:hAnsi="Times New Roman" w:eastAsia="仿宋" w:cs="Times New Roman"/>
          <w:sz w:val="24"/>
          <w:szCs w:val="24"/>
          <w:highlight w:val="none"/>
          <w:lang w:eastAsia="zh-CN"/>
        </w:rPr>
        <w:t>采购代理机构</w:t>
      </w:r>
      <w:r>
        <w:rPr>
          <w:rFonts w:hint="eastAsia" w:ascii="Times New Roman" w:hAnsi="Times New Roman" w:eastAsia="仿宋" w:cs="Times New Roman"/>
          <w:sz w:val="24"/>
          <w:szCs w:val="24"/>
          <w:highlight w:val="none"/>
        </w:rPr>
        <w:t>应当拒收。</w:t>
      </w:r>
    </w:p>
    <w:p w14:paraId="392739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Times New Roman" w:hAnsi="Times New Roman" w:eastAsia="仿宋" w:cs="Times New Roman"/>
          <w:sz w:val="24"/>
          <w:szCs w:val="24"/>
          <w:highlight w:val="none"/>
          <w:lang w:val="en-US" w:eastAsia="zh-CN"/>
        </w:rPr>
        <w:t>3</w:t>
      </w:r>
      <w:r>
        <w:rPr>
          <w:rFonts w:hint="eastAsia" w:ascii="Times New Roman" w:hAnsi="Times New Roman" w:eastAsia="仿宋" w:cs="Times New Roman"/>
          <w:sz w:val="24"/>
          <w:szCs w:val="24"/>
          <w:highlight w:val="none"/>
        </w:rPr>
        <w:t>.已确认接收的书面投标文件</w:t>
      </w:r>
      <w:r>
        <w:rPr>
          <w:rFonts w:hint="eastAsia" w:ascii="Times New Roman" w:hAnsi="Times New Roman" w:eastAsia="仿宋" w:cs="Times New Roman"/>
          <w:sz w:val="24"/>
          <w:szCs w:val="24"/>
          <w:highlight w:val="none"/>
          <w:lang w:eastAsia="zh-CN"/>
        </w:rPr>
        <w:t>采购代理机构</w:t>
      </w:r>
      <w:r>
        <w:rPr>
          <w:rFonts w:hint="eastAsia" w:ascii="Times New Roman" w:hAnsi="Times New Roman" w:eastAsia="仿宋" w:cs="Times New Roman"/>
          <w:sz w:val="24"/>
          <w:szCs w:val="24"/>
          <w:highlight w:val="none"/>
        </w:rPr>
        <w:t>将不予退回。</w:t>
      </w:r>
    </w:p>
    <w:p w14:paraId="32F9B81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（十三）投标文件的修改和撤回</w:t>
      </w:r>
    </w:p>
    <w:p w14:paraId="09364F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1.投标人在投标截止时间前，可以对所</w:t>
      </w:r>
      <w:r>
        <w:rPr>
          <w:rFonts w:hint="eastAsia" w:ascii="Times New Roman" w:hAnsi="Times New Roman" w:eastAsia="仿宋" w:cs="Times New Roman"/>
          <w:sz w:val="24"/>
          <w:szCs w:val="24"/>
          <w:highlight w:val="none"/>
          <w:lang w:val="en-US" w:eastAsia="zh-CN"/>
        </w:rPr>
        <w:t>提交</w:t>
      </w:r>
      <w:r>
        <w:rPr>
          <w:rFonts w:hint="eastAsia" w:ascii="Times New Roman" w:hAnsi="Times New Roman" w:eastAsia="仿宋" w:cs="Times New Roman"/>
          <w:sz w:val="24"/>
          <w:szCs w:val="24"/>
          <w:highlight w:val="none"/>
        </w:rPr>
        <w:t>的投标文件进行补充、修改或者撤回，并书面通知</w:t>
      </w:r>
      <w:r>
        <w:rPr>
          <w:rFonts w:hint="eastAsia" w:ascii="Times New Roman" w:hAnsi="Times New Roman" w:eastAsia="仿宋" w:cs="Times New Roman"/>
          <w:sz w:val="24"/>
          <w:szCs w:val="24"/>
          <w:highlight w:val="none"/>
          <w:lang w:eastAsia="zh-CN"/>
        </w:rPr>
        <w:t>采购代理机构</w:t>
      </w:r>
      <w:r>
        <w:rPr>
          <w:rFonts w:hint="eastAsia" w:ascii="Times New Roman" w:hAnsi="Times New Roman" w:eastAsia="仿宋" w:cs="Times New Roman"/>
          <w:sz w:val="24"/>
          <w:szCs w:val="24"/>
          <w:highlight w:val="none"/>
        </w:rPr>
        <w:t>。</w:t>
      </w:r>
    </w:p>
    <w:p w14:paraId="57BAB6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2.投标人的补充、修改或者撤回通知书，应由供应商签章。</w:t>
      </w:r>
    </w:p>
    <w:p w14:paraId="01D993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3.投标人补充、修改的内容，应当按照招标文件规定进行密封，并在密封袋或密封盒上标注“修改”字样。</w:t>
      </w:r>
    </w:p>
    <w:p w14:paraId="7E608D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b/>
          <w:sz w:val="28"/>
          <w:szCs w:val="28"/>
          <w:highlight w:val="none"/>
          <w:lang w:eastAsia="zh-CN"/>
        </w:rPr>
      </w:pPr>
      <w:r>
        <w:rPr>
          <w:rFonts w:hint="eastAsia" w:ascii="Times New Roman" w:hAnsi="Times New Roman" w:eastAsia="仿宋" w:cs="Times New Roman"/>
          <w:sz w:val="24"/>
          <w:szCs w:val="24"/>
          <w:highlight w:val="none"/>
        </w:rPr>
        <w:t>4.在投标截止时间之后，投标人不得对其提交的投标文件做任何修改或撤回投标。</w:t>
      </w:r>
    </w:p>
    <w:p w14:paraId="4AD0A770">
      <w:pPr>
        <w:pStyle w:val="37"/>
        <w:keepNext w:val="0"/>
        <w:keepLines w:val="0"/>
        <w:pageBreakBefore w:val="0"/>
        <w:numPr>
          <w:ilvl w:val="0"/>
          <w:numId w:val="0"/>
        </w:numPr>
        <w:kinsoku/>
        <w:wordWrap/>
        <w:overflowPunct/>
        <w:topLinePunct w:val="0"/>
        <w:autoSpaceDE/>
        <w:autoSpaceDN/>
        <w:bidi w:val="0"/>
        <w:snapToGrid/>
        <w:spacing w:line="360" w:lineRule="auto"/>
        <w:ind w:left="562" w:leftChars="0"/>
        <w:jc w:val="center"/>
        <w:outlineLvl w:val="1"/>
        <w:rPr>
          <w:rFonts w:hint="eastAsia" w:ascii="Times New Roman" w:hAnsi="Times New Roman" w:eastAsia="仿宋" w:cs="Times New Roman"/>
          <w:b/>
          <w:sz w:val="28"/>
          <w:szCs w:val="28"/>
          <w:highlight w:val="none"/>
          <w:lang w:eastAsia="zh-CN"/>
        </w:rPr>
      </w:pPr>
      <w:r>
        <w:rPr>
          <w:rFonts w:hint="eastAsia" w:ascii="Times New Roman" w:hAnsi="Times New Roman" w:eastAsia="仿宋" w:cs="Times New Roman"/>
          <w:b/>
          <w:sz w:val="28"/>
          <w:szCs w:val="28"/>
          <w:highlight w:val="none"/>
          <w:lang w:eastAsia="zh-CN"/>
        </w:rPr>
        <w:t>五、开标、资格审查、评标和中标</w:t>
      </w:r>
    </w:p>
    <w:p w14:paraId="079E24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（一）开标</w:t>
      </w:r>
    </w:p>
    <w:p w14:paraId="0A967A6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1.出席开标会</w:t>
      </w:r>
    </w:p>
    <w:p w14:paraId="75CE6B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（1）开标在招标文件规定的时间和地点公开进行，投标人</w:t>
      </w:r>
      <w:r>
        <w:rPr>
          <w:rFonts w:hint="eastAsia" w:ascii="Times New Roman" w:hAnsi="Times New Roman" w:eastAsia="仿宋" w:cs="Times New Roman"/>
          <w:sz w:val="24"/>
          <w:szCs w:val="24"/>
          <w:highlight w:val="none"/>
          <w:lang w:eastAsia="zh-CN"/>
        </w:rPr>
        <w:t>可以</w:t>
      </w:r>
      <w:r>
        <w:rPr>
          <w:rFonts w:hint="eastAsia" w:ascii="Times New Roman" w:hAnsi="Times New Roman" w:eastAsia="仿宋" w:cs="Times New Roman"/>
          <w:sz w:val="24"/>
          <w:szCs w:val="24"/>
          <w:highlight w:val="none"/>
        </w:rPr>
        <w:t>派代表参加并签到以证明其出席</w:t>
      </w:r>
      <w:r>
        <w:rPr>
          <w:rFonts w:hint="eastAsia" w:ascii="Times New Roman" w:hAnsi="Times New Roman" w:eastAsia="仿宋" w:cs="Times New Roman"/>
          <w:sz w:val="24"/>
          <w:szCs w:val="24"/>
          <w:highlight w:val="none"/>
          <w:lang w:eastAsia="zh-CN"/>
        </w:rPr>
        <w:t>。</w:t>
      </w:r>
      <w:r>
        <w:rPr>
          <w:rFonts w:hint="eastAsia" w:ascii="Times New Roman" w:hAnsi="Times New Roman" w:eastAsia="仿宋" w:cs="Times New Roman"/>
          <w:sz w:val="24"/>
          <w:szCs w:val="24"/>
          <w:highlight w:val="none"/>
        </w:rPr>
        <w:t>投标人未参加开标的，视同认可开标结果。开标由</w:t>
      </w:r>
      <w:r>
        <w:rPr>
          <w:rFonts w:hint="eastAsia" w:ascii="Times New Roman" w:hAnsi="Times New Roman" w:eastAsia="仿宋" w:cs="Times New Roman"/>
          <w:sz w:val="24"/>
          <w:szCs w:val="24"/>
          <w:highlight w:val="none"/>
          <w:lang w:val="en-US" w:eastAsia="zh-CN"/>
        </w:rPr>
        <w:t>采购代理机构</w:t>
      </w:r>
      <w:r>
        <w:rPr>
          <w:rFonts w:hint="eastAsia" w:ascii="Times New Roman" w:hAnsi="Times New Roman" w:eastAsia="仿宋" w:cs="Times New Roman"/>
          <w:sz w:val="24"/>
          <w:szCs w:val="24"/>
          <w:highlight w:val="none"/>
        </w:rPr>
        <w:t>主持，评标委员会成员不参加开标活动。</w:t>
      </w:r>
    </w:p>
    <w:p w14:paraId="6D61B2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（2）投标人代表对开标过程和开标记录有疑义，以及认为</w:t>
      </w:r>
      <w:r>
        <w:rPr>
          <w:rFonts w:hint="eastAsia" w:ascii="Times New Roman" w:hAnsi="Times New Roman" w:eastAsia="仿宋" w:cs="Times New Roman"/>
          <w:sz w:val="24"/>
          <w:szCs w:val="24"/>
          <w:highlight w:val="none"/>
          <w:lang w:eastAsia="zh-CN"/>
        </w:rPr>
        <w:t>采购人、采购代理机构</w:t>
      </w:r>
      <w:r>
        <w:rPr>
          <w:rFonts w:hint="eastAsia" w:ascii="Times New Roman" w:hAnsi="Times New Roman" w:eastAsia="仿宋" w:cs="Times New Roman"/>
          <w:sz w:val="24"/>
          <w:szCs w:val="24"/>
          <w:highlight w:val="none"/>
        </w:rPr>
        <w:t>相关工作人员有需要回避的情形的，应当场提出询问或者回避申请。</w:t>
      </w:r>
      <w:r>
        <w:rPr>
          <w:rFonts w:hint="eastAsia" w:ascii="Times New Roman" w:hAnsi="Times New Roman" w:eastAsia="仿宋" w:cs="Times New Roman"/>
          <w:sz w:val="24"/>
          <w:szCs w:val="24"/>
          <w:highlight w:val="none"/>
          <w:lang w:eastAsia="zh-CN"/>
        </w:rPr>
        <w:t>采购人、采购代理机构</w:t>
      </w:r>
      <w:r>
        <w:rPr>
          <w:rFonts w:hint="eastAsia" w:ascii="Times New Roman" w:hAnsi="Times New Roman" w:eastAsia="仿宋" w:cs="Times New Roman"/>
          <w:sz w:val="24"/>
          <w:szCs w:val="24"/>
          <w:highlight w:val="none"/>
        </w:rPr>
        <w:t>对投标人代表提出的询问或者回避申请应当及时处理。</w:t>
      </w:r>
    </w:p>
    <w:p w14:paraId="705D8C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（3）投标人不足3家的，不进行开标。</w:t>
      </w:r>
    </w:p>
    <w:p w14:paraId="1433E09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2.主持人宣布开标会开始</w:t>
      </w:r>
    </w:p>
    <w:p w14:paraId="71AF57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开标时间到，主持人宣布开标会开始并致辞，介绍参加开标会的各方人员。</w:t>
      </w:r>
    </w:p>
    <w:p w14:paraId="6683426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3.主持人宣布会场纪律和有关注意事项。</w:t>
      </w:r>
    </w:p>
    <w:p w14:paraId="0F9DBDD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4.检查投标文件的密封情况</w:t>
      </w:r>
    </w:p>
    <w:p w14:paraId="2ABD1B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（1）主持人组织投标人或者其推选的代表检查投标文件的密封情况。</w:t>
      </w:r>
    </w:p>
    <w:p w14:paraId="2FD71A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（2）投标人或者其推选的代表确认投标文件情况，仅限于确认其自己提交的投标文件的密封情况，而不确认其他投标人的投标文件密封情况。</w:t>
      </w:r>
    </w:p>
    <w:p w14:paraId="72F6B3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（3）任何人不得干扰、阻挠开标工作的正常进行。</w:t>
      </w:r>
    </w:p>
    <w:p w14:paraId="2E6DC2E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5.唱标</w:t>
      </w:r>
    </w:p>
    <w:p w14:paraId="78F06C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w:t>
      </w:r>
      <w:r>
        <w:rPr>
          <w:rFonts w:hint="eastAsia" w:ascii="Times New Roman" w:hAnsi="Times New Roman" w:eastAsia="仿宋" w:cs="Times New Roman"/>
          <w:sz w:val="24"/>
          <w:szCs w:val="24"/>
          <w:highlight w:val="none"/>
          <w:lang w:eastAsia="zh-CN"/>
        </w:rPr>
        <w:t>采购代理机构</w:t>
      </w:r>
      <w:r>
        <w:rPr>
          <w:rFonts w:hint="eastAsia" w:ascii="Times New Roman" w:hAnsi="Times New Roman" w:eastAsia="仿宋" w:cs="Times New Roman"/>
          <w:sz w:val="24"/>
          <w:szCs w:val="24"/>
          <w:highlight w:val="none"/>
        </w:rPr>
        <w:t>工作人员按任意顺序当众开启“开标一览表”，按开标一览表记载内容宣布投标人名称、投标价格和招标文件规定的需要宣布的其他内容。投标人未单独提交“开标一览表”的，</w:t>
      </w:r>
      <w:r>
        <w:rPr>
          <w:rFonts w:hint="eastAsia" w:ascii="Times New Roman" w:hAnsi="Times New Roman" w:eastAsia="仿宋" w:cs="Times New Roman"/>
          <w:sz w:val="24"/>
          <w:szCs w:val="24"/>
          <w:highlight w:val="none"/>
          <w:lang w:eastAsia="zh-CN"/>
        </w:rPr>
        <w:t>采购代理机构</w:t>
      </w:r>
      <w:r>
        <w:rPr>
          <w:rFonts w:hint="eastAsia" w:ascii="Times New Roman" w:hAnsi="Times New Roman" w:eastAsia="仿宋" w:cs="Times New Roman"/>
          <w:sz w:val="24"/>
          <w:szCs w:val="24"/>
          <w:highlight w:val="none"/>
        </w:rPr>
        <w:t>将开启该投标人的投标文件唱标。</w:t>
      </w:r>
    </w:p>
    <w:p w14:paraId="71DF7C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（2）所有投标唱标完毕，如投标人代表对宣读的“开标一览表”上的内容有异议的，应在获得开标会主持人同意后当场提出。如确实属于唱标人员宣读错了的，经现场监督人员核实后，当场予以更正。</w:t>
      </w:r>
    </w:p>
    <w:p w14:paraId="177937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6.宣布开标会结束。主持人宣布开标会结束后，参会人员退场。</w:t>
      </w:r>
    </w:p>
    <w:p w14:paraId="472214A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（二）资格审查</w:t>
      </w:r>
    </w:p>
    <w:p w14:paraId="6A6787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w:t>
      </w:r>
      <w:r>
        <w:rPr>
          <w:rFonts w:hint="eastAsia" w:ascii="Times New Roman" w:hAnsi="Times New Roman" w:eastAsia="仿宋" w:cs="Times New Roman"/>
          <w:sz w:val="24"/>
          <w:szCs w:val="24"/>
          <w:highlight w:val="none"/>
          <w:lang w:eastAsia="zh-CN"/>
        </w:rPr>
        <w:t>采购人或采购代理机构</w:t>
      </w:r>
      <w:r>
        <w:rPr>
          <w:rFonts w:hint="eastAsia" w:ascii="Times New Roman" w:hAnsi="Times New Roman" w:eastAsia="仿宋" w:cs="Times New Roman"/>
          <w:sz w:val="24"/>
          <w:szCs w:val="24"/>
          <w:highlight w:val="none"/>
        </w:rPr>
        <w:t>将依据法律法规和招标文件的规定</w:t>
      </w:r>
      <w:r>
        <w:rPr>
          <w:rFonts w:hint="eastAsia" w:ascii="Times New Roman" w:hAnsi="Times New Roman" w:eastAsia="仿宋" w:cs="Times New Roman"/>
          <w:sz w:val="24"/>
          <w:szCs w:val="24"/>
          <w:highlight w:val="none"/>
          <w:lang w:val="en-US" w:eastAsia="zh-CN"/>
        </w:rPr>
        <w:t>对投标人进行资格审查</w:t>
      </w:r>
      <w:r>
        <w:rPr>
          <w:rFonts w:hint="eastAsia" w:ascii="Times New Roman" w:hAnsi="Times New Roman" w:eastAsia="仿宋" w:cs="Times New Roman"/>
          <w:sz w:val="24"/>
          <w:szCs w:val="24"/>
          <w:highlight w:val="none"/>
        </w:rPr>
        <w:t>。</w:t>
      </w:r>
    </w:p>
    <w:p w14:paraId="31D953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2</w:t>
      </w:r>
      <w:r>
        <w:rPr>
          <w:rFonts w:hint="eastAsia" w:ascii="Times New Roman" w:hAnsi="Times New Roman" w:eastAsia="仿宋" w:cs="Times New Roman"/>
          <w:sz w:val="24"/>
          <w:szCs w:val="24"/>
          <w:highlight w:val="none"/>
        </w:rPr>
        <w:t>.资格审查合格投标人不足3家的，不得评标。</w:t>
      </w:r>
    </w:p>
    <w:p w14:paraId="1C7B7600">
      <w:pPr>
        <w:keepNext w:val="0"/>
        <w:keepLines w:val="0"/>
        <w:pageBreakBefore w:val="0"/>
        <w:kinsoku/>
        <w:wordWrap/>
        <w:overflowPunct/>
        <w:topLinePunct w:val="0"/>
        <w:autoSpaceDE/>
        <w:autoSpaceDN/>
        <w:bidi w:val="0"/>
        <w:snapToGrid/>
        <w:spacing w:line="360" w:lineRule="auto"/>
        <w:ind w:firstLine="482" w:firstLineChars="200"/>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（三）评标</w:t>
      </w:r>
    </w:p>
    <w:p w14:paraId="5FF67E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eastAsia="zh-CN"/>
        </w:rPr>
      </w:pPr>
      <w:r>
        <w:rPr>
          <w:rFonts w:hint="eastAsia" w:ascii="Times New Roman" w:hAnsi="Times New Roman" w:eastAsia="仿宋" w:cs="Times New Roman"/>
          <w:sz w:val="24"/>
          <w:szCs w:val="24"/>
          <w:highlight w:val="none"/>
          <w:lang w:eastAsia="zh-CN"/>
        </w:rPr>
        <w:t>详见第六章。</w:t>
      </w:r>
    </w:p>
    <w:p w14:paraId="34244CF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（四）中标</w:t>
      </w:r>
    </w:p>
    <w:p w14:paraId="24464C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1.采购人根据《评标报告》和采购有关规定，在</w:t>
      </w:r>
      <w:r>
        <w:rPr>
          <w:rFonts w:hint="eastAsia" w:ascii="Times New Roman" w:hAnsi="Times New Roman" w:eastAsia="仿宋" w:cs="Times New Roman"/>
          <w:sz w:val="24"/>
          <w:szCs w:val="24"/>
          <w:highlight w:val="none"/>
          <w:lang w:val="en-US" w:eastAsia="zh-CN"/>
        </w:rPr>
        <w:t>5</w:t>
      </w:r>
      <w:r>
        <w:rPr>
          <w:rFonts w:hint="eastAsia" w:ascii="Times New Roman" w:hAnsi="Times New Roman" w:eastAsia="仿宋" w:cs="Times New Roman"/>
          <w:sz w:val="24"/>
          <w:szCs w:val="24"/>
          <w:highlight w:val="none"/>
        </w:rPr>
        <w:t>个工作日内确定中标人，采购人逾期未确定</w:t>
      </w:r>
      <w:r>
        <w:rPr>
          <w:rFonts w:hint="eastAsia" w:ascii="Times New Roman" w:hAnsi="Times New Roman" w:eastAsia="仿宋" w:cs="Times New Roman"/>
          <w:sz w:val="24"/>
          <w:szCs w:val="24"/>
          <w:highlight w:val="none"/>
          <w:lang w:eastAsia="zh-CN"/>
        </w:rPr>
        <w:t>中标人</w:t>
      </w:r>
      <w:r>
        <w:rPr>
          <w:rFonts w:hint="eastAsia" w:ascii="Times New Roman" w:hAnsi="Times New Roman" w:eastAsia="仿宋" w:cs="Times New Roman"/>
          <w:sz w:val="24"/>
          <w:szCs w:val="24"/>
          <w:highlight w:val="none"/>
        </w:rPr>
        <w:t>，视为确定《评标报告》中排序第一的供应商为</w:t>
      </w:r>
      <w:r>
        <w:rPr>
          <w:rFonts w:hint="eastAsia" w:ascii="Times New Roman" w:hAnsi="Times New Roman" w:eastAsia="仿宋" w:cs="Times New Roman"/>
          <w:sz w:val="24"/>
          <w:szCs w:val="24"/>
          <w:highlight w:val="none"/>
          <w:lang w:eastAsia="zh-CN"/>
        </w:rPr>
        <w:t>中标人</w:t>
      </w:r>
      <w:r>
        <w:rPr>
          <w:rFonts w:hint="eastAsia" w:ascii="Times New Roman" w:hAnsi="Times New Roman" w:eastAsia="仿宋" w:cs="Times New Roman"/>
          <w:sz w:val="24"/>
          <w:szCs w:val="24"/>
          <w:highlight w:val="none"/>
        </w:rPr>
        <w:t>。</w:t>
      </w:r>
    </w:p>
    <w:p w14:paraId="43FA09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w:t>
      </w:r>
      <w:r>
        <w:rPr>
          <w:rFonts w:hint="eastAsia" w:ascii="Times New Roman" w:hAnsi="Times New Roman" w:eastAsia="仿宋" w:cs="Times New Roman"/>
          <w:sz w:val="24"/>
          <w:szCs w:val="24"/>
          <w:highlight w:val="none"/>
          <w:lang w:val="en-US" w:eastAsia="zh-CN"/>
        </w:rPr>
        <w:t>采购代理机构</w:t>
      </w:r>
      <w:r>
        <w:rPr>
          <w:rFonts w:hint="eastAsia" w:ascii="Times New Roman" w:hAnsi="Times New Roman" w:eastAsia="仿宋" w:cs="Times New Roman"/>
          <w:sz w:val="24"/>
          <w:szCs w:val="24"/>
          <w:highlight w:val="none"/>
        </w:rPr>
        <w:t>自收到《中标</w:t>
      </w:r>
      <w:r>
        <w:rPr>
          <w:rFonts w:hint="eastAsia" w:ascii="Times New Roman" w:hAnsi="Times New Roman" w:eastAsia="仿宋" w:cs="Times New Roman"/>
          <w:sz w:val="24"/>
          <w:szCs w:val="24"/>
          <w:highlight w:val="none"/>
          <w:lang w:eastAsia="zh-CN"/>
        </w:rPr>
        <w:t>人</w:t>
      </w:r>
      <w:r>
        <w:rPr>
          <w:rFonts w:hint="eastAsia" w:ascii="Times New Roman" w:hAnsi="Times New Roman" w:eastAsia="仿宋" w:cs="Times New Roman"/>
          <w:sz w:val="24"/>
          <w:szCs w:val="24"/>
          <w:highlight w:val="none"/>
        </w:rPr>
        <w:t>确认书》之日起2个工作日内在指定媒体上公告中标结果，同时发出《中标通知书》。</w:t>
      </w:r>
    </w:p>
    <w:p w14:paraId="3FB3D8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3.《中标通知书》为签订采购合同的依据，是合同的有效组成部分。</w:t>
      </w:r>
    </w:p>
    <w:p w14:paraId="1F8879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4.《中标通知书》对采购人和中标人均具有法律效力。《中标通知书》发出后，采购人改变中标结果，或者中标人无正当理由放弃中标的，应当承担相应的法律责任。</w:t>
      </w:r>
    </w:p>
    <w:p w14:paraId="4EFF60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eastAsia="zh-CN"/>
        </w:rPr>
      </w:pPr>
      <w:r>
        <w:rPr>
          <w:rFonts w:hint="eastAsia" w:ascii="Times New Roman" w:hAnsi="Times New Roman" w:eastAsia="仿宋" w:cs="Times New Roman"/>
          <w:sz w:val="24"/>
          <w:szCs w:val="24"/>
          <w:highlight w:val="none"/>
        </w:rPr>
        <w:t>5.中标人的投标文件本应作为无效投标处理或者有</w:t>
      </w:r>
      <w:r>
        <w:rPr>
          <w:rFonts w:hint="eastAsia" w:ascii="Times New Roman" w:hAnsi="Times New Roman" w:eastAsia="仿宋" w:cs="Times New Roman"/>
          <w:sz w:val="24"/>
          <w:szCs w:val="24"/>
          <w:highlight w:val="none"/>
          <w:lang w:eastAsia="zh-CN"/>
        </w:rPr>
        <w:t>其他规定</w:t>
      </w:r>
      <w:r>
        <w:rPr>
          <w:rFonts w:hint="eastAsia" w:ascii="Times New Roman" w:hAnsi="Times New Roman" w:eastAsia="仿宋" w:cs="Times New Roman"/>
          <w:sz w:val="24"/>
          <w:szCs w:val="24"/>
          <w:highlight w:val="none"/>
        </w:rPr>
        <w:t>无效情形的，采购人在取得有权主体的认定以后，应当宣布发出的《中标通知书》无效，并收回已发出的《中标通知书》，依法重新确定中标人或者重新开展采购活动。</w:t>
      </w:r>
    </w:p>
    <w:p w14:paraId="4A6B290C">
      <w:pPr>
        <w:pStyle w:val="37"/>
        <w:keepNext w:val="0"/>
        <w:keepLines w:val="0"/>
        <w:pageBreakBefore w:val="0"/>
        <w:numPr>
          <w:ilvl w:val="0"/>
          <w:numId w:val="0"/>
        </w:numPr>
        <w:kinsoku/>
        <w:wordWrap/>
        <w:overflowPunct/>
        <w:topLinePunct w:val="0"/>
        <w:autoSpaceDE/>
        <w:autoSpaceDN/>
        <w:bidi w:val="0"/>
        <w:snapToGrid/>
        <w:spacing w:line="360" w:lineRule="auto"/>
        <w:ind w:left="562" w:leftChars="0"/>
        <w:jc w:val="center"/>
        <w:outlineLvl w:val="1"/>
        <w:rPr>
          <w:rFonts w:hint="eastAsia" w:ascii="Times New Roman" w:hAnsi="Times New Roman" w:eastAsia="仿宋" w:cs="Times New Roman"/>
          <w:b/>
          <w:sz w:val="28"/>
          <w:szCs w:val="28"/>
          <w:highlight w:val="none"/>
          <w:lang w:eastAsia="zh-CN"/>
        </w:rPr>
      </w:pPr>
      <w:r>
        <w:rPr>
          <w:rFonts w:hint="eastAsia" w:ascii="Times New Roman" w:hAnsi="Times New Roman" w:eastAsia="仿宋" w:cs="Times New Roman"/>
          <w:b/>
          <w:sz w:val="28"/>
          <w:szCs w:val="28"/>
          <w:highlight w:val="none"/>
          <w:lang w:eastAsia="zh-CN"/>
        </w:rPr>
        <w:t>六、签订、履行合同及验收</w:t>
      </w:r>
    </w:p>
    <w:p w14:paraId="2890FCC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rPr>
        <w:t>一</w:t>
      </w: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rPr>
        <w:t>履约保证金（实质性要求）</w:t>
      </w:r>
    </w:p>
    <w:p w14:paraId="4CFFC2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eastAsia="zh-CN"/>
        </w:rPr>
      </w:pPr>
      <w:r>
        <w:rPr>
          <w:rFonts w:hint="eastAsia" w:ascii="Times New Roman" w:hAnsi="Times New Roman" w:eastAsia="仿宋" w:cs="Times New Roman"/>
          <w:sz w:val="24"/>
          <w:szCs w:val="24"/>
          <w:highlight w:val="none"/>
          <w:lang w:val="en-US" w:eastAsia="zh-CN"/>
        </w:rPr>
        <w:t>1.本项目是否交纳履约保证金，以“投标人须知附表”为准。</w:t>
      </w:r>
    </w:p>
    <w:p w14:paraId="70C010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2.</w:t>
      </w:r>
      <w:r>
        <w:rPr>
          <w:rFonts w:hint="eastAsia" w:ascii="Times New Roman" w:hAnsi="Times New Roman" w:eastAsia="仿宋" w:cs="Times New Roman"/>
          <w:b/>
          <w:sz w:val="24"/>
          <w:szCs w:val="24"/>
          <w:highlight w:val="none"/>
          <w:lang w:val="en-US" w:eastAsia="zh-CN"/>
        </w:rPr>
        <w:t>（以下仅适用于交纳履约保证金的情形）</w:t>
      </w:r>
      <w:r>
        <w:rPr>
          <w:rFonts w:hint="eastAsia" w:ascii="Times New Roman" w:hAnsi="Times New Roman" w:eastAsia="仿宋" w:cs="Times New Roman"/>
          <w:sz w:val="24"/>
          <w:szCs w:val="24"/>
          <w:highlight w:val="none"/>
        </w:rPr>
        <w:t>中标人应在合同签订之前交纳招标文件规定数额的履约保证金。（见“投标人须知附表”）</w:t>
      </w:r>
    </w:p>
    <w:p w14:paraId="5E29C9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3.</w:t>
      </w:r>
      <w:r>
        <w:rPr>
          <w:rFonts w:hint="eastAsia" w:ascii="Times New Roman" w:hAnsi="Times New Roman" w:eastAsia="仿宋" w:cs="Times New Roman"/>
          <w:sz w:val="24"/>
          <w:szCs w:val="24"/>
          <w:highlight w:val="none"/>
        </w:rPr>
        <w:t>如果中标人在规定的合同签订时间内，没有按照招标文件的规定交纳履约保证金，且又无正当理由的，将视为放弃中标。</w:t>
      </w:r>
    </w:p>
    <w:p w14:paraId="40C3AF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eastAsia="zh-CN"/>
        </w:rPr>
      </w:pPr>
      <w:r>
        <w:rPr>
          <w:rFonts w:hint="eastAsia" w:ascii="Times New Roman" w:hAnsi="Times New Roman" w:eastAsia="仿宋" w:cs="Times New Roman"/>
          <w:sz w:val="24"/>
          <w:szCs w:val="24"/>
          <w:highlight w:val="none"/>
          <w:lang w:val="en-US" w:eastAsia="zh-CN"/>
        </w:rPr>
        <w:t>4.</w:t>
      </w:r>
      <w:r>
        <w:rPr>
          <w:rFonts w:hint="eastAsia" w:ascii="Times New Roman" w:hAnsi="Times New Roman" w:eastAsia="仿宋" w:cs="Times New Roman"/>
          <w:sz w:val="24"/>
          <w:szCs w:val="24"/>
          <w:highlight w:val="none"/>
        </w:rPr>
        <w:t>履约保证金退还方式及时间：</w:t>
      </w:r>
      <w:r>
        <w:rPr>
          <w:rFonts w:hint="eastAsia" w:ascii="Times New Roman" w:hAnsi="Times New Roman" w:eastAsia="仿宋" w:cs="Times New Roman"/>
          <w:sz w:val="24"/>
          <w:szCs w:val="24"/>
          <w:highlight w:val="none"/>
          <w:lang w:val="en-US" w:eastAsia="zh-CN"/>
        </w:rPr>
        <w:t>以“投标人须知附表”为准。</w:t>
      </w:r>
    </w:p>
    <w:p w14:paraId="1B5B54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eastAsia="zh-CN"/>
        </w:rPr>
      </w:pPr>
      <w:r>
        <w:rPr>
          <w:rFonts w:hint="eastAsia" w:ascii="Times New Roman" w:hAnsi="Times New Roman" w:eastAsia="仿宋" w:cs="Times New Roman"/>
          <w:sz w:val="24"/>
          <w:szCs w:val="24"/>
          <w:highlight w:val="none"/>
          <w:lang w:val="en-US" w:eastAsia="zh-CN"/>
        </w:rPr>
        <w:t>5.</w:t>
      </w:r>
      <w:r>
        <w:rPr>
          <w:rFonts w:hint="eastAsia" w:ascii="Times New Roman" w:hAnsi="Times New Roman" w:eastAsia="仿宋" w:cs="Times New Roman"/>
          <w:sz w:val="24"/>
          <w:szCs w:val="24"/>
          <w:highlight w:val="none"/>
        </w:rPr>
        <w:t>履约保证金不予退还情形：</w:t>
      </w:r>
    </w:p>
    <w:p w14:paraId="6D1863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eastAsia="zh-CN"/>
        </w:rPr>
      </w:pPr>
      <w:r>
        <w:rPr>
          <w:rFonts w:hint="eastAsia" w:ascii="Times New Roman" w:hAnsi="Times New Roman" w:eastAsia="仿宋" w:cs="Times New Roman"/>
          <w:sz w:val="24"/>
          <w:szCs w:val="24"/>
          <w:highlight w:val="none"/>
        </w:rPr>
        <w:t>（1）中标人不履行与采购人订立的合同的，给采购人造成的损失超过履约保证金数额的，还应当对超过部分予以赔偿；</w:t>
      </w:r>
    </w:p>
    <w:p w14:paraId="32D182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eastAsia="zh-CN"/>
        </w:rPr>
      </w:pPr>
      <w:r>
        <w:rPr>
          <w:rFonts w:hint="eastAsia" w:ascii="Times New Roman" w:hAnsi="Times New Roman" w:eastAsia="仿宋" w:cs="Times New Roman"/>
          <w:sz w:val="24"/>
          <w:szCs w:val="24"/>
          <w:highlight w:val="none"/>
        </w:rPr>
        <w:t>（2）项目验收结果不合格的；</w:t>
      </w:r>
    </w:p>
    <w:p w14:paraId="25A72F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eastAsia="zh-CN"/>
        </w:rPr>
      </w:pPr>
      <w:r>
        <w:rPr>
          <w:rFonts w:hint="eastAsia" w:ascii="Times New Roman" w:hAnsi="Times New Roman" w:eastAsia="仿宋" w:cs="Times New Roman"/>
          <w:sz w:val="24"/>
          <w:szCs w:val="24"/>
          <w:highlight w:val="none"/>
        </w:rPr>
        <w:t>（3）其他违反国家相关法律法规的情形；</w:t>
      </w:r>
    </w:p>
    <w:p w14:paraId="2D9EA3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（4）招标文件中规定不予退还的情形。</w:t>
      </w:r>
    </w:p>
    <w:p w14:paraId="6660F0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Times New Roman" w:hAnsi="Times New Roman" w:eastAsia="仿宋" w:cs="Times New Roman"/>
          <w:sz w:val="24"/>
          <w:szCs w:val="24"/>
          <w:highlight w:val="none"/>
          <w:lang w:val="en-US" w:eastAsia="zh-CN"/>
        </w:rPr>
        <w:t>6.</w:t>
      </w:r>
      <w:r>
        <w:rPr>
          <w:rFonts w:hint="eastAsia" w:ascii="Times New Roman" w:hAnsi="Times New Roman" w:eastAsia="仿宋" w:cs="Times New Roman"/>
          <w:sz w:val="24"/>
          <w:szCs w:val="24"/>
          <w:highlight w:val="none"/>
        </w:rPr>
        <w:t>履约保证金不予退还的，将按照有关规定上缴国库。逾期退还履约保证金的，将依法承担法律责任。</w:t>
      </w:r>
    </w:p>
    <w:p w14:paraId="74D3480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rPr>
        <w:t>二</w:t>
      </w:r>
      <w:r>
        <w:rPr>
          <w:rFonts w:ascii="Times New Roman" w:hAnsi="Times New Roman" w:eastAsia="仿宋" w:cs="Times New Roman"/>
          <w:b/>
          <w:sz w:val="24"/>
          <w:szCs w:val="24"/>
          <w:highlight w:val="none"/>
        </w:rPr>
        <w:t>）签订合同</w:t>
      </w:r>
    </w:p>
    <w:p w14:paraId="59603E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1.中标人应在中标通知书发出之日起30日内与采购人签订采购合同。由于中标人的原因逾期未与采购人签订采购合同的，将视为放弃中标，取消其中标资格并将按相关规定进行处理。</w:t>
      </w:r>
    </w:p>
    <w:p w14:paraId="04428A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2.采购人不得向中标人提出任何不合理的要求，作为签订合同的条件，不得与中标人私下订立背离合同实质性内容的任何协议，所签订的合同不得对招标文件和中标人投标文件确定的事项进行实质性修改。</w:t>
      </w:r>
    </w:p>
    <w:p w14:paraId="04D5F2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ascii="Times New Roman" w:hAnsi="Times New Roman" w:eastAsia="仿宋" w:cs="Times New Roman"/>
          <w:sz w:val="24"/>
          <w:szCs w:val="24"/>
          <w:highlight w:val="none"/>
          <w:lang w:val="en-US" w:eastAsia="zh-CN"/>
        </w:rPr>
        <w:t>3.中标人拒绝与采购人签订合同的，采购人可以按照评审报告推荐的中标候选人名单排序，确定下一候选人为中标供应商，也可以重新开展采购活动。</w:t>
      </w:r>
    </w:p>
    <w:p w14:paraId="0538A1B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eastAsia="zh-CN"/>
        </w:rPr>
      </w:pP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rPr>
        <w:t>三</w:t>
      </w:r>
      <w:r>
        <w:rPr>
          <w:rFonts w:ascii="Times New Roman" w:hAnsi="Times New Roman" w:eastAsia="仿宋" w:cs="Times New Roman"/>
          <w:b/>
          <w:sz w:val="24"/>
          <w:szCs w:val="24"/>
          <w:highlight w:val="none"/>
        </w:rPr>
        <w:t>）合同分包</w:t>
      </w: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实质性要求</w:t>
      </w:r>
      <w:r>
        <w:rPr>
          <w:rFonts w:hint="eastAsia" w:ascii="Times New Roman" w:hAnsi="Times New Roman" w:eastAsia="仿宋" w:cs="Times New Roman"/>
          <w:b/>
          <w:sz w:val="24"/>
          <w:szCs w:val="24"/>
          <w:highlight w:val="none"/>
          <w:lang w:eastAsia="zh-CN"/>
        </w:rPr>
        <w:t>）</w:t>
      </w:r>
    </w:p>
    <w:p w14:paraId="26AF29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1.本项目合同接受分包与否，以“投标人须知附表”勾选项为准。</w:t>
      </w:r>
    </w:p>
    <w:p w14:paraId="287C15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r>
        <w:rPr>
          <w:rFonts w:eastAsia="仿宋"/>
          <w:b/>
          <w:bCs w:val="0"/>
          <w:sz w:val="24"/>
          <w:highlight w:val="none"/>
        </w:rPr>
        <w:t>（</w:t>
      </w:r>
      <w:r>
        <w:rPr>
          <w:rFonts w:hint="eastAsia" w:eastAsia="仿宋"/>
          <w:b/>
          <w:bCs w:val="0"/>
          <w:sz w:val="24"/>
          <w:highlight w:val="none"/>
          <w:lang w:eastAsia="zh-CN"/>
        </w:rPr>
        <w:t>以下</w:t>
      </w:r>
      <w:r>
        <w:rPr>
          <w:rFonts w:hint="eastAsia" w:eastAsia="仿宋"/>
          <w:b/>
          <w:bCs w:val="0"/>
          <w:sz w:val="24"/>
          <w:highlight w:val="none"/>
          <w:lang w:val="en-US" w:eastAsia="zh-CN"/>
        </w:rPr>
        <w:t>仅适用</w:t>
      </w:r>
      <w:r>
        <w:rPr>
          <w:rFonts w:hint="eastAsia" w:eastAsia="仿宋"/>
          <w:b/>
          <w:bCs w:val="0"/>
          <w:sz w:val="24"/>
          <w:highlight w:val="none"/>
          <w:lang w:eastAsia="zh-CN"/>
        </w:rPr>
        <w:t>接受</w:t>
      </w:r>
      <w:r>
        <w:rPr>
          <w:rFonts w:hint="eastAsia" w:ascii="Times New Roman" w:hAnsi="Times New Roman" w:eastAsia="仿宋" w:cs="Times New Roman"/>
          <w:b/>
          <w:bCs w:val="0"/>
          <w:sz w:val="24"/>
          <w:szCs w:val="24"/>
          <w:highlight w:val="none"/>
          <w:lang w:val="en-US" w:eastAsia="zh-CN"/>
        </w:rPr>
        <w:t>合同分包</w:t>
      </w:r>
      <w:r>
        <w:rPr>
          <w:rFonts w:hint="eastAsia" w:eastAsia="仿宋"/>
          <w:b/>
          <w:bCs w:val="0"/>
          <w:sz w:val="24"/>
          <w:highlight w:val="none"/>
          <w:lang w:val="en-US" w:eastAsia="zh-CN"/>
        </w:rPr>
        <w:t>的情形</w:t>
      </w:r>
      <w:r>
        <w:rPr>
          <w:rFonts w:eastAsia="仿宋"/>
          <w:b/>
          <w:bCs w:val="0"/>
          <w:sz w:val="24"/>
          <w:highlight w:val="none"/>
        </w:rPr>
        <w:t>）</w:t>
      </w:r>
      <w:r>
        <w:rPr>
          <w:rFonts w:hint="eastAsia" w:ascii="Times New Roman" w:hAnsi="Times New Roman" w:eastAsia="仿宋" w:cs="Times New Roman"/>
          <w:sz w:val="24"/>
          <w:szCs w:val="24"/>
          <w:highlight w:val="none"/>
          <w:lang w:val="en-US" w:eastAsia="zh-CN"/>
        </w:rPr>
        <w:t>采购人允许投标人将项目非主体、非关键性工作交由他人完成投标人拟在中标后将中标项目的非主体、非关键性工作分包的，应当在投标文件中载明分包承担主体，分包承担主体应当具备相应资质条件且不得再次分包。并且分包供应商履行的分包项目的品牌、规格型号及技术要求等，必须与中标的一致。分包履行合同的部分应当为采购项目的非主体、非关键性工作，不属于中标人的主要合同义务。</w:t>
      </w:r>
    </w:p>
    <w:p w14:paraId="42C359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3.采购合同实行分包履行的，中标人就采购项目和分包项目向采购人负责，分包供应商就分包项目承担责任。</w:t>
      </w:r>
    </w:p>
    <w:p w14:paraId="044E7C0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四</w:t>
      </w: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rPr>
        <w:t>合同转包（实质性要求）</w:t>
      </w:r>
    </w:p>
    <w:p w14:paraId="299264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本采购项目严禁中标人将任何采购合同义务转包。本项目所称转包，是指中标人将采购合同义务转让给第三人，并退出现有采购合同当事人双方的权利义务关系，受让人（即第三人）成为采购合同的另一方当事人的行为。</w:t>
      </w:r>
    </w:p>
    <w:p w14:paraId="0B8480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ascii="Times New Roman" w:hAnsi="Times New Roman" w:eastAsia="仿宋" w:cs="Times New Roman"/>
          <w:sz w:val="24"/>
          <w:szCs w:val="24"/>
          <w:highlight w:val="none"/>
          <w:lang w:val="en-US" w:eastAsia="zh-CN"/>
        </w:rPr>
        <w:t>中标人转包的，视同拒绝履行采购合同义务，将依法追究法律责任。</w:t>
      </w:r>
    </w:p>
    <w:p w14:paraId="3884746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lang w:val="en-US" w:eastAsia="zh-CN"/>
        </w:rPr>
        <w:t>五</w:t>
      </w:r>
      <w:r>
        <w:rPr>
          <w:rFonts w:ascii="Times New Roman" w:hAnsi="Times New Roman" w:eastAsia="仿宋" w:cs="Times New Roman"/>
          <w:b/>
          <w:sz w:val="24"/>
          <w:szCs w:val="24"/>
          <w:highlight w:val="none"/>
        </w:rPr>
        <w:t>）履行合同</w:t>
      </w:r>
    </w:p>
    <w:p w14:paraId="43CCC7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1.中标人与采购人签订合同后，合同双方应严格执行合同条款，履行合同规定的义务，保证合同的顺利完成。</w:t>
      </w:r>
    </w:p>
    <w:p w14:paraId="3D53FD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Times New Roman" w:hAnsi="Times New Roman" w:eastAsia="仿宋" w:cs="Times New Roman"/>
          <w:sz w:val="24"/>
          <w:szCs w:val="24"/>
          <w:highlight w:val="none"/>
        </w:rPr>
        <w:t>2.在合同履行过程中，如发生合同纠纷，合同双方应按照《中华人民共和国民法典》的有关规定进行处理。</w:t>
      </w:r>
    </w:p>
    <w:p w14:paraId="243B99F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lang w:val="en-US" w:eastAsia="zh-CN"/>
        </w:rPr>
        <w:t>六</w:t>
      </w:r>
      <w:r>
        <w:rPr>
          <w:rFonts w:ascii="Times New Roman" w:hAnsi="Times New Roman" w:eastAsia="仿宋" w:cs="Times New Roman"/>
          <w:b/>
          <w:sz w:val="24"/>
          <w:szCs w:val="24"/>
          <w:highlight w:val="none"/>
        </w:rPr>
        <w:t>）验收</w:t>
      </w:r>
    </w:p>
    <w:p w14:paraId="33EB39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1.</w:t>
      </w:r>
      <w:r>
        <w:rPr>
          <w:rFonts w:hint="eastAsia" w:ascii="Times New Roman" w:hAnsi="Times New Roman" w:eastAsia="仿宋" w:cs="Times New Roman"/>
          <w:sz w:val="24"/>
          <w:szCs w:val="24"/>
          <w:highlight w:val="none"/>
        </w:rPr>
        <w:t>本项目采购人及其委托的采购代理机构将</w:t>
      </w:r>
      <w:r>
        <w:rPr>
          <w:rFonts w:hint="eastAsia" w:ascii="Times New Roman" w:hAnsi="Times New Roman" w:eastAsia="仿宋" w:cs="Times New Roman"/>
          <w:sz w:val="24"/>
          <w:szCs w:val="24"/>
          <w:highlight w:val="none"/>
          <w:lang w:eastAsia="zh-CN"/>
        </w:rPr>
        <w:t>参照</w:t>
      </w:r>
      <w:r>
        <w:rPr>
          <w:rFonts w:hint="eastAsia" w:ascii="Times New Roman" w:hAnsi="Times New Roman" w:eastAsia="仿宋" w:cs="Times New Roman"/>
          <w:sz w:val="24"/>
          <w:szCs w:val="24"/>
          <w:highlight w:val="none"/>
        </w:rPr>
        <w:t>政府采购相关法律法规以及《财政部关于进一步加强政府采购需求和履约验收管理的指导意见》（财库〔2016〕205号）、《政府采购需求管理办法》（财库〔2021〕22号）的要求进行验收。</w:t>
      </w:r>
    </w:p>
    <w:p w14:paraId="4CBAAE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
          <w:highlight w:val="none"/>
          <w:lang w:eastAsia="zh-CN"/>
        </w:rPr>
      </w:pPr>
      <w:r>
        <w:rPr>
          <w:rFonts w:hint="eastAsia" w:ascii="Times New Roman" w:hAnsi="Times New Roman" w:eastAsia="仿宋" w:cs="Times New Roman"/>
          <w:sz w:val="24"/>
          <w:szCs w:val="24"/>
          <w:highlight w:val="none"/>
          <w:lang w:val="en-US" w:eastAsia="zh-CN"/>
        </w:rPr>
        <w:t>2.</w:t>
      </w:r>
      <w:r>
        <w:rPr>
          <w:rFonts w:hint="eastAsia" w:ascii="Times New Roman" w:hAnsi="Times New Roman" w:eastAsia="仿宋" w:cs="Times New Roman"/>
          <w:sz w:val="24"/>
          <w:szCs w:val="24"/>
          <w:highlight w:val="none"/>
        </w:rPr>
        <w:t>验收结果合格的，中标人凭验收报告办理相关手续；验收结果不合格的，履约保证金将不予退还，也将不予支付采购资金</w:t>
      </w:r>
      <w:r>
        <w:rPr>
          <w:rFonts w:hint="eastAsia" w:ascii="Times New Roman" w:hAnsi="Times New Roman" w:eastAsia="仿宋" w:cs="Times New Roman"/>
          <w:sz w:val="24"/>
          <w:szCs w:val="24"/>
          <w:highlight w:val="none"/>
          <w:lang w:eastAsia="zh-CN"/>
        </w:rPr>
        <w:t>。</w:t>
      </w:r>
    </w:p>
    <w:p w14:paraId="764E210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lang w:val="en-US" w:eastAsia="zh-CN"/>
        </w:rPr>
        <w:t>七</w:t>
      </w: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lang w:eastAsia="zh-CN"/>
        </w:rPr>
        <w:t>合同价款</w:t>
      </w:r>
      <w:r>
        <w:rPr>
          <w:rFonts w:hint="eastAsia" w:ascii="Times New Roman" w:hAnsi="Times New Roman" w:eastAsia="仿宋" w:cs="Times New Roman"/>
          <w:b/>
          <w:sz w:val="24"/>
          <w:szCs w:val="24"/>
          <w:highlight w:val="none"/>
        </w:rPr>
        <w:t>支付</w:t>
      </w:r>
    </w:p>
    <w:p w14:paraId="1D245B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Times New Roman" w:hAnsi="Times New Roman" w:eastAsia="仿宋" w:cs="Times New Roman"/>
          <w:sz w:val="24"/>
          <w:szCs w:val="24"/>
          <w:highlight w:val="none"/>
        </w:rPr>
        <w:t>采购人将按照采购合同规定，及时向中标供应商支付采购资金。本项目采购资金付款详见第</w:t>
      </w:r>
      <w:r>
        <w:rPr>
          <w:rFonts w:hint="eastAsia" w:ascii="Times New Roman" w:hAnsi="Times New Roman" w:eastAsia="仿宋" w:cs="Times New Roman"/>
          <w:sz w:val="24"/>
          <w:szCs w:val="24"/>
          <w:highlight w:val="none"/>
          <w:lang w:val="en-US" w:eastAsia="zh-CN"/>
        </w:rPr>
        <w:t>五</w:t>
      </w:r>
      <w:r>
        <w:rPr>
          <w:rFonts w:hint="eastAsia" w:ascii="Times New Roman" w:hAnsi="Times New Roman" w:eastAsia="仿宋" w:cs="Times New Roman"/>
          <w:sz w:val="24"/>
          <w:szCs w:val="24"/>
          <w:highlight w:val="none"/>
        </w:rPr>
        <w:t>章商务要求中付款方式。</w:t>
      </w:r>
    </w:p>
    <w:p w14:paraId="218013D9">
      <w:pPr>
        <w:pStyle w:val="37"/>
        <w:keepNext w:val="0"/>
        <w:keepLines w:val="0"/>
        <w:pageBreakBefore w:val="0"/>
        <w:numPr>
          <w:ilvl w:val="0"/>
          <w:numId w:val="6"/>
        </w:numPr>
        <w:kinsoku/>
        <w:wordWrap/>
        <w:overflowPunct/>
        <w:topLinePunct w:val="0"/>
        <w:autoSpaceDE/>
        <w:autoSpaceDN/>
        <w:bidi w:val="0"/>
        <w:snapToGrid/>
        <w:spacing w:line="360" w:lineRule="auto"/>
        <w:ind w:left="562" w:leftChars="0"/>
        <w:jc w:val="center"/>
        <w:outlineLvl w:val="1"/>
        <w:rPr>
          <w:rFonts w:hint="eastAsia" w:ascii="Times New Roman" w:hAnsi="Times New Roman" w:eastAsia="仿宋" w:cs="Times New Roman"/>
          <w:b/>
          <w:sz w:val="28"/>
          <w:szCs w:val="28"/>
          <w:highlight w:val="none"/>
          <w:lang w:eastAsia="zh-CN"/>
        </w:rPr>
      </w:pPr>
      <w:r>
        <w:rPr>
          <w:rFonts w:hint="eastAsia" w:ascii="Times New Roman" w:hAnsi="Times New Roman" w:eastAsia="仿宋" w:cs="Times New Roman"/>
          <w:b/>
          <w:sz w:val="28"/>
          <w:szCs w:val="28"/>
          <w:highlight w:val="none"/>
          <w:lang w:eastAsia="zh-CN"/>
        </w:rPr>
        <w:t>供应商的禁止性行为要求（</w:t>
      </w:r>
      <w:r>
        <w:rPr>
          <w:rFonts w:hint="eastAsia" w:ascii="Times New Roman" w:hAnsi="Times New Roman" w:eastAsia="仿宋" w:cs="Times New Roman"/>
          <w:b/>
          <w:sz w:val="28"/>
          <w:szCs w:val="28"/>
          <w:highlight w:val="none"/>
          <w:lang w:val="en-US" w:eastAsia="zh-CN"/>
        </w:rPr>
        <w:t>实质性要求</w:t>
      </w:r>
      <w:r>
        <w:rPr>
          <w:rFonts w:hint="eastAsia" w:ascii="Times New Roman" w:hAnsi="Times New Roman" w:eastAsia="仿宋" w:cs="Times New Roman"/>
          <w:b/>
          <w:sz w:val="28"/>
          <w:szCs w:val="28"/>
          <w:highlight w:val="none"/>
          <w:lang w:eastAsia="zh-CN"/>
        </w:rPr>
        <w:t>）</w:t>
      </w:r>
    </w:p>
    <w:p w14:paraId="34A1B05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一</w:t>
      </w: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rPr>
        <w:t>投标人纪律要求</w:t>
      </w:r>
    </w:p>
    <w:p w14:paraId="2A99C0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1.</w:t>
      </w:r>
      <w:r>
        <w:rPr>
          <w:rFonts w:hint="eastAsia" w:ascii="Times New Roman" w:hAnsi="Times New Roman" w:eastAsia="仿宋" w:cs="Times New Roman"/>
          <w:sz w:val="24"/>
          <w:szCs w:val="24"/>
          <w:highlight w:val="none"/>
        </w:rPr>
        <w:t>投标人应当遵循公平竞争的原则，不得恶意串通，不得妨碍其他投标人的竞争行为，不得损害采购人或者其他投标人的合法权益。</w:t>
      </w:r>
    </w:p>
    <w:p w14:paraId="43C3D5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b/>
          <w:sz w:val="24"/>
          <w:szCs w:val="24"/>
          <w:highlight w:val="none"/>
          <w:lang w:eastAsia="zh-CN"/>
        </w:rPr>
      </w:pPr>
      <w:r>
        <w:rPr>
          <w:rFonts w:hint="eastAsia" w:ascii="Times New Roman" w:hAnsi="Times New Roman" w:eastAsia="仿宋" w:cs="Times New Roman"/>
          <w:sz w:val="24"/>
          <w:szCs w:val="24"/>
          <w:highlight w:val="none"/>
          <w:lang w:val="en-US" w:eastAsia="zh-CN"/>
        </w:rPr>
        <w:t>2.</w:t>
      </w:r>
      <w:r>
        <w:rPr>
          <w:rFonts w:hint="eastAsia" w:ascii="Times New Roman" w:hAnsi="Times New Roman" w:eastAsia="仿宋" w:cs="Times New Roman"/>
          <w:sz w:val="24"/>
          <w:szCs w:val="24"/>
          <w:highlight w:val="none"/>
        </w:rPr>
        <w:t>在评标过程中发现投标人有上述情形的，评标委员会应当认定其投标无效。</w:t>
      </w:r>
    </w:p>
    <w:p w14:paraId="146E105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eastAsia="zh-CN"/>
        </w:rPr>
      </w:pP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二</w:t>
      </w:r>
      <w:r>
        <w:rPr>
          <w:rFonts w:hint="eastAsia" w:ascii="Times New Roman" w:hAnsi="Times New Roman" w:eastAsia="仿宋" w:cs="Times New Roman"/>
          <w:b/>
          <w:sz w:val="24"/>
          <w:szCs w:val="24"/>
          <w:highlight w:val="none"/>
          <w:lang w:eastAsia="zh-CN"/>
        </w:rPr>
        <w:t>）投标人参加本项目投标不得有下列情形</w:t>
      </w:r>
    </w:p>
    <w:p w14:paraId="0F87DD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1.提供虚假材料谋取中标；</w:t>
      </w:r>
    </w:p>
    <w:p w14:paraId="45D35A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2.采取不正当手段诋毁、排挤其他投标人；</w:t>
      </w:r>
    </w:p>
    <w:p w14:paraId="09727C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3.与采购人或采购代理机构、其他投标人恶意串通；</w:t>
      </w:r>
    </w:p>
    <w:p w14:paraId="662D32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4.向采购人或采购代理机构、评标委员会成员行贿或者提供其他不正当利益；</w:t>
      </w:r>
    </w:p>
    <w:p w14:paraId="03A9DF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5.在招标过程中与采购人或采购代理机构进行协商谈判；</w:t>
      </w:r>
    </w:p>
    <w:p w14:paraId="1F5CFD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6.中标后无正当理由拒不与采购人签订采购合同；</w:t>
      </w:r>
    </w:p>
    <w:p w14:paraId="2EFB28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7.未按照采购文件确定的事项签订采购合同；</w:t>
      </w:r>
    </w:p>
    <w:p w14:paraId="0DE2C1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8.将采购合同转包或者违规分包；</w:t>
      </w:r>
    </w:p>
    <w:p w14:paraId="7DE272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9.提供假冒伪劣产品；</w:t>
      </w:r>
    </w:p>
    <w:p w14:paraId="5DF2D0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10.擅自变更、中止或者终止采购合同；</w:t>
      </w:r>
    </w:p>
    <w:p w14:paraId="4CBF28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11.拒绝有关部门的监督检查或者向监督检查部门提供虚假情况；</w:t>
      </w:r>
    </w:p>
    <w:p w14:paraId="6D1FF3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12.法律法规规定的其他禁止情形。</w:t>
      </w:r>
    </w:p>
    <w:p w14:paraId="64B93F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投标人有上述情形的，按照规定追究法律责任，具备一至十一条情形之一的，其投标文件无效，或取消被确认为中标供应商的资格或认定中标无效。</w:t>
      </w:r>
    </w:p>
    <w:p w14:paraId="53B8EB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eastAsia="zh-CN"/>
        </w:rPr>
      </w:pP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三</w:t>
      </w:r>
      <w:r>
        <w:rPr>
          <w:rFonts w:hint="eastAsia" w:ascii="Times New Roman" w:hAnsi="Times New Roman" w:eastAsia="仿宋" w:cs="Times New Roman"/>
          <w:b/>
          <w:sz w:val="24"/>
          <w:szCs w:val="24"/>
          <w:highlight w:val="none"/>
          <w:lang w:eastAsia="zh-CN"/>
        </w:rPr>
        <w:t>）投标人有下列情形之一的，视为投标人串通投标，其投标无效</w:t>
      </w:r>
    </w:p>
    <w:p w14:paraId="47E0F9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1.</w:t>
      </w:r>
      <w:r>
        <w:rPr>
          <w:rFonts w:hint="eastAsia" w:ascii="Times New Roman" w:hAnsi="Times New Roman" w:eastAsia="仿宋" w:cs="Times New Roman"/>
          <w:sz w:val="24"/>
          <w:szCs w:val="24"/>
          <w:highlight w:val="none"/>
        </w:rPr>
        <w:t>不同投标人的投标文件由同一单位或者个人编制；</w:t>
      </w:r>
    </w:p>
    <w:p w14:paraId="0184D2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2.</w:t>
      </w:r>
      <w:r>
        <w:rPr>
          <w:rFonts w:hint="eastAsia" w:ascii="Times New Roman" w:hAnsi="Times New Roman" w:eastAsia="仿宋" w:cs="Times New Roman"/>
          <w:sz w:val="24"/>
          <w:szCs w:val="24"/>
          <w:highlight w:val="none"/>
        </w:rPr>
        <w:t>不同投标人委托同一单位或者个人办理投标事宜；</w:t>
      </w:r>
    </w:p>
    <w:p w14:paraId="27B4C0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3.</w:t>
      </w:r>
      <w:r>
        <w:rPr>
          <w:rFonts w:hint="eastAsia" w:ascii="Times New Roman" w:hAnsi="Times New Roman" w:eastAsia="仿宋" w:cs="Times New Roman"/>
          <w:sz w:val="24"/>
          <w:szCs w:val="24"/>
          <w:highlight w:val="none"/>
        </w:rPr>
        <w:t>不同投标人的投标文件载明的项目管理成员或者联系人员为同一人；</w:t>
      </w:r>
    </w:p>
    <w:p w14:paraId="3C6B79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4.</w:t>
      </w:r>
      <w:r>
        <w:rPr>
          <w:rFonts w:hint="eastAsia" w:ascii="Times New Roman" w:hAnsi="Times New Roman" w:eastAsia="仿宋" w:cs="Times New Roman"/>
          <w:sz w:val="24"/>
          <w:szCs w:val="24"/>
          <w:highlight w:val="none"/>
        </w:rPr>
        <w:t>不同投标人的投标文件异常一致或者投标报价呈规律性差异；</w:t>
      </w:r>
    </w:p>
    <w:p w14:paraId="1649FF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5.</w:t>
      </w:r>
      <w:r>
        <w:rPr>
          <w:rFonts w:hint="eastAsia" w:ascii="Times New Roman" w:hAnsi="Times New Roman" w:eastAsia="仿宋" w:cs="Times New Roman"/>
          <w:sz w:val="24"/>
          <w:szCs w:val="24"/>
          <w:highlight w:val="none"/>
        </w:rPr>
        <w:t>不同投标人的投标文件相互混装；</w:t>
      </w:r>
    </w:p>
    <w:p w14:paraId="46127D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Times New Roman" w:hAnsi="Times New Roman" w:eastAsia="仿宋" w:cs="Times New Roman"/>
          <w:sz w:val="24"/>
          <w:szCs w:val="24"/>
          <w:highlight w:val="none"/>
          <w:lang w:val="en-US" w:eastAsia="zh-CN"/>
        </w:rPr>
        <w:t>6.</w:t>
      </w:r>
      <w:r>
        <w:rPr>
          <w:rFonts w:hint="eastAsia" w:ascii="Times New Roman" w:hAnsi="Times New Roman" w:eastAsia="仿宋" w:cs="Times New Roman"/>
          <w:sz w:val="24"/>
          <w:szCs w:val="24"/>
          <w:highlight w:val="none"/>
        </w:rPr>
        <w:t>不同投标人的投标保证金从同一单位或者个人的账户转出。</w:t>
      </w:r>
    </w:p>
    <w:p w14:paraId="343006D8">
      <w:pPr>
        <w:pStyle w:val="37"/>
        <w:keepNext w:val="0"/>
        <w:keepLines w:val="0"/>
        <w:pageBreakBefore w:val="0"/>
        <w:numPr>
          <w:ilvl w:val="0"/>
          <w:numId w:val="0"/>
        </w:numPr>
        <w:kinsoku/>
        <w:wordWrap/>
        <w:overflowPunct/>
        <w:topLinePunct w:val="0"/>
        <w:autoSpaceDE/>
        <w:autoSpaceDN/>
        <w:bidi w:val="0"/>
        <w:snapToGrid/>
        <w:spacing w:line="360" w:lineRule="auto"/>
        <w:ind w:left="562" w:leftChars="0"/>
        <w:jc w:val="center"/>
        <w:outlineLvl w:val="1"/>
        <w:rPr>
          <w:rFonts w:hint="eastAsia" w:ascii="Times New Roman" w:hAnsi="Times New Roman" w:eastAsia="仿宋" w:cs="Times New Roman"/>
          <w:b/>
          <w:sz w:val="32"/>
          <w:szCs w:val="32"/>
          <w:highlight w:val="none"/>
          <w:lang w:eastAsia="zh-CN"/>
        </w:rPr>
      </w:pPr>
      <w:r>
        <w:rPr>
          <w:rFonts w:hint="eastAsia" w:ascii="Times New Roman" w:hAnsi="Times New Roman" w:eastAsia="仿宋" w:cs="Times New Roman"/>
          <w:b/>
          <w:sz w:val="32"/>
          <w:szCs w:val="32"/>
          <w:highlight w:val="none"/>
          <w:lang w:val="en-US" w:eastAsia="zh-CN"/>
        </w:rPr>
        <w:t>八</w:t>
      </w:r>
      <w:r>
        <w:rPr>
          <w:rFonts w:hint="eastAsia" w:ascii="Times New Roman" w:hAnsi="Times New Roman" w:eastAsia="仿宋" w:cs="Times New Roman"/>
          <w:b/>
          <w:sz w:val="32"/>
          <w:szCs w:val="32"/>
          <w:highlight w:val="none"/>
          <w:lang w:eastAsia="zh-CN"/>
        </w:rPr>
        <w:t>、其他</w:t>
      </w:r>
    </w:p>
    <w:p w14:paraId="3BBE2DCB">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imes New Roman" w:hAnsi="Times New Roman" w:eastAsia="仿宋" w:cs="Times New Roman"/>
          <w:sz w:val="24"/>
          <w:szCs w:val="24"/>
          <w:highlight w:val="none"/>
          <w:lang w:val="zh-CN" w:eastAsia="zh-CN"/>
        </w:rPr>
      </w:pPr>
      <w:r>
        <w:rPr>
          <w:rFonts w:hint="eastAsia" w:ascii="Times New Roman" w:hAnsi="Times New Roman" w:eastAsia="仿宋" w:cs="Times New Roman"/>
          <w:sz w:val="24"/>
          <w:szCs w:val="24"/>
          <w:highlight w:val="none"/>
          <w:lang w:val="zh-CN" w:eastAsia="zh-CN"/>
        </w:rPr>
        <w:t>（一）</w:t>
      </w:r>
      <w:r>
        <w:rPr>
          <w:rFonts w:hint="eastAsia" w:ascii="Times New Roman" w:hAnsi="Times New Roman" w:eastAsia="仿宋" w:cs="Times New Roman"/>
          <w:sz w:val="24"/>
          <w:szCs w:val="24"/>
          <w:highlight w:val="none"/>
          <w:lang w:val="en-US" w:eastAsia="zh-CN"/>
        </w:rPr>
        <w:t>招标</w:t>
      </w:r>
      <w:r>
        <w:rPr>
          <w:rFonts w:hint="eastAsia" w:ascii="Times New Roman" w:hAnsi="Times New Roman" w:eastAsia="仿宋" w:cs="Times New Roman"/>
          <w:sz w:val="24"/>
          <w:szCs w:val="24"/>
          <w:highlight w:val="none"/>
          <w:lang w:val="zh-CN" w:eastAsia="zh-CN"/>
        </w:rPr>
        <w:t>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w:t>
      </w:r>
      <w:r>
        <w:rPr>
          <w:rFonts w:hint="eastAsia" w:ascii="Times New Roman" w:hAnsi="Times New Roman" w:eastAsia="仿宋" w:cs="Times New Roman"/>
          <w:sz w:val="24"/>
          <w:szCs w:val="24"/>
          <w:highlight w:val="none"/>
          <w:lang w:val="en-US" w:eastAsia="zh-CN"/>
        </w:rPr>
        <w:t>投标人</w:t>
      </w:r>
      <w:r>
        <w:rPr>
          <w:rFonts w:hint="eastAsia" w:ascii="Times New Roman" w:hAnsi="Times New Roman" w:eastAsia="仿宋" w:cs="Times New Roman"/>
          <w:sz w:val="24"/>
          <w:szCs w:val="24"/>
          <w:highlight w:val="none"/>
          <w:lang w:val="zh-CN" w:eastAsia="zh-CN"/>
        </w:rPr>
        <w:t>须知前附表为准，如前附表中无相关内容，在保证国家、集体和采购人利益不受损害的情况下按有利于供应商的原则进行处理。</w:t>
      </w:r>
    </w:p>
    <w:p w14:paraId="7ADDBBFE">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（二）本项目涉及企业资质、产品认证、人员执业资格、行业标准等描述与国家最新要求不一致时以国家最新要求为准。</w:t>
      </w:r>
      <w:bookmarkStart w:id="8" w:name="_Toc20234160"/>
    </w:p>
    <w:p w14:paraId="260CDFF3">
      <w:pPr>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br w:type="page"/>
      </w:r>
    </w:p>
    <w:p w14:paraId="4545F800">
      <w:pPr>
        <w:widowControl/>
        <w:spacing w:line="520" w:lineRule="exact"/>
        <w:jc w:val="center"/>
        <w:outlineLvl w:val="0"/>
        <w:rPr>
          <w:rFonts w:hint="eastAsia" w:ascii="仿宋" w:hAnsi="仿宋" w:eastAsia="仿宋" w:cs="仿宋"/>
          <w:b/>
          <w:bCs w:val="0"/>
          <w:sz w:val="36"/>
          <w:szCs w:val="32"/>
          <w:highlight w:val="none"/>
        </w:rPr>
      </w:pPr>
      <w:bookmarkStart w:id="9" w:name="_Toc6464"/>
      <w:r>
        <w:rPr>
          <w:rFonts w:hint="eastAsia" w:ascii="仿宋" w:hAnsi="仿宋" w:eastAsia="仿宋" w:cs="仿宋"/>
          <w:b/>
          <w:bCs w:val="0"/>
          <w:sz w:val="36"/>
          <w:szCs w:val="32"/>
          <w:highlight w:val="none"/>
        </w:rPr>
        <w:t>第三章</w:t>
      </w:r>
      <w:r>
        <w:rPr>
          <w:rFonts w:hint="eastAsia" w:ascii="仿宋" w:hAnsi="仿宋" w:eastAsia="仿宋" w:cs="仿宋"/>
          <w:b/>
          <w:bCs w:val="0"/>
          <w:sz w:val="36"/>
          <w:szCs w:val="32"/>
          <w:highlight w:val="none"/>
          <w:lang w:val="en-US" w:eastAsia="zh-CN"/>
        </w:rPr>
        <w:t xml:space="preserve"> </w:t>
      </w:r>
      <w:r>
        <w:rPr>
          <w:rFonts w:hint="eastAsia" w:ascii="仿宋" w:hAnsi="仿宋" w:eastAsia="仿宋" w:cs="仿宋"/>
          <w:b/>
          <w:bCs w:val="0"/>
          <w:sz w:val="36"/>
          <w:szCs w:val="32"/>
          <w:highlight w:val="none"/>
        </w:rPr>
        <w:t>投标文件格式</w:t>
      </w:r>
      <w:bookmarkEnd w:id="8"/>
      <w:bookmarkEnd w:id="9"/>
    </w:p>
    <w:p w14:paraId="340AAB87">
      <w:pPr>
        <w:pStyle w:val="9"/>
        <w:keepNext w:val="0"/>
        <w:keepLines w:val="0"/>
        <w:pageBreakBefore w:val="0"/>
        <w:kinsoku/>
        <w:wordWrap/>
        <w:overflowPunct/>
        <w:topLinePunct w:val="0"/>
        <w:autoSpaceDE/>
        <w:autoSpaceDN/>
        <w:bidi w:val="0"/>
        <w:adjustRightInd/>
        <w:snapToGrid/>
        <w:textAlignment w:val="auto"/>
        <w:outlineLvl w:val="9"/>
        <w:rPr>
          <w:rFonts w:hint="eastAsia"/>
          <w:highlight w:val="none"/>
        </w:rPr>
      </w:pPr>
    </w:p>
    <w:p w14:paraId="6979C542">
      <w:pPr>
        <w:keepNext w:val="0"/>
        <w:keepLines w:val="0"/>
        <w:pageBreakBefore w:val="0"/>
        <w:tabs>
          <w:tab w:val="left" w:pos="900"/>
        </w:tabs>
        <w:kinsoku/>
        <w:wordWrap/>
        <w:overflowPunct/>
        <w:topLinePunct w:val="0"/>
        <w:autoSpaceDE/>
        <w:autoSpaceDN/>
        <w:bidi w:val="0"/>
        <w:adjustRightInd/>
        <w:snapToGrid/>
        <w:spacing w:line="360" w:lineRule="auto"/>
        <w:jc w:val="center"/>
        <w:textAlignment w:val="auto"/>
        <w:outlineLvl w:val="1"/>
        <w:rPr>
          <w:rFonts w:ascii="仿宋" w:hAnsi="仿宋" w:eastAsia="仿宋"/>
          <w:b/>
          <w:sz w:val="32"/>
          <w:highlight w:val="none"/>
        </w:rPr>
      </w:pPr>
      <w:r>
        <w:rPr>
          <w:rFonts w:ascii="仿宋" w:hAnsi="仿宋" w:eastAsia="仿宋"/>
          <w:b/>
          <w:sz w:val="32"/>
          <w:highlight w:val="none"/>
        </w:rPr>
        <w:t xml:space="preserve">第一部分     </w:t>
      </w:r>
      <w:r>
        <w:rPr>
          <w:rFonts w:hint="eastAsia" w:ascii="仿宋" w:hAnsi="仿宋" w:eastAsia="仿宋"/>
          <w:b/>
          <w:sz w:val="32"/>
          <w:highlight w:val="none"/>
        </w:rPr>
        <w:t>“</w:t>
      </w:r>
      <w:r>
        <w:rPr>
          <w:rFonts w:ascii="仿宋" w:hAnsi="仿宋" w:eastAsia="仿宋"/>
          <w:b/>
          <w:sz w:val="32"/>
          <w:highlight w:val="none"/>
        </w:rPr>
        <w:t>资格性</w:t>
      </w:r>
      <w:r>
        <w:rPr>
          <w:rFonts w:hint="eastAsia" w:ascii="仿宋" w:hAnsi="仿宋" w:eastAsia="仿宋"/>
          <w:b/>
          <w:sz w:val="32"/>
          <w:highlight w:val="none"/>
        </w:rPr>
        <w:t>投标</w:t>
      </w:r>
      <w:r>
        <w:rPr>
          <w:rFonts w:ascii="仿宋" w:hAnsi="仿宋" w:eastAsia="仿宋"/>
          <w:b/>
          <w:sz w:val="32"/>
          <w:highlight w:val="none"/>
        </w:rPr>
        <w:t>文件</w:t>
      </w:r>
      <w:r>
        <w:rPr>
          <w:rFonts w:hint="eastAsia" w:ascii="仿宋" w:hAnsi="仿宋" w:eastAsia="仿宋"/>
          <w:b/>
          <w:sz w:val="32"/>
          <w:highlight w:val="none"/>
        </w:rPr>
        <w:t>”</w:t>
      </w:r>
      <w:r>
        <w:rPr>
          <w:rFonts w:ascii="仿宋" w:hAnsi="仿宋" w:eastAsia="仿宋"/>
          <w:b/>
          <w:sz w:val="32"/>
          <w:highlight w:val="none"/>
        </w:rPr>
        <w:t>格式</w:t>
      </w:r>
    </w:p>
    <w:p w14:paraId="3E89430A">
      <w:pPr>
        <w:keepNext w:val="0"/>
        <w:keepLines w:val="0"/>
        <w:pageBreakBefore w:val="0"/>
        <w:kinsoku/>
        <w:wordWrap/>
        <w:overflowPunct/>
        <w:topLinePunct w:val="0"/>
        <w:autoSpaceDE/>
        <w:autoSpaceDN/>
        <w:bidi w:val="0"/>
        <w:adjustRightInd/>
        <w:snapToGrid/>
        <w:spacing w:line="360" w:lineRule="auto"/>
        <w:textAlignment w:val="auto"/>
        <w:outlineLvl w:val="9"/>
        <w:rPr>
          <w:rFonts w:ascii="仿宋" w:hAnsi="仿宋" w:eastAsia="仿宋"/>
          <w:b/>
          <w:sz w:val="32"/>
          <w:szCs w:val="32"/>
          <w:highlight w:val="none"/>
        </w:rPr>
      </w:pPr>
      <w:r>
        <w:rPr>
          <w:rFonts w:hint="eastAsia" w:ascii="仿宋" w:hAnsi="仿宋" w:eastAsia="仿宋"/>
          <w:b/>
          <w:sz w:val="32"/>
          <w:szCs w:val="32"/>
          <w:highlight w:val="none"/>
        </w:rPr>
        <w:t>封面：</w:t>
      </w:r>
    </w:p>
    <w:p w14:paraId="43A9BE4C">
      <w:pPr>
        <w:keepNext w:val="0"/>
        <w:keepLines w:val="0"/>
        <w:pageBreakBefore w:val="0"/>
        <w:kinsoku/>
        <w:wordWrap/>
        <w:overflowPunct/>
        <w:topLinePunct w:val="0"/>
        <w:autoSpaceDE/>
        <w:autoSpaceDN/>
        <w:bidi w:val="0"/>
        <w:adjustRightInd/>
        <w:snapToGrid/>
        <w:spacing w:line="360" w:lineRule="auto"/>
        <w:jc w:val="right"/>
        <w:textAlignment w:val="auto"/>
        <w:outlineLvl w:val="9"/>
        <w:rPr>
          <w:rFonts w:ascii="仿宋" w:hAnsi="仿宋" w:eastAsia="仿宋"/>
          <w:b/>
          <w:sz w:val="36"/>
          <w:highlight w:val="none"/>
        </w:rPr>
      </w:pPr>
      <w:r>
        <w:rPr>
          <w:rFonts w:ascii="仿宋" w:hAnsi="仿宋" w:eastAsia="仿宋"/>
          <w:b/>
          <w:sz w:val="36"/>
          <w:highlight w:val="none"/>
        </w:rPr>
        <w:t>（正本/副本）</w:t>
      </w:r>
    </w:p>
    <w:p w14:paraId="64AD7738">
      <w:pPr>
        <w:keepNext w:val="0"/>
        <w:keepLines w:val="0"/>
        <w:pageBreakBefore w:val="0"/>
        <w:kinsoku/>
        <w:wordWrap/>
        <w:overflowPunct/>
        <w:topLinePunct w:val="0"/>
        <w:autoSpaceDE/>
        <w:autoSpaceDN/>
        <w:bidi w:val="0"/>
        <w:adjustRightInd/>
        <w:snapToGrid/>
        <w:spacing w:line="360" w:lineRule="auto"/>
        <w:textAlignment w:val="auto"/>
        <w:outlineLvl w:val="9"/>
        <w:rPr>
          <w:rFonts w:ascii="仿宋" w:hAnsi="仿宋" w:eastAsia="仿宋"/>
          <w:b/>
          <w:sz w:val="32"/>
          <w:szCs w:val="32"/>
          <w:highlight w:val="none"/>
        </w:rPr>
      </w:pPr>
    </w:p>
    <w:p w14:paraId="527A334A">
      <w:pPr>
        <w:keepNext w:val="0"/>
        <w:keepLines w:val="0"/>
        <w:pageBreakBefore w:val="0"/>
        <w:kinsoku/>
        <w:wordWrap/>
        <w:overflowPunct/>
        <w:topLinePunct w:val="0"/>
        <w:autoSpaceDE/>
        <w:autoSpaceDN/>
        <w:bidi w:val="0"/>
        <w:adjustRightInd/>
        <w:snapToGrid/>
        <w:spacing w:line="360" w:lineRule="auto"/>
        <w:textAlignment w:val="auto"/>
        <w:outlineLvl w:val="9"/>
        <w:rPr>
          <w:rFonts w:ascii="仿宋" w:hAnsi="仿宋" w:eastAsia="仿宋"/>
          <w:b/>
          <w:sz w:val="32"/>
          <w:szCs w:val="32"/>
          <w:highlight w:val="none"/>
        </w:rPr>
      </w:pPr>
    </w:p>
    <w:p w14:paraId="1D9EF521">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b/>
          <w:sz w:val="52"/>
          <w:szCs w:val="52"/>
          <w:highlight w:val="none"/>
          <w:lang w:eastAsia="zh-CN"/>
        </w:rPr>
      </w:pPr>
      <w:r>
        <w:rPr>
          <w:rFonts w:hint="eastAsia" w:ascii="仿宋" w:hAnsi="仿宋" w:eastAsia="仿宋"/>
          <w:b/>
          <w:sz w:val="52"/>
          <w:szCs w:val="52"/>
          <w:highlight w:val="none"/>
          <w:lang w:eastAsia="zh-CN"/>
        </w:rPr>
        <w:t>成都市技师学院（成都工贸职业技术学院）高端装备制造生产性实训基地教学资源开发项目</w:t>
      </w:r>
    </w:p>
    <w:p w14:paraId="25C0E0D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b/>
          <w:sz w:val="52"/>
          <w:szCs w:val="52"/>
          <w:highlight w:val="none"/>
        </w:rPr>
      </w:pPr>
    </w:p>
    <w:p w14:paraId="00CD3AC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ascii="仿宋" w:hAnsi="仿宋" w:eastAsia="仿宋"/>
          <w:b/>
          <w:sz w:val="32"/>
          <w:szCs w:val="32"/>
          <w:highlight w:val="none"/>
        </w:rPr>
      </w:pPr>
      <w:r>
        <w:rPr>
          <w:rFonts w:hint="eastAsia" w:ascii="仿宋" w:hAnsi="仿宋" w:eastAsia="仿宋"/>
          <w:b/>
          <w:sz w:val="52"/>
          <w:szCs w:val="52"/>
          <w:highlight w:val="none"/>
        </w:rPr>
        <w:t>资格性投标文件</w:t>
      </w:r>
    </w:p>
    <w:p w14:paraId="4CF50761">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b/>
          <w:sz w:val="32"/>
          <w:highlight w:val="none"/>
        </w:rPr>
      </w:pPr>
    </w:p>
    <w:p w14:paraId="18FBAF5C">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b/>
          <w:sz w:val="32"/>
          <w:highlight w:val="none"/>
          <w:u w:val="single"/>
          <w:lang w:eastAsia="zh-CN"/>
        </w:rPr>
      </w:pPr>
      <w:r>
        <w:rPr>
          <w:rFonts w:hint="eastAsia" w:ascii="仿宋" w:hAnsi="仿宋" w:eastAsia="仿宋"/>
          <w:b/>
          <w:sz w:val="32"/>
          <w:highlight w:val="none"/>
        </w:rPr>
        <w:t>投 标 人</w:t>
      </w:r>
      <w:r>
        <w:rPr>
          <w:rFonts w:ascii="仿宋" w:hAnsi="仿宋" w:eastAsia="仿宋"/>
          <w:b/>
          <w:sz w:val="32"/>
          <w:highlight w:val="none"/>
        </w:rPr>
        <w:t>名称：</w:t>
      </w:r>
    </w:p>
    <w:p w14:paraId="3B73C045">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b/>
          <w:sz w:val="32"/>
          <w:highlight w:val="none"/>
          <w:lang w:eastAsia="zh-CN"/>
        </w:rPr>
      </w:pPr>
      <w:r>
        <w:rPr>
          <w:rFonts w:hint="eastAsia" w:ascii="仿宋" w:hAnsi="仿宋" w:eastAsia="仿宋"/>
          <w:b/>
          <w:sz w:val="32"/>
          <w:highlight w:val="none"/>
        </w:rPr>
        <w:t>项</w:t>
      </w:r>
      <w:r>
        <w:rPr>
          <w:rFonts w:hint="eastAsia" w:ascii="仿宋" w:hAnsi="仿宋" w:eastAsia="仿宋"/>
          <w:b/>
          <w:sz w:val="32"/>
          <w:highlight w:val="none"/>
          <w:lang w:val="en-US" w:eastAsia="zh-CN"/>
        </w:rPr>
        <w:t xml:space="preserve"> </w:t>
      </w:r>
      <w:r>
        <w:rPr>
          <w:rFonts w:hint="eastAsia" w:ascii="仿宋" w:hAnsi="仿宋" w:eastAsia="仿宋"/>
          <w:b/>
          <w:sz w:val="32"/>
          <w:highlight w:val="none"/>
        </w:rPr>
        <w:t>目</w:t>
      </w:r>
      <w:r>
        <w:rPr>
          <w:rFonts w:hint="eastAsia" w:ascii="仿宋" w:hAnsi="仿宋" w:eastAsia="仿宋"/>
          <w:b/>
          <w:sz w:val="32"/>
          <w:highlight w:val="none"/>
          <w:lang w:val="en-US" w:eastAsia="zh-CN"/>
        </w:rPr>
        <w:t xml:space="preserve"> </w:t>
      </w:r>
      <w:r>
        <w:rPr>
          <w:rFonts w:hint="eastAsia" w:ascii="仿宋" w:hAnsi="仿宋" w:eastAsia="仿宋"/>
          <w:b/>
          <w:sz w:val="32"/>
          <w:highlight w:val="none"/>
        </w:rPr>
        <w:t>编</w:t>
      </w:r>
      <w:r>
        <w:rPr>
          <w:rFonts w:hint="eastAsia" w:ascii="仿宋" w:hAnsi="仿宋" w:eastAsia="仿宋"/>
          <w:b/>
          <w:sz w:val="32"/>
          <w:highlight w:val="none"/>
          <w:lang w:val="en-US" w:eastAsia="zh-CN"/>
        </w:rPr>
        <w:t xml:space="preserve">  </w:t>
      </w:r>
      <w:r>
        <w:rPr>
          <w:rFonts w:hint="eastAsia" w:ascii="仿宋" w:hAnsi="仿宋" w:eastAsia="仿宋"/>
          <w:b/>
          <w:sz w:val="32"/>
          <w:highlight w:val="none"/>
        </w:rPr>
        <w:t>号：</w:t>
      </w:r>
      <w:r>
        <w:rPr>
          <w:rFonts w:hint="eastAsia" w:ascii="仿宋" w:hAnsi="仿宋" w:eastAsia="仿宋"/>
          <w:b/>
          <w:sz w:val="32"/>
          <w:highlight w:val="none"/>
          <w:lang w:eastAsia="zh-CN"/>
        </w:rPr>
        <w:t>HT-【采】20241029</w:t>
      </w:r>
    </w:p>
    <w:p w14:paraId="0DC8EF7E">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b/>
          <w:sz w:val="32"/>
          <w:highlight w:val="none"/>
          <w:u w:val="single"/>
          <w:lang w:eastAsia="zh-CN"/>
        </w:rPr>
      </w:pPr>
      <w:r>
        <w:rPr>
          <w:rFonts w:hint="eastAsia" w:ascii="仿宋" w:hAnsi="仿宋" w:eastAsia="仿宋"/>
          <w:b/>
          <w:sz w:val="32"/>
          <w:highlight w:val="none"/>
          <w:lang w:val="en-US" w:eastAsia="zh-CN"/>
        </w:rPr>
        <w:t>采  购 包 号</w:t>
      </w:r>
      <w:r>
        <w:rPr>
          <w:rFonts w:ascii="仿宋" w:hAnsi="仿宋" w:eastAsia="仿宋"/>
          <w:b/>
          <w:sz w:val="32"/>
          <w:highlight w:val="none"/>
        </w:rPr>
        <w:t>：</w:t>
      </w:r>
      <w:r>
        <w:rPr>
          <w:rFonts w:hint="eastAsia" w:ascii="仿宋" w:hAnsi="仿宋" w:eastAsia="仿宋"/>
          <w:b/>
          <w:sz w:val="32"/>
          <w:highlight w:val="none"/>
          <w:lang w:eastAsia="zh-CN"/>
        </w:rPr>
        <w:t>（若有）</w:t>
      </w:r>
    </w:p>
    <w:p w14:paraId="61D1A65A">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hint="eastAsia" w:ascii="仿宋" w:hAnsi="仿宋" w:eastAsia="仿宋"/>
          <w:b/>
          <w:sz w:val="32"/>
          <w:highlight w:val="none"/>
        </w:rPr>
      </w:pPr>
    </w:p>
    <w:p w14:paraId="0625DCAE">
      <w:pPr>
        <w:keepNext w:val="0"/>
        <w:keepLines w:val="0"/>
        <w:pageBreakBefore w:val="0"/>
        <w:kinsoku/>
        <w:wordWrap/>
        <w:overflowPunct/>
        <w:topLinePunct w:val="0"/>
        <w:autoSpaceDE/>
        <w:autoSpaceDN/>
        <w:bidi w:val="0"/>
        <w:adjustRightInd/>
        <w:snapToGrid/>
        <w:spacing w:line="360" w:lineRule="auto"/>
        <w:ind w:firstLine="790" w:firstLineChars="246"/>
        <w:jc w:val="center"/>
        <w:textAlignment w:val="auto"/>
        <w:outlineLvl w:val="9"/>
        <w:rPr>
          <w:rFonts w:ascii="仿宋" w:hAnsi="仿宋" w:eastAsia="仿宋"/>
          <w:b/>
          <w:sz w:val="32"/>
          <w:highlight w:val="none"/>
        </w:rPr>
      </w:pPr>
      <w:r>
        <w:rPr>
          <w:rFonts w:hint="eastAsia" w:ascii="仿宋" w:hAnsi="仿宋" w:eastAsia="仿宋"/>
          <w:b/>
          <w:sz w:val="32"/>
          <w:highlight w:val="none"/>
        </w:rPr>
        <w:t>投标时间</w:t>
      </w:r>
      <w:r>
        <w:rPr>
          <w:rFonts w:ascii="仿宋" w:hAnsi="仿宋" w:eastAsia="仿宋"/>
          <w:b/>
          <w:sz w:val="32"/>
          <w:highlight w:val="none"/>
        </w:rPr>
        <w:t>：</w:t>
      </w:r>
      <w:r>
        <w:rPr>
          <w:rFonts w:hint="eastAsia" w:ascii="仿宋" w:hAnsi="仿宋" w:eastAsia="仿宋"/>
          <w:b/>
          <w:sz w:val="32"/>
          <w:highlight w:val="none"/>
        </w:rPr>
        <w:t xml:space="preserve">年 </w:t>
      </w:r>
      <w:r>
        <w:rPr>
          <w:rFonts w:ascii="仿宋" w:hAnsi="仿宋" w:eastAsia="仿宋"/>
          <w:b/>
          <w:sz w:val="32"/>
          <w:highlight w:val="none"/>
        </w:rPr>
        <w:t>月</w:t>
      </w:r>
      <w:r>
        <w:rPr>
          <w:rFonts w:hint="eastAsia" w:ascii="仿宋" w:hAnsi="仿宋" w:eastAsia="仿宋"/>
          <w:b/>
          <w:sz w:val="32"/>
          <w:highlight w:val="none"/>
        </w:rPr>
        <w:t xml:space="preserve"> </w:t>
      </w:r>
      <w:r>
        <w:rPr>
          <w:rFonts w:ascii="仿宋" w:hAnsi="仿宋" w:eastAsia="仿宋"/>
          <w:b/>
          <w:sz w:val="32"/>
          <w:highlight w:val="none"/>
        </w:rPr>
        <w:t>日</w:t>
      </w:r>
    </w:p>
    <w:p w14:paraId="47468FB7">
      <w:pPr>
        <w:keepNext w:val="0"/>
        <w:keepLines w:val="0"/>
        <w:pageBreakBefore w:val="0"/>
        <w:kinsoku/>
        <w:wordWrap/>
        <w:overflowPunct/>
        <w:topLinePunct w:val="0"/>
        <w:autoSpaceDE/>
        <w:autoSpaceDN/>
        <w:bidi w:val="0"/>
        <w:adjustRightInd/>
        <w:snapToGrid/>
        <w:spacing w:after="0" w:line="360" w:lineRule="auto"/>
        <w:textAlignment w:val="auto"/>
        <w:outlineLvl w:val="9"/>
        <w:rPr>
          <w:rFonts w:ascii="仿宋" w:hAnsi="仿宋" w:eastAsia="仿宋"/>
          <w:b/>
          <w:sz w:val="32"/>
          <w:szCs w:val="32"/>
          <w:highlight w:val="none"/>
        </w:rPr>
      </w:pPr>
      <w:r>
        <w:rPr>
          <w:rFonts w:ascii="仿宋" w:hAnsi="仿宋" w:eastAsia="仿宋"/>
          <w:b/>
          <w:sz w:val="32"/>
          <w:highlight w:val="none"/>
        </w:rPr>
        <w:br w:type="page"/>
      </w:r>
    </w:p>
    <w:p w14:paraId="3A6FD746">
      <w:pPr>
        <w:spacing w:before="204" w:line="215" w:lineRule="auto"/>
        <w:ind w:left="17"/>
        <w:jc w:val="center"/>
        <w:rPr>
          <w:rFonts w:ascii="仿宋" w:hAnsi="仿宋" w:eastAsia="仿宋" w:cs="仿宋"/>
          <w:b/>
          <w:bCs/>
          <w:sz w:val="32"/>
          <w:szCs w:val="32"/>
          <w:highlight w:val="none"/>
        </w:rPr>
      </w:pPr>
      <w:bookmarkStart w:id="10" w:name="_Toc217446084"/>
      <w:r>
        <w:rPr>
          <w:rFonts w:hint="eastAsia" w:ascii="仿宋" w:hAnsi="仿宋" w:eastAsia="仿宋" w:cs="仿宋"/>
          <w:b/>
          <w:bCs/>
          <w:spacing w:val="24"/>
          <w:sz w:val="32"/>
          <w:szCs w:val="32"/>
          <w:highlight w:val="none"/>
          <w:lang w:eastAsia="zh-CN"/>
        </w:rPr>
        <w:t>一、投标人</w:t>
      </w:r>
      <w:r>
        <w:rPr>
          <w:rFonts w:ascii="仿宋" w:hAnsi="仿宋" w:eastAsia="仿宋" w:cs="仿宋"/>
          <w:b/>
          <w:bCs/>
          <w:spacing w:val="17"/>
          <w:sz w:val="32"/>
          <w:szCs w:val="32"/>
          <w:highlight w:val="none"/>
        </w:rPr>
        <w:t>根据自身情况在投标文件中提供</w:t>
      </w:r>
      <w:r>
        <w:rPr>
          <w:rFonts w:hint="eastAsia" w:ascii="仿宋" w:hAnsi="仿宋" w:eastAsia="仿宋" w:cs="仿宋"/>
          <w:b/>
          <w:bCs/>
          <w:spacing w:val="17"/>
          <w:sz w:val="32"/>
          <w:szCs w:val="32"/>
          <w:highlight w:val="none"/>
          <w:lang w:eastAsia="zh-CN"/>
        </w:rPr>
        <w:t>（一）</w:t>
      </w:r>
      <w:r>
        <w:rPr>
          <w:rFonts w:ascii="仿宋" w:hAnsi="仿宋" w:eastAsia="仿宋" w:cs="仿宋"/>
          <w:b/>
          <w:bCs/>
          <w:spacing w:val="17"/>
          <w:sz w:val="32"/>
          <w:szCs w:val="32"/>
          <w:highlight w:val="none"/>
        </w:rPr>
        <w:t>或</w:t>
      </w:r>
      <w:r>
        <w:rPr>
          <w:rFonts w:hint="eastAsia" w:ascii="仿宋" w:hAnsi="仿宋" w:eastAsia="仿宋" w:cs="仿宋"/>
          <w:b/>
          <w:bCs/>
          <w:spacing w:val="17"/>
          <w:sz w:val="32"/>
          <w:szCs w:val="32"/>
          <w:highlight w:val="none"/>
          <w:lang w:eastAsia="zh-CN"/>
        </w:rPr>
        <w:t>（二）</w:t>
      </w:r>
    </w:p>
    <w:p w14:paraId="0B097322">
      <w:pPr>
        <w:pStyle w:val="52"/>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theme="minorBidi"/>
          <w:b/>
          <w:kern w:val="2"/>
          <w:sz w:val="32"/>
          <w:szCs w:val="32"/>
          <w:highlight w:val="none"/>
          <w:lang w:val="en-US" w:eastAsia="zh-CN" w:bidi="ar-SA"/>
        </w:rPr>
      </w:pPr>
      <w:r>
        <w:rPr>
          <w:rFonts w:hint="eastAsia" w:ascii="仿宋" w:hAnsi="仿宋" w:eastAsia="仿宋" w:cstheme="minorBidi"/>
          <w:b/>
          <w:kern w:val="2"/>
          <w:sz w:val="32"/>
          <w:szCs w:val="32"/>
          <w:highlight w:val="none"/>
          <w:lang w:val="en-US" w:eastAsia="zh-CN" w:bidi="ar-SA"/>
        </w:rPr>
        <w:t>（一）授权委托书</w:t>
      </w:r>
    </w:p>
    <w:p w14:paraId="4AAD83F6">
      <w:pPr>
        <w:pStyle w:val="52"/>
        <w:pageBreakBefore w:val="0"/>
        <w:kinsoku/>
        <w:wordWrap/>
        <w:overflowPunct/>
        <w:topLinePunct w:val="0"/>
        <w:bidi w:val="0"/>
        <w:spacing w:line="360" w:lineRule="auto"/>
        <w:jc w:val="center"/>
        <w:rPr>
          <w:rFonts w:hint="eastAsia" w:ascii="仿宋" w:hAnsi="仿宋" w:eastAsia="仿宋" w:cstheme="minorBidi"/>
          <w:kern w:val="2"/>
          <w:sz w:val="24"/>
          <w:szCs w:val="22"/>
          <w:highlight w:val="none"/>
          <w:lang w:val="en-US" w:eastAsia="zh-CN" w:bidi="ar-SA"/>
        </w:rPr>
      </w:pPr>
      <w:r>
        <w:rPr>
          <w:rFonts w:hint="eastAsia" w:ascii="仿宋" w:hAnsi="仿宋" w:eastAsia="仿宋" w:cstheme="minorBidi"/>
          <w:kern w:val="2"/>
          <w:sz w:val="24"/>
          <w:szCs w:val="22"/>
          <w:highlight w:val="none"/>
          <w:lang w:val="en-US" w:eastAsia="zh-CN" w:bidi="ar-SA"/>
        </w:rPr>
        <w:t>（若投标人代表为“授权代表”时，提供此委托书）</w:t>
      </w:r>
    </w:p>
    <w:p w14:paraId="2CDF76D1">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sz w:val="24"/>
          <w:highlight w:val="none"/>
          <w:lang w:eastAsia="zh-CN"/>
        </w:rPr>
      </w:pPr>
      <w:r>
        <w:rPr>
          <w:rFonts w:hint="eastAsia" w:ascii="仿宋" w:hAnsi="仿宋" w:eastAsia="仿宋"/>
          <w:sz w:val="24"/>
          <w:highlight w:val="none"/>
          <w:lang w:eastAsia="zh-CN"/>
        </w:rPr>
        <w:t>恒泰工程咨询集团有限公司</w:t>
      </w:r>
      <w:r>
        <w:rPr>
          <w:rFonts w:hint="eastAsia" w:ascii="仿宋" w:hAnsi="仿宋" w:eastAsia="仿宋"/>
          <w:sz w:val="24"/>
          <w:highlight w:val="none"/>
        </w:rPr>
        <w:t>：</w:t>
      </w:r>
    </w:p>
    <w:p w14:paraId="71D77F4E">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本人</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eastAsia="zh-CN"/>
        </w:rPr>
        <w:t>（姓名）系</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eastAsia="zh-CN"/>
        </w:rPr>
        <w:t>（投标人名称）的法定代表人（单位负责人），现委托</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eastAsia="zh-CN"/>
        </w:rPr>
        <w:t>（姓名）为我方代理人。代理人在本次采购中所签署的一切文件和处理的一切有关事宜，我公司（单位）均予承认，所产生的法律后果均由我公司（单位）承担。</w:t>
      </w:r>
    </w:p>
    <w:p w14:paraId="5CA4C8D6">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委托期限：自本授权委托书签署之日起至投标有效期届满之日止。代理人无转委托权。</w:t>
      </w:r>
    </w:p>
    <w:p w14:paraId="40808252">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投标人名称：XXXX（盖单位公章）</w:t>
      </w:r>
    </w:p>
    <w:p w14:paraId="0236DF27">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法定代表人（单位负责人）（签字或加盖个人名章）：XXXX。</w:t>
      </w:r>
    </w:p>
    <w:p w14:paraId="5ADD90A0">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授权代表（代理人）签字：XXXX。</w:t>
      </w:r>
    </w:p>
    <w:p w14:paraId="3418B39E">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日    期：XXXX。</w:t>
      </w:r>
    </w:p>
    <w:p w14:paraId="13A6FAE1">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法定代表人（单位负责人）有效期内的居民身份证正反面</w:t>
      </w:r>
    </w:p>
    <w:tbl>
      <w:tblPr>
        <w:tblStyle w:val="21"/>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59D78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2AD17FF0">
            <w:pPr>
              <w:tabs>
                <w:tab w:val="left" w:pos="5580"/>
              </w:tabs>
              <w:spacing w:line="360" w:lineRule="auto"/>
              <w:jc w:val="left"/>
              <w:rPr>
                <w:rFonts w:ascii="宋体" w:hAnsi="宋体"/>
                <w:color w:val="000000"/>
                <w:sz w:val="24"/>
                <w:szCs w:val="20"/>
                <w:highlight w:val="none"/>
              </w:rPr>
            </w:pPr>
          </w:p>
        </w:tc>
        <w:tc>
          <w:tcPr>
            <w:tcW w:w="2875" w:type="dxa"/>
            <w:noWrap w:val="0"/>
            <w:vAlign w:val="top"/>
          </w:tcPr>
          <w:p w14:paraId="2CC13F43">
            <w:pPr>
              <w:tabs>
                <w:tab w:val="left" w:pos="5580"/>
              </w:tabs>
              <w:spacing w:line="360" w:lineRule="auto"/>
              <w:jc w:val="left"/>
              <w:rPr>
                <w:rFonts w:ascii="宋体" w:hAnsi="宋体"/>
                <w:color w:val="000000"/>
                <w:sz w:val="24"/>
                <w:szCs w:val="20"/>
                <w:highlight w:val="none"/>
              </w:rPr>
            </w:pPr>
          </w:p>
        </w:tc>
      </w:tr>
    </w:tbl>
    <w:p w14:paraId="0AB1930F">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val="en-US" w:eastAsia="zh-CN"/>
        </w:rPr>
      </w:pPr>
      <w:r>
        <w:rPr>
          <w:rFonts w:hint="eastAsia" w:ascii="仿宋" w:hAnsi="仿宋" w:eastAsia="仿宋"/>
          <w:sz w:val="24"/>
          <w:highlight w:val="none"/>
          <w:lang w:eastAsia="zh-CN"/>
        </w:rPr>
        <w:t>授权代表（代理人）</w:t>
      </w:r>
      <w:r>
        <w:rPr>
          <w:rFonts w:hint="eastAsia" w:ascii="仿宋" w:hAnsi="仿宋" w:eastAsia="仿宋"/>
          <w:sz w:val="24"/>
          <w:highlight w:val="none"/>
          <w:lang w:val="en-US" w:eastAsia="zh-CN"/>
        </w:rPr>
        <w:t>有效期内的居民身份证正反面</w:t>
      </w:r>
    </w:p>
    <w:tbl>
      <w:tblPr>
        <w:tblStyle w:val="21"/>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00FEE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7E6B6D50">
            <w:pPr>
              <w:tabs>
                <w:tab w:val="left" w:pos="5580"/>
              </w:tabs>
              <w:spacing w:line="360" w:lineRule="auto"/>
              <w:jc w:val="left"/>
              <w:rPr>
                <w:rFonts w:ascii="宋体" w:hAnsi="宋体"/>
                <w:color w:val="000000"/>
                <w:sz w:val="24"/>
                <w:szCs w:val="20"/>
                <w:highlight w:val="none"/>
              </w:rPr>
            </w:pPr>
          </w:p>
        </w:tc>
        <w:tc>
          <w:tcPr>
            <w:tcW w:w="2875" w:type="dxa"/>
            <w:noWrap w:val="0"/>
            <w:vAlign w:val="top"/>
          </w:tcPr>
          <w:p w14:paraId="6D6741D7">
            <w:pPr>
              <w:tabs>
                <w:tab w:val="left" w:pos="5580"/>
              </w:tabs>
              <w:spacing w:line="360" w:lineRule="auto"/>
              <w:jc w:val="left"/>
              <w:rPr>
                <w:rFonts w:ascii="宋体" w:hAnsi="宋体"/>
                <w:color w:val="000000"/>
                <w:sz w:val="24"/>
                <w:szCs w:val="20"/>
                <w:highlight w:val="none"/>
              </w:rPr>
            </w:pPr>
          </w:p>
        </w:tc>
      </w:tr>
    </w:tbl>
    <w:p w14:paraId="6BDDE26B">
      <w:pPr>
        <w:ind w:firstLine="720" w:firstLineChars="300"/>
        <w:rPr>
          <w:rFonts w:hint="eastAsia" w:ascii="仿宋" w:hAnsi="仿宋" w:eastAsia="仿宋"/>
          <w:sz w:val="24"/>
          <w:highlight w:val="none"/>
          <w:lang w:eastAsia="zh-CN"/>
        </w:rPr>
      </w:pPr>
      <w:r>
        <w:rPr>
          <w:rFonts w:hint="eastAsia" w:ascii="仿宋" w:hAnsi="仿宋" w:eastAsia="仿宋"/>
          <w:sz w:val="24"/>
          <w:highlight w:val="none"/>
          <w:lang w:eastAsia="zh-CN"/>
        </w:rPr>
        <w:t>注：</w:t>
      </w:r>
      <w:r>
        <w:rPr>
          <w:rFonts w:hint="eastAsia" w:ascii="仿宋" w:hAnsi="仿宋" w:eastAsia="仿宋"/>
          <w:sz w:val="24"/>
          <w:highlight w:val="none"/>
          <w:lang w:val="en-US" w:eastAsia="zh-CN"/>
        </w:rPr>
        <w:t>1.</w:t>
      </w:r>
      <w:r>
        <w:rPr>
          <w:rFonts w:hint="eastAsia" w:ascii="仿宋" w:hAnsi="仿宋" w:eastAsia="仿宋"/>
          <w:sz w:val="24"/>
          <w:highlight w:val="none"/>
          <w:lang w:eastAsia="zh-CN"/>
        </w:rPr>
        <w:t>提供有效期内的身份证明材料，例如居民身份证或户口本或军官证或护照等；</w:t>
      </w:r>
      <w:r>
        <w:rPr>
          <w:rFonts w:hint="eastAsia" w:ascii="仿宋" w:hAnsi="仿宋" w:eastAsia="仿宋"/>
          <w:sz w:val="24"/>
          <w:highlight w:val="none"/>
          <w:lang w:val="en-US" w:eastAsia="zh-CN"/>
        </w:rPr>
        <w:t>2.</w:t>
      </w:r>
      <w:r>
        <w:rPr>
          <w:rFonts w:hint="eastAsia" w:ascii="仿宋" w:hAnsi="仿宋" w:eastAsia="仿宋"/>
          <w:sz w:val="24"/>
          <w:highlight w:val="none"/>
          <w:lang w:eastAsia="zh-CN"/>
        </w:rPr>
        <w:t>若提供居民身份证，须为正、反面复印件。</w:t>
      </w:r>
    </w:p>
    <w:p w14:paraId="4D30C600">
      <w:pPr>
        <w:rPr>
          <w:rFonts w:hint="eastAsia" w:ascii="仿宋" w:hAnsi="仿宋" w:eastAsia="仿宋"/>
          <w:sz w:val="24"/>
          <w:highlight w:val="none"/>
          <w:lang w:eastAsia="zh-CN"/>
        </w:rPr>
      </w:pPr>
      <w:r>
        <w:rPr>
          <w:rFonts w:hint="eastAsia" w:ascii="仿宋" w:hAnsi="仿宋" w:eastAsia="仿宋"/>
          <w:sz w:val="24"/>
          <w:highlight w:val="none"/>
          <w:lang w:eastAsia="zh-CN"/>
        </w:rPr>
        <w:br w:type="page"/>
      </w:r>
    </w:p>
    <w:p w14:paraId="6B3972EF">
      <w:pPr>
        <w:pStyle w:val="1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643" w:firstLineChars="200"/>
        <w:jc w:val="center"/>
        <w:textAlignment w:val="auto"/>
        <w:outlineLvl w:val="9"/>
        <w:rPr>
          <w:rFonts w:hint="eastAsia" w:ascii="仿宋" w:hAnsi="仿宋" w:eastAsia="仿宋" w:cstheme="minorBidi"/>
          <w:b/>
          <w:kern w:val="2"/>
          <w:sz w:val="32"/>
          <w:szCs w:val="32"/>
          <w:highlight w:val="none"/>
          <w:lang w:val="en-US" w:eastAsia="zh-CN" w:bidi="ar-SA"/>
        </w:rPr>
      </w:pPr>
      <w:r>
        <w:rPr>
          <w:rFonts w:hint="eastAsia" w:ascii="仿宋" w:hAnsi="仿宋" w:eastAsia="仿宋" w:cstheme="minorBidi"/>
          <w:b/>
          <w:kern w:val="2"/>
          <w:sz w:val="32"/>
          <w:szCs w:val="32"/>
          <w:highlight w:val="none"/>
          <w:lang w:val="en-US" w:eastAsia="zh-CN" w:bidi="ar-SA"/>
        </w:rPr>
        <w:t>（二）法定代表人（单位负责人）身份证明</w:t>
      </w:r>
    </w:p>
    <w:p w14:paraId="08FCE650">
      <w:pPr>
        <w:pStyle w:val="1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仿宋" w:hAnsi="仿宋" w:eastAsia="仿宋" w:cstheme="minorBidi"/>
          <w:kern w:val="2"/>
          <w:sz w:val="24"/>
          <w:szCs w:val="22"/>
          <w:highlight w:val="none"/>
          <w:lang w:val="en-US" w:eastAsia="zh-CN" w:bidi="ar-SA"/>
        </w:rPr>
      </w:pPr>
      <w:r>
        <w:rPr>
          <w:rFonts w:hint="eastAsia" w:ascii="仿宋" w:hAnsi="仿宋" w:eastAsia="仿宋" w:cstheme="minorBidi"/>
          <w:kern w:val="2"/>
          <w:sz w:val="24"/>
          <w:szCs w:val="22"/>
          <w:highlight w:val="none"/>
          <w:lang w:val="en-US" w:eastAsia="zh-CN" w:bidi="ar-SA"/>
        </w:rPr>
        <w:t>（若投标人代表为“法定代表人（单位负责人）”时，提供此证明）</w:t>
      </w:r>
    </w:p>
    <w:p w14:paraId="12F22110">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sz w:val="24"/>
          <w:highlight w:val="none"/>
          <w:lang w:eastAsia="zh-CN"/>
        </w:rPr>
      </w:pPr>
    </w:p>
    <w:p w14:paraId="38C7D925">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sz w:val="24"/>
          <w:highlight w:val="none"/>
          <w:lang w:eastAsia="zh-CN"/>
        </w:rPr>
        <w:t>恒泰工程咨询集团有限公司</w:t>
      </w:r>
      <w:r>
        <w:rPr>
          <w:rFonts w:hint="eastAsia" w:ascii="仿宋" w:hAnsi="仿宋" w:eastAsia="仿宋"/>
          <w:sz w:val="24"/>
          <w:highlight w:val="none"/>
        </w:rPr>
        <w:t>：</w:t>
      </w:r>
    </w:p>
    <w:p w14:paraId="07502B0A">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val="en-US" w:eastAsia="zh-CN"/>
        </w:rPr>
      </w:pP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val="en-US" w:eastAsia="zh-CN"/>
        </w:rPr>
        <w:t>（姓名）系</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val="en-US" w:eastAsia="zh-CN"/>
        </w:rPr>
        <w:t>（投标人名称）的法定代表人（单位负责人）（职务</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val="en-US" w:eastAsia="zh-CN"/>
        </w:rPr>
        <w:t>）。</w:t>
      </w:r>
    </w:p>
    <w:p w14:paraId="083680CF">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特此证明。</w:t>
      </w:r>
    </w:p>
    <w:p w14:paraId="7BFB8FBE">
      <w:pPr>
        <w:pStyle w:val="1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仿宋" w:hAnsi="仿宋" w:eastAsia="仿宋" w:cs="仿宋"/>
          <w:highlight w:val="none"/>
          <w:lang w:val="en-US" w:eastAsia="zh-CN"/>
        </w:rPr>
      </w:pPr>
    </w:p>
    <w:p w14:paraId="3FAD8AFD">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投标人名称：XXXX（盖单位公章）</w:t>
      </w:r>
    </w:p>
    <w:p w14:paraId="7127A892">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法定代表人（单位负责人）（签字或加盖个人名章）：XXXX。</w:t>
      </w:r>
    </w:p>
    <w:p w14:paraId="185C7F7F">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日    期：XXXX。</w:t>
      </w:r>
    </w:p>
    <w:p w14:paraId="3BAB3C31">
      <w:pPr>
        <w:pStyle w:val="1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lang w:val="en-US" w:eastAsia="zh-CN"/>
        </w:rPr>
      </w:pPr>
    </w:p>
    <w:p w14:paraId="5AD688FF">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法定代表人（单位负责人）有效期内的居民身份证正反面</w:t>
      </w:r>
    </w:p>
    <w:tbl>
      <w:tblPr>
        <w:tblStyle w:val="21"/>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14:paraId="296A1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14:paraId="61680D33">
            <w:pPr>
              <w:tabs>
                <w:tab w:val="left" w:pos="5580"/>
              </w:tabs>
              <w:spacing w:line="360" w:lineRule="auto"/>
              <w:jc w:val="left"/>
              <w:rPr>
                <w:rFonts w:ascii="宋体" w:hAnsi="宋体"/>
                <w:color w:val="000000"/>
                <w:sz w:val="24"/>
                <w:szCs w:val="20"/>
                <w:highlight w:val="none"/>
              </w:rPr>
            </w:pPr>
          </w:p>
        </w:tc>
        <w:tc>
          <w:tcPr>
            <w:tcW w:w="3398" w:type="dxa"/>
            <w:noWrap w:val="0"/>
            <w:vAlign w:val="top"/>
          </w:tcPr>
          <w:p w14:paraId="1B3BA906">
            <w:pPr>
              <w:tabs>
                <w:tab w:val="left" w:pos="5580"/>
              </w:tabs>
              <w:spacing w:line="360" w:lineRule="auto"/>
              <w:jc w:val="left"/>
              <w:rPr>
                <w:rFonts w:ascii="宋体" w:hAnsi="宋体"/>
                <w:color w:val="000000"/>
                <w:sz w:val="24"/>
                <w:szCs w:val="20"/>
                <w:highlight w:val="none"/>
              </w:rPr>
            </w:pPr>
          </w:p>
        </w:tc>
      </w:tr>
    </w:tbl>
    <w:p w14:paraId="5B4622DC">
      <w:pPr>
        <w:pStyle w:val="1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p>
    <w:p w14:paraId="1007515E">
      <w:pPr>
        <w:ind w:firstLine="480" w:firstLineChars="200"/>
        <w:rPr>
          <w:rFonts w:hint="eastAsia" w:ascii="仿宋" w:hAnsi="仿宋" w:eastAsia="仿宋" w:cs="仿宋"/>
          <w:b w:val="0"/>
          <w:bCs w:val="0"/>
          <w:i w:val="0"/>
          <w:iCs w:val="0"/>
          <w:color w:val="auto"/>
          <w:sz w:val="24"/>
          <w:szCs w:val="24"/>
          <w:highlight w:val="none"/>
          <w:u w:val="none"/>
          <w:lang w:val="en-US" w:eastAsia="zh-CN"/>
        </w:rPr>
      </w:pPr>
      <w:r>
        <w:rPr>
          <w:rFonts w:hint="eastAsia" w:ascii="仿宋" w:hAnsi="仿宋" w:eastAsia="仿宋"/>
          <w:sz w:val="24"/>
          <w:highlight w:val="none"/>
          <w:lang w:eastAsia="zh-CN"/>
        </w:rPr>
        <w:t>注：</w:t>
      </w:r>
      <w:r>
        <w:rPr>
          <w:rFonts w:hint="eastAsia" w:ascii="仿宋" w:hAnsi="仿宋" w:eastAsia="仿宋"/>
          <w:sz w:val="24"/>
          <w:highlight w:val="none"/>
          <w:lang w:val="en-US" w:eastAsia="zh-CN"/>
        </w:rPr>
        <w:t>1.</w:t>
      </w:r>
      <w:r>
        <w:rPr>
          <w:rFonts w:hint="eastAsia" w:ascii="仿宋" w:hAnsi="仿宋" w:eastAsia="仿宋"/>
          <w:sz w:val="24"/>
          <w:highlight w:val="none"/>
          <w:lang w:eastAsia="zh-CN"/>
        </w:rPr>
        <w:t>提供有效期内的身份证明材料，例如居民身份证或户口本或军官证或护照等；</w:t>
      </w:r>
      <w:r>
        <w:rPr>
          <w:rFonts w:hint="eastAsia" w:ascii="仿宋" w:hAnsi="仿宋" w:eastAsia="仿宋"/>
          <w:sz w:val="24"/>
          <w:highlight w:val="none"/>
          <w:lang w:val="en-US" w:eastAsia="zh-CN"/>
        </w:rPr>
        <w:t>2.</w:t>
      </w:r>
      <w:r>
        <w:rPr>
          <w:rFonts w:hint="eastAsia" w:ascii="仿宋" w:hAnsi="仿宋" w:eastAsia="仿宋"/>
          <w:sz w:val="24"/>
          <w:highlight w:val="none"/>
          <w:lang w:eastAsia="zh-CN"/>
        </w:rPr>
        <w:t>若提供居民身份证，须为正、反面复印件。</w:t>
      </w:r>
    </w:p>
    <w:p w14:paraId="5974595A">
      <w:pPr>
        <w:pStyle w:val="17"/>
        <w:rPr>
          <w:highlight w:val="none"/>
        </w:rPr>
      </w:pPr>
    </w:p>
    <w:bookmarkEnd w:id="10"/>
    <w:p w14:paraId="2A1B6C9A">
      <w:pPr>
        <w:keepNext w:val="0"/>
        <w:keepLines w:val="0"/>
        <w:pageBreakBefore w:val="0"/>
        <w:kinsoku/>
        <w:wordWrap/>
        <w:overflowPunct/>
        <w:topLinePunct w:val="0"/>
        <w:autoSpaceDE/>
        <w:autoSpaceDN/>
        <w:bidi w:val="0"/>
        <w:adjustRightInd/>
        <w:snapToGrid/>
        <w:spacing w:line="360" w:lineRule="auto"/>
        <w:ind w:firstLine="790" w:firstLineChars="246"/>
        <w:jc w:val="center"/>
        <w:textAlignment w:val="auto"/>
        <w:outlineLvl w:val="9"/>
        <w:rPr>
          <w:rFonts w:ascii="仿宋" w:hAnsi="仿宋" w:eastAsia="仿宋"/>
          <w:b/>
          <w:sz w:val="32"/>
          <w:highlight w:val="none"/>
        </w:rPr>
      </w:pPr>
    </w:p>
    <w:p w14:paraId="0552B22B">
      <w:pPr>
        <w:keepNext w:val="0"/>
        <w:keepLines w:val="0"/>
        <w:pageBreakBefore w:val="0"/>
        <w:kinsoku/>
        <w:wordWrap/>
        <w:overflowPunct/>
        <w:topLinePunct w:val="0"/>
        <w:autoSpaceDE/>
        <w:autoSpaceDN/>
        <w:bidi w:val="0"/>
        <w:adjustRightInd/>
        <w:snapToGrid/>
        <w:spacing w:line="520" w:lineRule="exact"/>
        <w:ind w:firstLine="643" w:firstLineChars="200"/>
        <w:textAlignment w:val="auto"/>
        <w:outlineLvl w:val="9"/>
        <w:rPr>
          <w:rFonts w:ascii="Times New Roman" w:hAnsi="Times New Roman" w:eastAsia="仿宋" w:cs="Times New Roman"/>
          <w:sz w:val="28"/>
          <w:szCs w:val="28"/>
          <w:highlight w:val="none"/>
        </w:rPr>
      </w:pPr>
      <w:r>
        <w:rPr>
          <w:rFonts w:hint="eastAsia" w:ascii="仿宋" w:hAnsi="仿宋" w:eastAsia="仿宋"/>
          <w:b/>
          <w:sz w:val="32"/>
          <w:szCs w:val="32"/>
          <w:highlight w:val="none"/>
        </w:rPr>
        <w:br w:type="page"/>
      </w:r>
    </w:p>
    <w:p w14:paraId="722B710C">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210" w:leftChars="0" w:firstLine="0" w:firstLineChars="0"/>
        <w:jc w:val="center"/>
        <w:textAlignment w:val="auto"/>
        <w:outlineLvl w:val="9"/>
        <w:rPr>
          <w:rFonts w:hint="eastAsia" w:ascii="仿宋" w:hAnsi="仿宋" w:eastAsia="仿宋"/>
          <w:b/>
          <w:sz w:val="32"/>
          <w:szCs w:val="32"/>
          <w:highlight w:val="none"/>
        </w:rPr>
      </w:pPr>
      <w:r>
        <w:rPr>
          <w:rFonts w:hint="eastAsia" w:ascii="仿宋" w:hAnsi="仿宋" w:eastAsia="仿宋" w:cs="Times New Roman"/>
          <w:b/>
          <w:kern w:val="2"/>
          <w:sz w:val="32"/>
          <w:szCs w:val="32"/>
          <w:highlight w:val="none"/>
          <w:lang w:val="en-US" w:eastAsia="zh-CN" w:bidi="ar-SA"/>
        </w:rPr>
        <w:t>二、</w:t>
      </w:r>
      <w:r>
        <w:rPr>
          <w:rFonts w:hint="eastAsia" w:ascii="仿宋" w:hAnsi="仿宋" w:eastAsia="仿宋"/>
          <w:b/>
          <w:sz w:val="32"/>
          <w:szCs w:val="32"/>
          <w:highlight w:val="none"/>
        </w:rPr>
        <w:t>承诺函</w:t>
      </w:r>
    </w:p>
    <w:p w14:paraId="0580DD80">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仿宋" w:hAnsi="仿宋" w:eastAsia="仿宋"/>
          <w:sz w:val="24"/>
          <w:highlight w:val="none"/>
        </w:rPr>
      </w:pPr>
      <w:r>
        <w:rPr>
          <w:rFonts w:hint="eastAsia" w:ascii="仿宋" w:hAnsi="仿宋" w:eastAsia="仿宋"/>
          <w:sz w:val="24"/>
          <w:highlight w:val="none"/>
          <w:lang w:eastAsia="zh-CN"/>
        </w:rPr>
        <w:t>恒泰工程咨询集团有限公司</w:t>
      </w:r>
      <w:r>
        <w:rPr>
          <w:rFonts w:hint="eastAsia" w:ascii="仿宋" w:hAnsi="仿宋" w:eastAsia="仿宋"/>
          <w:sz w:val="24"/>
          <w:highlight w:val="none"/>
        </w:rPr>
        <w:t>（采购代理机构名称）：</w:t>
      </w:r>
    </w:p>
    <w:p w14:paraId="2AE9D07F">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我单位作为“</w:t>
      </w:r>
      <w:r>
        <w:rPr>
          <w:rFonts w:hint="eastAsia" w:ascii="仿宋" w:hAnsi="仿宋" w:eastAsia="仿宋"/>
          <w:sz w:val="24"/>
          <w:highlight w:val="none"/>
          <w:lang w:eastAsia="zh-CN"/>
        </w:rPr>
        <w:t>成都市技师学院（成都工贸职业技术学院）高端装备制造生产性实训基地教学资源开发项目</w:t>
      </w:r>
      <w:r>
        <w:rPr>
          <w:rFonts w:hint="eastAsia" w:ascii="仿宋" w:hAnsi="仿宋" w:eastAsia="仿宋"/>
          <w:sz w:val="24"/>
          <w:highlight w:val="none"/>
        </w:rPr>
        <w:t>”招标文件（</w:t>
      </w:r>
      <w:r>
        <w:rPr>
          <w:rFonts w:hint="eastAsia" w:ascii="仿宋" w:hAnsi="仿宋" w:eastAsia="仿宋"/>
          <w:sz w:val="24"/>
          <w:highlight w:val="none"/>
          <w:lang w:val="en-US" w:eastAsia="zh-CN"/>
        </w:rPr>
        <w:t>项目编号：</w:t>
      </w:r>
      <w:r>
        <w:rPr>
          <w:rFonts w:hint="eastAsia" w:ascii="仿宋" w:hAnsi="仿宋" w:eastAsia="仿宋"/>
          <w:sz w:val="24"/>
          <w:highlight w:val="none"/>
          <w:lang w:eastAsia="zh-CN"/>
        </w:rPr>
        <w:t>HT-【采】20241029</w:t>
      </w:r>
      <w:r>
        <w:rPr>
          <w:rFonts w:hint="eastAsia" w:ascii="仿宋" w:hAnsi="仿宋" w:eastAsia="仿宋"/>
          <w:sz w:val="24"/>
          <w:highlight w:val="none"/>
        </w:rPr>
        <w:t>）的投标人，根据招标文件要求，现郑重承诺如下：</w:t>
      </w:r>
    </w:p>
    <w:p w14:paraId="52720E0E">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具备《中华人民共和国政府采购法》第二十二条规定的条件：</w:t>
      </w:r>
    </w:p>
    <w:p w14:paraId="2655879C">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（一）具有独立承担民事责任的能力；</w:t>
      </w:r>
    </w:p>
    <w:p w14:paraId="73FC433A">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（二）具有良好的商业信誉和健全的财务会计制度；</w:t>
      </w:r>
    </w:p>
    <w:p w14:paraId="08E94FAD">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（三）具有履行合同所必需的设备和专业技术能力；</w:t>
      </w:r>
    </w:p>
    <w:p w14:paraId="2337DE48">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（四）有依法缴纳税收和社会保障资金的良好记录；</w:t>
      </w:r>
    </w:p>
    <w:p w14:paraId="6ED665AD">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（五）参加采购活动前三年内，在经营活动中没有重大违法记录；</w:t>
      </w:r>
    </w:p>
    <w:p w14:paraId="4E86834A">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（六）法律、行政法规规定的其他条件；</w:t>
      </w:r>
    </w:p>
    <w:p w14:paraId="695E5921">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（七）根据采购项目提出的特殊条件</w:t>
      </w:r>
      <w:r>
        <w:rPr>
          <w:rFonts w:ascii="仿宋" w:hAnsi="仿宋" w:eastAsia="仿宋"/>
          <w:sz w:val="24"/>
          <w:highlight w:val="none"/>
        </w:rPr>
        <w:t>。</w:t>
      </w:r>
    </w:p>
    <w:p w14:paraId="19D3E405">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rPr>
        <w:t>参加本次招标采购活动，不存在与单位负责人为同一人或者存在直接控股、管理关系的其他供应商参与同一合同项下的采购活动的行为。</w:t>
      </w:r>
    </w:p>
    <w:p w14:paraId="012926F2">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为采购项目提供整体设计、规范编制或者项目管理、监理、检测等服务的供应商，不得再参加该采购项目的其他采购活动，我方承诺不属于此类禁止参加本项目的供应商。</w:t>
      </w:r>
    </w:p>
    <w:p w14:paraId="4E3372F4">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本单位对上述承诺的内容事项真实性负责。如经查实上述承诺的内容事项存在虚假，我单位愿意接受以提供虚假材料谋取中标追究法律责任。</w:t>
      </w:r>
    </w:p>
    <w:p w14:paraId="5D27FD3C">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ascii="仿宋" w:hAnsi="仿宋" w:eastAsia="仿宋"/>
          <w:sz w:val="24"/>
          <w:highlight w:val="none"/>
        </w:rPr>
      </w:pPr>
    </w:p>
    <w:p w14:paraId="2AF65C22">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投标人名称：XXXX（单位公章）。</w:t>
      </w:r>
    </w:p>
    <w:p w14:paraId="06D79E84">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法定代表人</w:t>
      </w:r>
      <w:r>
        <w:rPr>
          <w:rFonts w:hint="eastAsia" w:ascii="仿宋" w:hAnsi="仿宋" w:eastAsia="仿宋"/>
          <w:sz w:val="24"/>
          <w:highlight w:val="none"/>
          <w:lang w:eastAsia="zh-CN"/>
        </w:rPr>
        <w:t>或</w:t>
      </w:r>
      <w:r>
        <w:rPr>
          <w:rFonts w:hint="eastAsia" w:ascii="仿宋" w:hAnsi="仿宋" w:eastAsia="仿宋"/>
          <w:sz w:val="24"/>
          <w:highlight w:val="none"/>
        </w:rPr>
        <w:t>单位负责人或授权代表（签字或加盖个人名章）：XXXX。</w:t>
      </w:r>
    </w:p>
    <w:p w14:paraId="55599EB5">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日    期：XXXX。</w:t>
      </w:r>
    </w:p>
    <w:p w14:paraId="56736F74">
      <w:pPr>
        <w:rPr>
          <w:highlight w:val="none"/>
        </w:rPr>
      </w:pPr>
      <w:r>
        <w:rPr>
          <w:highlight w:val="none"/>
        </w:rPr>
        <w:br w:type="page"/>
      </w:r>
    </w:p>
    <w:p w14:paraId="27C8CC62">
      <w:pPr>
        <w:keepNext w:val="0"/>
        <w:keepLines w:val="0"/>
        <w:pageBreakBefore w:val="0"/>
        <w:kinsoku/>
        <w:wordWrap/>
        <w:overflowPunct/>
        <w:topLinePunct w:val="0"/>
        <w:autoSpaceDE/>
        <w:autoSpaceDN/>
        <w:bidi w:val="0"/>
        <w:adjustRightInd/>
        <w:snapToGrid/>
        <w:spacing w:line="360" w:lineRule="auto"/>
        <w:ind w:firstLine="790" w:firstLineChars="246"/>
        <w:jc w:val="center"/>
        <w:textAlignment w:val="auto"/>
        <w:outlineLvl w:val="9"/>
        <w:rPr>
          <w:rFonts w:ascii="仿宋" w:hAnsi="仿宋" w:eastAsia="仿宋"/>
          <w:b/>
          <w:sz w:val="32"/>
          <w:szCs w:val="32"/>
          <w:highlight w:val="none"/>
        </w:rPr>
      </w:pPr>
      <w:r>
        <w:rPr>
          <w:rFonts w:hint="eastAsia" w:ascii="仿宋" w:hAnsi="仿宋" w:eastAsia="仿宋"/>
          <w:b/>
          <w:sz w:val="32"/>
          <w:szCs w:val="32"/>
          <w:highlight w:val="none"/>
          <w:lang w:val="en-US" w:eastAsia="zh-CN"/>
        </w:rPr>
        <w:t>三、</w:t>
      </w:r>
      <w:r>
        <w:rPr>
          <w:rFonts w:hint="eastAsia" w:ascii="仿宋" w:hAnsi="仿宋" w:eastAsia="仿宋"/>
          <w:b/>
          <w:sz w:val="32"/>
          <w:szCs w:val="32"/>
          <w:highlight w:val="none"/>
        </w:rPr>
        <w:t>投标人和投标产品其他资格、资质性的相关证明材料</w:t>
      </w:r>
    </w:p>
    <w:p w14:paraId="4A33C747">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b/>
          <w:sz w:val="24"/>
          <w:highlight w:val="none"/>
          <w:lang w:eastAsia="zh-CN"/>
        </w:rPr>
      </w:pPr>
      <w:r>
        <w:rPr>
          <w:rFonts w:hint="eastAsia" w:ascii="仿宋" w:hAnsi="仿宋" w:eastAsia="仿宋" w:cs="宋体"/>
          <w:bCs/>
          <w:sz w:val="24"/>
          <w:highlight w:val="none"/>
        </w:rPr>
        <w:t>注：投标人应按招标文件第</w:t>
      </w:r>
      <w:r>
        <w:rPr>
          <w:rFonts w:hint="eastAsia" w:ascii="仿宋" w:hAnsi="仿宋" w:eastAsia="仿宋" w:cs="宋体"/>
          <w:bCs/>
          <w:sz w:val="24"/>
          <w:highlight w:val="none"/>
          <w:lang w:val="en-US" w:eastAsia="zh-CN"/>
        </w:rPr>
        <w:t>四</w:t>
      </w:r>
      <w:r>
        <w:rPr>
          <w:rFonts w:hint="eastAsia" w:ascii="仿宋" w:hAnsi="仿宋" w:eastAsia="仿宋" w:cs="宋体"/>
          <w:bCs/>
          <w:sz w:val="24"/>
          <w:highlight w:val="none"/>
        </w:rPr>
        <w:t>章相关要求提供佐证材料，有格式要求的从其要求，无格式要求的格式自拟。</w:t>
      </w:r>
    </w:p>
    <w:p w14:paraId="0A73DEAF">
      <w:pPr>
        <w:rPr>
          <w:rFonts w:hint="eastAsia" w:ascii="仿宋" w:hAnsi="仿宋" w:eastAsia="仿宋"/>
          <w:b/>
          <w:sz w:val="32"/>
          <w:szCs w:val="32"/>
          <w:highlight w:val="none"/>
          <w:lang w:val="en-US" w:eastAsia="zh-CN"/>
        </w:rPr>
      </w:pPr>
      <w:r>
        <w:rPr>
          <w:rFonts w:hint="eastAsia" w:ascii="仿宋" w:hAnsi="仿宋" w:eastAsia="仿宋"/>
          <w:b/>
          <w:sz w:val="32"/>
          <w:szCs w:val="32"/>
          <w:highlight w:val="none"/>
          <w:lang w:val="en-US" w:eastAsia="zh-CN"/>
        </w:rPr>
        <w:br w:type="page"/>
      </w:r>
    </w:p>
    <w:p w14:paraId="09DA79B6">
      <w:pPr>
        <w:pStyle w:val="9"/>
        <w:keepNext w:val="0"/>
        <w:keepLines w:val="0"/>
        <w:pageBreakBefore w:val="0"/>
        <w:kinsoku/>
        <w:wordWrap/>
        <w:overflowPunct/>
        <w:topLinePunct w:val="0"/>
        <w:autoSpaceDE/>
        <w:autoSpaceDN/>
        <w:bidi w:val="0"/>
        <w:adjustRightInd/>
        <w:snapToGrid/>
        <w:textAlignment w:val="auto"/>
        <w:outlineLvl w:val="9"/>
        <w:rPr>
          <w:highlight w:val="none"/>
        </w:rPr>
      </w:pPr>
    </w:p>
    <w:p w14:paraId="599B09CB">
      <w:pPr>
        <w:keepNext w:val="0"/>
        <w:keepLines w:val="0"/>
        <w:pageBreakBefore w:val="0"/>
        <w:tabs>
          <w:tab w:val="left" w:pos="900"/>
        </w:tabs>
        <w:kinsoku/>
        <w:wordWrap/>
        <w:overflowPunct/>
        <w:topLinePunct w:val="0"/>
        <w:autoSpaceDE/>
        <w:autoSpaceDN/>
        <w:bidi w:val="0"/>
        <w:adjustRightInd/>
        <w:snapToGrid/>
        <w:spacing w:line="360" w:lineRule="auto"/>
        <w:jc w:val="center"/>
        <w:textAlignment w:val="auto"/>
        <w:outlineLvl w:val="1"/>
        <w:rPr>
          <w:rFonts w:ascii="仿宋" w:hAnsi="仿宋" w:eastAsia="仿宋"/>
          <w:b/>
          <w:sz w:val="32"/>
          <w:highlight w:val="none"/>
        </w:rPr>
      </w:pPr>
      <w:r>
        <w:rPr>
          <w:rFonts w:ascii="仿宋" w:hAnsi="仿宋" w:eastAsia="仿宋"/>
          <w:b/>
          <w:sz w:val="32"/>
          <w:highlight w:val="none"/>
        </w:rPr>
        <w:t>第</w:t>
      </w:r>
      <w:r>
        <w:rPr>
          <w:rFonts w:hint="eastAsia" w:ascii="仿宋" w:hAnsi="仿宋" w:eastAsia="仿宋"/>
          <w:b/>
          <w:sz w:val="32"/>
          <w:highlight w:val="none"/>
        </w:rPr>
        <w:t>二</w:t>
      </w:r>
      <w:r>
        <w:rPr>
          <w:rFonts w:ascii="仿宋" w:hAnsi="仿宋" w:eastAsia="仿宋"/>
          <w:b/>
          <w:sz w:val="32"/>
          <w:highlight w:val="none"/>
        </w:rPr>
        <w:t xml:space="preserve">部分     </w:t>
      </w:r>
      <w:r>
        <w:rPr>
          <w:rFonts w:hint="eastAsia" w:ascii="仿宋" w:hAnsi="仿宋" w:eastAsia="仿宋"/>
          <w:b/>
          <w:sz w:val="32"/>
          <w:highlight w:val="none"/>
        </w:rPr>
        <w:t>“其他响应性投标</w:t>
      </w:r>
      <w:r>
        <w:rPr>
          <w:rFonts w:ascii="仿宋" w:hAnsi="仿宋" w:eastAsia="仿宋"/>
          <w:b/>
          <w:sz w:val="32"/>
          <w:highlight w:val="none"/>
        </w:rPr>
        <w:t>文件</w:t>
      </w:r>
      <w:r>
        <w:rPr>
          <w:rFonts w:hint="eastAsia" w:ascii="仿宋" w:hAnsi="仿宋" w:eastAsia="仿宋"/>
          <w:b/>
          <w:sz w:val="32"/>
          <w:highlight w:val="none"/>
        </w:rPr>
        <w:t>”</w:t>
      </w:r>
      <w:r>
        <w:rPr>
          <w:rFonts w:ascii="仿宋" w:hAnsi="仿宋" w:eastAsia="仿宋"/>
          <w:b/>
          <w:sz w:val="32"/>
          <w:highlight w:val="none"/>
        </w:rPr>
        <w:t>格式</w:t>
      </w:r>
    </w:p>
    <w:p w14:paraId="48FE8C96">
      <w:pPr>
        <w:keepNext w:val="0"/>
        <w:keepLines w:val="0"/>
        <w:pageBreakBefore w:val="0"/>
        <w:kinsoku/>
        <w:wordWrap/>
        <w:overflowPunct/>
        <w:topLinePunct w:val="0"/>
        <w:autoSpaceDE/>
        <w:autoSpaceDN/>
        <w:bidi w:val="0"/>
        <w:adjustRightInd/>
        <w:snapToGrid/>
        <w:spacing w:line="360" w:lineRule="auto"/>
        <w:textAlignment w:val="auto"/>
        <w:outlineLvl w:val="9"/>
        <w:rPr>
          <w:rFonts w:ascii="仿宋" w:hAnsi="仿宋" w:eastAsia="仿宋"/>
          <w:b/>
          <w:sz w:val="32"/>
          <w:szCs w:val="32"/>
          <w:highlight w:val="none"/>
        </w:rPr>
      </w:pPr>
      <w:r>
        <w:rPr>
          <w:rFonts w:hint="eastAsia" w:ascii="仿宋" w:hAnsi="仿宋" w:eastAsia="仿宋"/>
          <w:b/>
          <w:sz w:val="32"/>
          <w:szCs w:val="32"/>
          <w:highlight w:val="none"/>
        </w:rPr>
        <w:t>封面：</w:t>
      </w:r>
    </w:p>
    <w:p w14:paraId="6A5FD3C0">
      <w:pPr>
        <w:keepNext w:val="0"/>
        <w:keepLines w:val="0"/>
        <w:pageBreakBefore w:val="0"/>
        <w:kinsoku/>
        <w:wordWrap/>
        <w:overflowPunct/>
        <w:topLinePunct w:val="0"/>
        <w:autoSpaceDE/>
        <w:autoSpaceDN/>
        <w:bidi w:val="0"/>
        <w:adjustRightInd/>
        <w:snapToGrid/>
        <w:spacing w:line="360" w:lineRule="auto"/>
        <w:jc w:val="right"/>
        <w:textAlignment w:val="auto"/>
        <w:outlineLvl w:val="9"/>
        <w:rPr>
          <w:rFonts w:ascii="仿宋" w:hAnsi="仿宋" w:eastAsia="仿宋"/>
          <w:b/>
          <w:sz w:val="36"/>
          <w:highlight w:val="none"/>
        </w:rPr>
      </w:pPr>
      <w:r>
        <w:rPr>
          <w:rFonts w:ascii="仿宋" w:hAnsi="仿宋" w:eastAsia="仿宋"/>
          <w:b/>
          <w:sz w:val="36"/>
          <w:highlight w:val="none"/>
        </w:rPr>
        <w:t>（正本/副本）</w:t>
      </w:r>
    </w:p>
    <w:p w14:paraId="3888412C">
      <w:pPr>
        <w:keepNext w:val="0"/>
        <w:keepLines w:val="0"/>
        <w:pageBreakBefore w:val="0"/>
        <w:kinsoku/>
        <w:wordWrap/>
        <w:overflowPunct/>
        <w:topLinePunct w:val="0"/>
        <w:autoSpaceDE/>
        <w:autoSpaceDN/>
        <w:bidi w:val="0"/>
        <w:adjustRightInd/>
        <w:snapToGrid/>
        <w:spacing w:line="360" w:lineRule="auto"/>
        <w:textAlignment w:val="auto"/>
        <w:outlineLvl w:val="9"/>
        <w:rPr>
          <w:rFonts w:ascii="仿宋" w:hAnsi="仿宋" w:eastAsia="仿宋"/>
          <w:b/>
          <w:sz w:val="32"/>
          <w:szCs w:val="32"/>
          <w:highlight w:val="none"/>
        </w:rPr>
      </w:pPr>
    </w:p>
    <w:p w14:paraId="31B0521D">
      <w:pPr>
        <w:keepNext w:val="0"/>
        <w:keepLines w:val="0"/>
        <w:pageBreakBefore w:val="0"/>
        <w:kinsoku/>
        <w:wordWrap/>
        <w:overflowPunct/>
        <w:topLinePunct w:val="0"/>
        <w:autoSpaceDE/>
        <w:autoSpaceDN/>
        <w:bidi w:val="0"/>
        <w:adjustRightInd/>
        <w:snapToGrid/>
        <w:spacing w:line="360" w:lineRule="auto"/>
        <w:textAlignment w:val="auto"/>
        <w:outlineLvl w:val="9"/>
        <w:rPr>
          <w:rFonts w:ascii="仿宋" w:hAnsi="仿宋" w:eastAsia="仿宋"/>
          <w:b/>
          <w:sz w:val="32"/>
          <w:szCs w:val="32"/>
          <w:highlight w:val="none"/>
        </w:rPr>
      </w:pPr>
    </w:p>
    <w:p w14:paraId="1E5B8771">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b/>
          <w:sz w:val="52"/>
          <w:szCs w:val="52"/>
          <w:highlight w:val="none"/>
        </w:rPr>
      </w:pPr>
      <w:r>
        <w:rPr>
          <w:rFonts w:hint="eastAsia" w:ascii="仿宋" w:hAnsi="仿宋" w:eastAsia="仿宋"/>
          <w:b/>
          <w:sz w:val="52"/>
          <w:szCs w:val="52"/>
          <w:highlight w:val="none"/>
          <w:lang w:val="en-US" w:eastAsia="zh-CN"/>
        </w:rPr>
        <w:t>成都市技师学院（成都工贸职业技术学院）高端装备制造生产性实训基地教学资源开发项目</w:t>
      </w:r>
    </w:p>
    <w:p w14:paraId="412BDE1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b/>
          <w:sz w:val="52"/>
          <w:szCs w:val="52"/>
          <w:highlight w:val="none"/>
        </w:rPr>
      </w:pPr>
    </w:p>
    <w:p w14:paraId="0DB71CB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ascii="仿宋" w:hAnsi="仿宋" w:eastAsia="仿宋"/>
          <w:b/>
          <w:sz w:val="32"/>
          <w:szCs w:val="32"/>
          <w:highlight w:val="none"/>
        </w:rPr>
      </w:pPr>
      <w:r>
        <w:rPr>
          <w:rFonts w:hint="eastAsia" w:ascii="仿宋" w:hAnsi="仿宋" w:eastAsia="仿宋"/>
          <w:b/>
          <w:sz w:val="52"/>
          <w:szCs w:val="52"/>
          <w:highlight w:val="none"/>
        </w:rPr>
        <w:t>其他响应性投标文件</w:t>
      </w:r>
    </w:p>
    <w:p w14:paraId="42CA146C">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b/>
          <w:sz w:val="32"/>
          <w:highlight w:val="none"/>
        </w:rPr>
      </w:pPr>
    </w:p>
    <w:p w14:paraId="3E2E8F3D">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ascii="仿宋" w:hAnsi="仿宋" w:eastAsia="仿宋"/>
          <w:b/>
          <w:sz w:val="32"/>
          <w:highlight w:val="none"/>
          <w:u w:val="single"/>
        </w:rPr>
      </w:pPr>
      <w:r>
        <w:rPr>
          <w:rFonts w:hint="eastAsia" w:ascii="仿宋" w:hAnsi="仿宋" w:eastAsia="仿宋"/>
          <w:b/>
          <w:sz w:val="32"/>
          <w:highlight w:val="none"/>
        </w:rPr>
        <w:t>投 标 人</w:t>
      </w:r>
      <w:r>
        <w:rPr>
          <w:rFonts w:ascii="仿宋" w:hAnsi="仿宋" w:eastAsia="仿宋"/>
          <w:b/>
          <w:sz w:val="32"/>
          <w:highlight w:val="none"/>
        </w:rPr>
        <w:t>名称：</w:t>
      </w:r>
    </w:p>
    <w:p w14:paraId="0B9550AB">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b/>
          <w:sz w:val="32"/>
          <w:highlight w:val="none"/>
          <w:lang w:eastAsia="zh-CN"/>
        </w:rPr>
      </w:pPr>
      <w:r>
        <w:rPr>
          <w:rFonts w:hint="eastAsia" w:ascii="仿宋" w:hAnsi="仿宋" w:eastAsia="仿宋"/>
          <w:b/>
          <w:sz w:val="32"/>
          <w:highlight w:val="none"/>
        </w:rPr>
        <w:t>项</w:t>
      </w:r>
      <w:r>
        <w:rPr>
          <w:rFonts w:hint="eastAsia" w:ascii="仿宋" w:hAnsi="仿宋" w:eastAsia="仿宋"/>
          <w:b/>
          <w:sz w:val="32"/>
          <w:highlight w:val="none"/>
          <w:lang w:val="en-US" w:eastAsia="zh-CN"/>
        </w:rPr>
        <w:t xml:space="preserve"> </w:t>
      </w:r>
      <w:r>
        <w:rPr>
          <w:rFonts w:hint="eastAsia" w:ascii="仿宋" w:hAnsi="仿宋" w:eastAsia="仿宋"/>
          <w:b/>
          <w:sz w:val="32"/>
          <w:highlight w:val="none"/>
        </w:rPr>
        <w:t>目</w:t>
      </w:r>
      <w:r>
        <w:rPr>
          <w:rFonts w:hint="eastAsia" w:ascii="仿宋" w:hAnsi="仿宋" w:eastAsia="仿宋"/>
          <w:b/>
          <w:sz w:val="32"/>
          <w:highlight w:val="none"/>
          <w:lang w:val="en-US" w:eastAsia="zh-CN"/>
        </w:rPr>
        <w:t xml:space="preserve"> </w:t>
      </w:r>
      <w:r>
        <w:rPr>
          <w:rFonts w:ascii="仿宋" w:hAnsi="仿宋" w:eastAsia="仿宋"/>
          <w:b/>
          <w:sz w:val="32"/>
          <w:highlight w:val="none"/>
        </w:rPr>
        <w:t>编</w:t>
      </w:r>
      <w:r>
        <w:rPr>
          <w:rFonts w:hint="eastAsia" w:ascii="仿宋" w:hAnsi="仿宋" w:eastAsia="仿宋"/>
          <w:b/>
          <w:sz w:val="32"/>
          <w:highlight w:val="none"/>
          <w:lang w:val="en-US" w:eastAsia="zh-CN"/>
        </w:rPr>
        <w:t xml:space="preserve">  </w:t>
      </w:r>
      <w:r>
        <w:rPr>
          <w:rFonts w:ascii="仿宋" w:hAnsi="仿宋" w:eastAsia="仿宋"/>
          <w:b/>
          <w:sz w:val="32"/>
          <w:highlight w:val="none"/>
        </w:rPr>
        <w:t>号：</w:t>
      </w:r>
      <w:r>
        <w:rPr>
          <w:rFonts w:hint="eastAsia" w:ascii="仿宋" w:hAnsi="仿宋" w:eastAsia="仿宋"/>
          <w:b/>
          <w:sz w:val="32"/>
          <w:highlight w:val="none"/>
          <w:lang w:eastAsia="zh-CN"/>
        </w:rPr>
        <w:t>HT-【采】20241029</w:t>
      </w:r>
    </w:p>
    <w:p w14:paraId="10DA6FCF">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b/>
          <w:sz w:val="32"/>
          <w:highlight w:val="none"/>
          <w:u w:val="single"/>
          <w:lang w:eastAsia="zh-CN"/>
        </w:rPr>
      </w:pPr>
      <w:r>
        <w:rPr>
          <w:rFonts w:hint="eastAsia" w:ascii="仿宋" w:hAnsi="仿宋" w:eastAsia="仿宋"/>
          <w:b/>
          <w:sz w:val="32"/>
          <w:highlight w:val="none"/>
          <w:lang w:val="en-US" w:eastAsia="zh-CN"/>
        </w:rPr>
        <w:t>采  购 包 号</w:t>
      </w:r>
      <w:r>
        <w:rPr>
          <w:rFonts w:ascii="仿宋" w:hAnsi="仿宋" w:eastAsia="仿宋"/>
          <w:b/>
          <w:sz w:val="32"/>
          <w:highlight w:val="none"/>
        </w:rPr>
        <w:t>：</w:t>
      </w:r>
      <w:r>
        <w:rPr>
          <w:rFonts w:hint="eastAsia" w:ascii="仿宋" w:hAnsi="仿宋" w:eastAsia="仿宋"/>
          <w:b/>
          <w:sz w:val="32"/>
          <w:highlight w:val="none"/>
          <w:lang w:eastAsia="zh-CN"/>
        </w:rPr>
        <w:t>（若有）</w:t>
      </w:r>
    </w:p>
    <w:p w14:paraId="1352E0D1">
      <w:pPr>
        <w:keepNext w:val="0"/>
        <w:keepLines w:val="0"/>
        <w:pageBreakBefore w:val="0"/>
        <w:kinsoku/>
        <w:wordWrap/>
        <w:overflowPunct/>
        <w:topLinePunct w:val="0"/>
        <w:autoSpaceDE/>
        <w:autoSpaceDN/>
        <w:bidi w:val="0"/>
        <w:adjustRightInd/>
        <w:snapToGrid/>
        <w:jc w:val="both"/>
        <w:textAlignment w:val="auto"/>
        <w:outlineLvl w:val="9"/>
        <w:rPr>
          <w:rFonts w:hint="eastAsia" w:ascii="仿宋" w:hAnsi="仿宋" w:eastAsia="仿宋"/>
          <w:b/>
          <w:sz w:val="32"/>
          <w:highlight w:val="none"/>
        </w:rPr>
      </w:pPr>
    </w:p>
    <w:p w14:paraId="1573ACDB">
      <w:pPr>
        <w:keepNext w:val="0"/>
        <w:keepLines w:val="0"/>
        <w:pageBreakBefore w:val="0"/>
        <w:kinsoku/>
        <w:wordWrap/>
        <w:overflowPunct/>
        <w:topLinePunct w:val="0"/>
        <w:autoSpaceDE/>
        <w:autoSpaceDN/>
        <w:bidi w:val="0"/>
        <w:adjustRightInd/>
        <w:snapToGrid/>
        <w:jc w:val="center"/>
        <w:textAlignment w:val="auto"/>
        <w:outlineLvl w:val="9"/>
        <w:rPr>
          <w:rFonts w:ascii="Times New Roman" w:hAnsi="Times New Roman" w:cs="Times New Roman"/>
          <w:b/>
          <w:sz w:val="27"/>
          <w:highlight w:val="none"/>
        </w:rPr>
      </w:pPr>
      <w:r>
        <w:rPr>
          <w:rFonts w:hint="eastAsia" w:ascii="仿宋" w:hAnsi="仿宋" w:eastAsia="仿宋"/>
          <w:b/>
          <w:sz w:val="32"/>
          <w:highlight w:val="none"/>
        </w:rPr>
        <w:t>投标时间</w:t>
      </w:r>
      <w:r>
        <w:rPr>
          <w:rFonts w:ascii="仿宋" w:hAnsi="仿宋" w:eastAsia="仿宋"/>
          <w:b/>
          <w:sz w:val="32"/>
          <w:highlight w:val="none"/>
        </w:rPr>
        <w:t>：</w:t>
      </w:r>
      <w:r>
        <w:rPr>
          <w:rFonts w:hint="eastAsia" w:ascii="仿宋" w:hAnsi="仿宋" w:eastAsia="仿宋"/>
          <w:b/>
          <w:sz w:val="32"/>
          <w:highlight w:val="none"/>
        </w:rPr>
        <w:t xml:space="preserve"> 年  </w:t>
      </w:r>
      <w:r>
        <w:rPr>
          <w:rFonts w:ascii="仿宋" w:hAnsi="仿宋" w:eastAsia="仿宋"/>
          <w:b/>
          <w:sz w:val="32"/>
          <w:highlight w:val="none"/>
        </w:rPr>
        <w:t>月</w:t>
      </w:r>
      <w:r>
        <w:rPr>
          <w:rFonts w:hint="eastAsia" w:ascii="仿宋" w:hAnsi="仿宋" w:eastAsia="仿宋"/>
          <w:b/>
          <w:sz w:val="32"/>
          <w:highlight w:val="none"/>
        </w:rPr>
        <w:t xml:space="preserve">  </w:t>
      </w:r>
      <w:r>
        <w:rPr>
          <w:rFonts w:ascii="仿宋" w:hAnsi="仿宋" w:eastAsia="仿宋"/>
          <w:b/>
          <w:sz w:val="32"/>
          <w:highlight w:val="none"/>
        </w:rPr>
        <w:t>日</w:t>
      </w:r>
      <w:r>
        <w:rPr>
          <w:rFonts w:ascii="仿宋" w:hAnsi="仿宋" w:eastAsia="仿宋"/>
          <w:b/>
          <w:sz w:val="32"/>
          <w:highlight w:val="none"/>
        </w:rPr>
        <w:br w:type="page"/>
      </w:r>
    </w:p>
    <w:p w14:paraId="4268EE68">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Chars="0"/>
        <w:jc w:val="center"/>
        <w:textAlignment w:val="auto"/>
        <w:outlineLvl w:val="9"/>
        <w:rPr>
          <w:rFonts w:hint="eastAsia" w:ascii="仿宋" w:hAnsi="仿宋" w:eastAsia="仿宋"/>
          <w:b/>
          <w:sz w:val="36"/>
          <w:szCs w:val="36"/>
          <w:highlight w:val="none"/>
          <w:lang w:eastAsia="zh-CN"/>
        </w:rPr>
      </w:pPr>
      <w:r>
        <w:rPr>
          <w:rFonts w:hint="eastAsia" w:ascii="仿宋" w:hAnsi="仿宋" w:eastAsia="仿宋"/>
          <w:b/>
          <w:sz w:val="36"/>
          <w:szCs w:val="36"/>
          <w:highlight w:val="none"/>
          <w:lang w:eastAsia="zh-CN"/>
        </w:rPr>
        <w:t>一、投 标 函</w:t>
      </w:r>
    </w:p>
    <w:p w14:paraId="492E9349">
      <w:pPr>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9"/>
        <w:rPr>
          <w:rFonts w:ascii="仿宋" w:hAnsi="仿宋" w:eastAsia="仿宋"/>
          <w:b/>
          <w:sz w:val="24"/>
          <w:highlight w:val="none"/>
        </w:rPr>
      </w:pPr>
    </w:p>
    <w:p w14:paraId="51650D4A">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仿宋" w:hAnsi="仿宋" w:eastAsia="仿宋"/>
          <w:sz w:val="24"/>
          <w:highlight w:val="none"/>
        </w:rPr>
      </w:pPr>
      <w:r>
        <w:rPr>
          <w:rFonts w:hint="eastAsia" w:ascii="仿宋" w:hAnsi="仿宋" w:eastAsia="仿宋"/>
          <w:sz w:val="24"/>
          <w:highlight w:val="none"/>
          <w:lang w:eastAsia="zh-CN"/>
        </w:rPr>
        <w:t>恒泰工程咨询集团有限公司</w:t>
      </w:r>
      <w:r>
        <w:rPr>
          <w:rFonts w:hint="eastAsia" w:ascii="仿宋" w:hAnsi="仿宋" w:eastAsia="仿宋"/>
          <w:sz w:val="24"/>
          <w:highlight w:val="none"/>
        </w:rPr>
        <w:t>（采购代理机构名称）：</w:t>
      </w:r>
    </w:p>
    <w:p w14:paraId="234F74E6">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我方全面研究了“</w:t>
      </w:r>
      <w:r>
        <w:rPr>
          <w:rFonts w:hint="eastAsia" w:ascii="仿宋" w:hAnsi="仿宋" w:eastAsia="仿宋"/>
          <w:sz w:val="24"/>
          <w:highlight w:val="none"/>
          <w:u w:val="single"/>
          <w:lang w:eastAsia="zh-CN"/>
        </w:rPr>
        <w:t>成都市技师学院（成都工贸职业技术学院）高端装备制造生产性实训基地教学资源开发项目</w:t>
      </w:r>
      <w:r>
        <w:rPr>
          <w:rFonts w:hint="eastAsia" w:ascii="仿宋" w:hAnsi="仿宋" w:eastAsia="仿宋"/>
          <w:sz w:val="24"/>
          <w:highlight w:val="none"/>
        </w:rPr>
        <w:t>”（</w:t>
      </w:r>
      <w:r>
        <w:rPr>
          <w:rFonts w:hint="eastAsia" w:ascii="仿宋" w:hAnsi="仿宋" w:eastAsia="仿宋"/>
          <w:sz w:val="24"/>
          <w:highlight w:val="none"/>
          <w:lang w:val="en-US" w:eastAsia="zh-CN"/>
        </w:rPr>
        <w:t>项目</w:t>
      </w:r>
      <w:r>
        <w:rPr>
          <w:rFonts w:hint="eastAsia" w:ascii="仿宋" w:hAnsi="仿宋" w:eastAsia="仿宋"/>
          <w:sz w:val="24"/>
          <w:highlight w:val="none"/>
        </w:rPr>
        <w:t>编号：</w:t>
      </w:r>
      <w:r>
        <w:rPr>
          <w:rFonts w:hint="eastAsia" w:ascii="仿宋" w:hAnsi="仿宋" w:eastAsia="仿宋"/>
          <w:sz w:val="24"/>
          <w:highlight w:val="none"/>
          <w:u w:val="single"/>
          <w:lang w:eastAsia="zh-CN"/>
        </w:rPr>
        <w:t>HT-【采】20241029</w:t>
      </w:r>
      <w:r>
        <w:rPr>
          <w:rFonts w:hint="eastAsia" w:ascii="仿宋" w:hAnsi="仿宋" w:eastAsia="仿宋"/>
          <w:sz w:val="24"/>
          <w:highlight w:val="none"/>
        </w:rPr>
        <w:t>）招标文件，决定参加贵单位组织的本项目投标。我方授权</w:t>
      </w:r>
      <w:r>
        <w:rPr>
          <w:rFonts w:hint="eastAsia" w:ascii="仿宋" w:hAnsi="仿宋" w:eastAsia="仿宋"/>
          <w:sz w:val="24"/>
          <w:highlight w:val="none"/>
          <w:u w:val="single"/>
        </w:rPr>
        <w:t>XXXX</w:t>
      </w:r>
      <w:r>
        <w:rPr>
          <w:rFonts w:hint="eastAsia" w:ascii="仿宋" w:hAnsi="仿宋" w:eastAsia="仿宋"/>
          <w:sz w:val="24"/>
          <w:highlight w:val="none"/>
        </w:rPr>
        <w:t>（姓名、职务）代表我方</w:t>
      </w:r>
      <w:r>
        <w:rPr>
          <w:rFonts w:hint="eastAsia" w:ascii="仿宋" w:hAnsi="仿宋" w:eastAsia="仿宋"/>
          <w:sz w:val="24"/>
          <w:highlight w:val="none"/>
          <w:u w:val="single"/>
        </w:rPr>
        <w:t>XXXXXXXX</w:t>
      </w:r>
      <w:r>
        <w:rPr>
          <w:rFonts w:hint="eastAsia" w:ascii="仿宋" w:hAnsi="仿宋" w:eastAsia="仿宋"/>
          <w:sz w:val="24"/>
          <w:highlight w:val="none"/>
        </w:rPr>
        <w:t>（投标单位的名称）全权处理本项目投标的有关事宜。</w:t>
      </w:r>
    </w:p>
    <w:p w14:paraId="397E32CB">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一、我方自愿按照招标文件规定的各项要求向采购人提供所需货物</w:t>
      </w:r>
      <w:r>
        <w:rPr>
          <w:rFonts w:hint="eastAsia" w:ascii="仿宋" w:hAnsi="仿宋" w:eastAsia="仿宋"/>
          <w:sz w:val="24"/>
          <w:highlight w:val="none"/>
          <w:lang w:eastAsia="zh-CN"/>
        </w:rPr>
        <w:t>或</w:t>
      </w:r>
      <w:r>
        <w:rPr>
          <w:rFonts w:hint="eastAsia" w:ascii="仿宋" w:hAnsi="仿宋" w:eastAsia="仿宋"/>
          <w:sz w:val="24"/>
          <w:highlight w:val="none"/>
        </w:rPr>
        <w:t>服务。</w:t>
      </w:r>
    </w:p>
    <w:p w14:paraId="51791FE5">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二、一旦我方中标，我方将严格履行采购合同规定的责任和义务。</w:t>
      </w:r>
    </w:p>
    <w:p w14:paraId="5BE64C34">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hint="eastAsia" w:ascii="Times New Roman" w:hAnsi="Times New Roman" w:eastAsia="仿宋" w:cs="Times New Roman"/>
          <w:kern w:val="0"/>
          <w:sz w:val="22"/>
          <w:szCs w:val="22"/>
          <w:highlight w:val="none"/>
          <w:lang w:val="zh-CN" w:eastAsia="zh-CN" w:bidi="ar-SA"/>
        </w:rPr>
      </w:pPr>
      <w:r>
        <w:rPr>
          <w:rFonts w:hint="eastAsia" w:ascii="仿宋" w:hAnsi="仿宋" w:eastAsia="仿宋"/>
          <w:sz w:val="24"/>
          <w:highlight w:val="none"/>
        </w:rPr>
        <w:t>三、我方为本项目提交的投标文件</w:t>
      </w:r>
      <w:r>
        <w:rPr>
          <w:rFonts w:hint="eastAsia" w:ascii="仿宋" w:hAnsi="仿宋" w:eastAsia="仿宋"/>
          <w:sz w:val="24"/>
          <w:highlight w:val="none"/>
          <w:lang w:val="zh-CN" w:eastAsia="zh-CN"/>
        </w:rPr>
        <w:t>“资格性投标文件”正本1份、副本</w:t>
      </w:r>
      <w:r>
        <w:rPr>
          <w:rFonts w:hint="eastAsia" w:ascii="仿宋" w:hAnsi="仿宋" w:eastAsia="仿宋"/>
          <w:sz w:val="24"/>
          <w:highlight w:val="none"/>
          <w:u w:val="single"/>
        </w:rPr>
        <w:t>XX</w:t>
      </w:r>
      <w:r>
        <w:rPr>
          <w:rFonts w:hint="eastAsia" w:ascii="仿宋" w:hAnsi="仿宋" w:eastAsia="仿宋"/>
          <w:sz w:val="24"/>
          <w:highlight w:val="none"/>
          <w:lang w:val="zh-CN" w:eastAsia="zh-CN"/>
        </w:rPr>
        <w:t>份、</w:t>
      </w:r>
      <w:r>
        <w:rPr>
          <w:rFonts w:hint="eastAsia" w:ascii="仿宋" w:hAnsi="仿宋" w:eastAsia="仿宋"/>
          <w:sz w:val="24"/>
          <w:highlight w:val="none"/>
          <w:lang w:val="en-US" w:eastAsia="zh-CN"/>
        </w:rPr>
        <w:t>电子档1份，</w:t>
      </w:r>
      <w:r>
        <w:rPr>
          <w:rFonts w:hint="eastAsia" w:ascii="仿宋" w:hAnsi="仿宋" w:eastAsia="仿宋"/>
          <w:sz w:val="24"/>
          <w:highlight w:val="none"/>
          <w:lang w:val="zh-CN" w:eastAsia="zh-CN"/>
        </w:rPr>
        <w:t>“</w:t>
      </w:r>
      <w:r>
        <w:rPr>
          <w:rFonts w:hint="eastAsia" w:ascii="仿宋" w:hAnsi="仿宋" w:eastAsia="仿宋"/>
          <w:sz w:val="24"/>
          <w:highlight w:val="none"/>
          <w:lang w:val="en-US" w:eastAsia="zh-CN"/>
        </w:rPr>
        <w:t>其他</w:t>
      </w:r>
      <w:r>
        <w:rPr>
          <w:rFonts w:hint="eastAsia" w:ascii="仿宋" w:hAnsi="仿宋" w:eastAsia="仿宋"/>
          <w:sz w:val="24"/>
          <w:highlight w:val="none"/>
          <w:lang w:val="zh-CN" w:eastAsia="zh-CN"/>
        </w:rPr>
        <w:t>响应性投标文件”正本1份、副本</w:t>
      </w:r>
      <w:r>
        <w:rPr>
          <w:rFonts w:hint="eastAsia" w:ascii="仿宋" w:hAnsi="仿宋" w:eastAsia="仿宋"/>
          <w:sz w:val="24"/>
          <w:highlight w:val="none"/>
          <w:u w:val="single"/>
        </w:rPr>
        <w:t>XX</w:t>
      </w:r>
      <w:r>
        <w:rPr>
          <w:rFonts w:hint="eastAsia" w:ascii="仿宋" w:hAnsi="仿宋" w:eastAsia="仿宋"/>
          <w:sz w:val="24"/>
          <w:highlight w:val="none"/>
          <w:lang w:val="zh-CN" w:eastAsia="zh-CN"/>
        </w:rPr>
        <w:t>份、</w:t>
      </w:r>
      <w:r>
        <w:rPr>
          <w:rFonts w:hint="eastAsia" w:ascii="仿宋" w:hAnsi="仿宋" w:eastAsia="仿宋"/>
          <w:sz w:val="24"/>
          <w:highlight w:val="none"/>
          <w:lang w:val="en-US" w:eastAsia="zh-CN"/>
        </w:rPr>
        <w:t>电子档1份</w:t>
      </w:r>
      <w:r>
        <w:rPr>
          <w:rFonts w:hint="eastAsia" w:ascii="仿宋" w:hAnsi="仿宋" w:eastAsia="仿宋"/>
          <w:sz w:val="24"/>
          <w:highlight w:val="none"/>
          <w:lang w:val="zh-CN" w:eastAsia="zh-CN"/>
        </w:rPr>
        <w:t>，</w:t>
      </w:r>
      <w:r>
        <w:rPr>
          <w:rFonts w:hint="eastAsia" w:ascii="仿宋" w:hAnsi="仿宋" w:eastAsia="仿宋"/>
          <w:sz w:val="24"/>
          <w:highlight w:val="none"/>
          <w:lang w:val="en-US" w:eastAsia="zh-CN"/>
        </w:rPr>
        <w:t>用于开标唱标的</w:t>
      </w:r>
      <w:r>
        <w:rPr>
          <w:rFonts w:hint="eastAsia" w:ascii="仿宋" w:hAnsi="仿宋" w:eastAsia="仿宋"/>
          <w:sz w:val="24"/>
          <w:highlight w:val="none"/>
          <w:lang w:val="zh-CN" w:eastAsia="zh-CN"/>
        </w:rPr>
        <w:t>“开标一览表”</w:t>
      </w:r>
      <w:r>
        <w:rPr>
          <w:rFonts w:hint="eastAsia" w:ascii="仿宋" w:hAnsi="仿宋" w:eastAsia="仿宋"/>
          <w:sz w:val="24"/>
          <w:highlight w:val="none"/>
          <w:u w:val="single"/>
        </w:rPr>
        <w:t>X</w:t>
      </w:r>
      <w:r>
        <w:rPr>
          <w:rFonts w:hint="eastAsia" w:ascii="仿宋" w:hAnsi="仿宋" w:eastAsia="仿宋"/>
          <w:sz w:val="24"/>
          <w:highlight w:val="none"/>
          <w:lang w:val="zh-CN" w:eastAsia="zh-CN"/>
        </w:rPr>
        <w:t>份。</w:t>
      </w:r>
    </w:p>
    <w:p w14:paraId="011C4E70">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四、我方同意本次招标的投标有效期为投标截止时间届满后</w:t>
      </w:r>
      <w:r>
        <w:rPr>
          <w:rFonts w:hint="eastAsia" w:ascii="仿宋" w:hAnsi="仿宋" w:eastAsia="仿宋"/>
          <w:sz w:val="24"/>
          <w:highlight w:val="none"/>
          <w:u w:val="single"/>
          <w:lang w:val="en-US" w:eastAsia="zh-CN"/>
        </w:rPr>
        <w:t>120天</w:t>
      </w:r>
      <w:r>
        <w:rPr>
          <w:rFonts w:hint="eastAsia" w:ascii="仿宋" w:hAnsi="仿宋" w:eastAsia="仿宋"/>
          <w:sz w:val="24"/>
          <w:highlight w:val="none"/>
        </w:rPr>
        <w:t>，</w:t>
      </w:r>
      <w:r>
        <w:rPr>
          <w:rFonts w:ascii="仿宋" w:hAnsi="仿宋" w:eastAsia="仿宋"/>
          <w:sz w:val="24"/>
          <w:highlight w:val="none"/>
        </w:rPr>
        <w:t>并满足招标文件</w:t>
      </w:r>
      <w:r>
        <w:rPr>
          <w:rFonts w:hint="eastAsia" w:ascii="仿宋" w:hAnsi="仿宋" w:eastAsia="仿宋"/>
          <w:sz w:val="24"/>
          <w:highlight w:val="none"/>
        </w:rPr>
        <w:t>中其他</w:t>
      </w:r>
      <w:r>
        <w:rPr>
          <w:rFonts w:ascii="仿宋" w:hAnsi="仿宋" w:eastAsia="仿宋"/>
          <w:sz w:val="24"/>
          <w:highlight w:val="none"/>
        </w:rPr>
        <w:t>关于</w:t>
      </w:r>
      <w:r>
        <w:rPr>
          <w:rFonts w:hint="eastAsia" w:ascii="仿宋" w:hAnsi="仿宋" w:eastAsia="仿宋"/>
          <w:sz w:val="24"/>
          <w:highlight w:val="none"/>
        </w:rPr>
        <w:t>投标有效期的</w:t>
      </w:r>
      <w:r>
        <w:rPr>
          <w:rFonts w:ascii="仿宋" w:hAnsi="仿宋" w:eastAsia="仿宋"/>
          <w:sz w:val="24"/>
          <w:highlight w:val="none"/>
        </w:rPr>
        <w:t>实质性要求</w:t>
      </w:r>
      <w:r>
        <w:rPr>
          <w:rFonts w:hint="eastAsia" w:ascii="仿宋" w:hAnsi="仿宋" w:eastAsia="仿宋"/>
          <w:sz w:val="24"/>
          <w:highlight w:val="none"/>
        </w:rPr>
        <w:t>。</w:t>
      </w:r>
    </w:p>
    <w:p w14:paraId="6AE91580">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hint="eastAsia" w:ascii="仿宋" w:hAnsi="仿宋" w:eastAsia="仿宋"/>
          <w:sz w:val="24"/>
          <w:highlight w:val="none"/>
        </w:rPr>
      </w:pPr>
      <w:r>
        <w:rPr>
          <w:rFonts w:hint="eastAsia" w:ascii="仿宋" w:hAnsi="仿宋" w:eastAsia="仿宋"/>
          <w:sz w:val="24"/>
          <w:highlight w:val="none"/>
        </w:rPr>
        <w:t>五、我方愿意提供贵单位可能另外要求的，与投标有关的文件资料，并保证我方已提供和将要提供的文件资料是真实、准确的。</w:t>
      </w:r>
    </w:p>
    <w:p w14:paraId="08F03677">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highlight w:val="none"/>
        </w:rPr>
      </w:pPr>
      <w:r>
        <w:rPr>
          <w:rFonts w:hint="eastAsia" w:ascii="仿宋" w:hAnsi="仿宋" w:eastAsia="仿宋"/>
          <w:sz w:val="24"/>
          <w:highlight w:val="none"/>
          <w:lang w:val="en-US" w:eastAsia="zh-CN"/>
        </w:rPr>
        <w:t>六、一旦我方中标，我方保证按照</w:t>
      </w:r>
      <w:r>
        <w:rPr>
          <w:rFonts w:hint="eastAsia" w:ascii="仿宋" w:hAnsi="仿宋" w:eastAsia="仿宋"/>
          <w:sz w:val="24"/>
          <w:highlight w:val="none"/>
          <w:lang w:val="zh-CN" w:eastAsia="zh-CN"/>
        </w:rPr>
        <w:t>招标文件</w:t>
      </w:r>
      <w:r>
        <w:rPr>
          <w:rFonts w:hint="eastAsia" w:ascii="仿宋" w:hAnsi="仿宋" w:eastAsia="仿宋"/>
          <w:sz w:val="24"/>
          <w:highlight w:val="none"/>
          <w:lang w:val="en-US" w:eastAsia="zh-CN"/>
        </w:rPr>
        <w:t>的规定向贵公司一次性支付采购代理服务费。如因我方自身原因造成取消中标资格或自愿放弃中标资格的，我方已交纳的采购代理服务费将不予退还，由此造成的损失由我方自行承担。</w:t>
      </w:r>
    </w:p>
    <w:p w14:paraId="1E095725">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投标人名称：XXXX（单位公章）。</w:t>
      </w:r>
    </w:p>
    <w:p w14:paraId="2F7CD9C1">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法定代表人</w:t>
      </w:r>
      <w:r>
        <w:rPr>
          <w:rFonts w:hint="eastAsia" w:ascii="仿宋" w:hAnsi="仿宋" w:eastAsia="仿宋"/>
          <w:sz w:val="24"/>
          <w:highlight w:val="none"/>
          <w:lang w:eastAsia="zh-CN"/>
        </w:rPr>
        <w:t>或</w:t>
      </w:r>
      <w:r>
        <w:rPr>
          <w:rFonts w:hint="eastAsia" w:ascii="仿宋" w:hAnsi="仿宋" w:eastAsia="仿宋"/>
          <w:sz w:val="24"/>
          <w:highlight w:val="none"/>
        </w:rPr>
        <w:t>单位负责人或授权代表（签字或加盖个人名章）：XXXX。</w:t>
      </w:r>
    </w:p>
    <w:p w14:paraId="23C54E20">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通讯地址：XXXX。</w:t>
      </w:r>
    </w:p>
    <w:p w14:paraId="05F2083F">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邮政编码：XXXX。</w:t>
      </w:r>
    </w:p>
    <w:p w14:paraId="16F70567">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联系电话：XXXX。</w:t>
      </w:r>
    </w:p>
    <w:p w14:paraId="1B1A66CA">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传    真：XXXX。</w:t>
      </w:r>
    </w:p>
    <w:p w14:paraId="7C8CB6A2">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日    期：XXXX年XXXX月XXXX日。</w:t>
      </w:r>
    </w:p>
    <w:p w14:paraId="38CD72EB">
      <w:pPr>
        <w:keepNext w:val="0"/>
        <w:keepLines w:val="0"/>
        <w:pageBreakBefore w:val="0"/>
        <w:widowControl/>
        <w:kinsoku/>
        <w:wordWrap/>
        <w:overflowPunct/>
        <w:topLinePunct w:val="0"/>
        <w:autoSpaceDE/>
        <w:autoSpaceDN/>
        <w:bidi w:val="0"/>
        <w:adjustRightInd/>
        <w:snapToGrid/>
        <w:spacing w:after="0" w:line="520" w:lineRule="exact"/>
        <w:jc w:val="left"/>
        <w:textAlignment w:val="auto"/>
        <w:outlineLvl w:val="9"/>
        <w:rPr>
          <w:rFonts w:ascii="仿宋" w:hAnsi="仿宋" w:eastAsia="仿宋"/>
          <w:b/>
          <w:sz w:val="32"/>
          <w:szCs w:val="32"/>
          <w:highlight w:val="none"/>
        </w:rPr>
      </w:pPr>
      <w:r>
        <w:rPr>
          <w:rFonts w:hint="eastAsia" w:ascii="仿宋" w:hAnsi="仿宋" w:eastAsia="仿宋"/>
          <w:b/>
          <w:sz w:val="32"/>
          <w:szCs w:val="32"/>
          <w:highlight w:val="none"/>
        </w:rPr>
        <w:br w:type="page"/>
      </w:r>
    </w:p>
    <w:p w14:paraId="01657D35">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Chars="0"/>
        <w:jc w:val="center"/>
        <w:textAlignment w:val="auto"/>
        <w:outlineLvl w:val="9"/>
        <w:rPr>
          <w:rFonts w:hint="eastAsia" w:ascii="仿宋" w:hAnsi="仿宋" w:eastAsia="仿宋"/>
          <w:b/>
          <w:sz w:val="36"/>
          <w:szCs w:val="36"/>
          <w:highlight w:val="none"/>
          <w:lang w:eastAsia="zh-CN"/>
        </w:rPr>
      </w:pPr>
      <w:r>
        <w:rPr>
          <w:rFonts w:hint="eastAsia" w:ascii="仿宋" w:hAnsi="仿宋" w:eastAsia="仿宋"/>
          <w:b/>
          <w:sz w:val="36"/>
          <w:szCs w:val="36"/>
          <w:highlight w:val="none"/>
          <w:lang w:eastAsia="zh-CN"/>
        </w:rPr>
        <w:t>二、承</w:t>
      </w:r>
      <w:r>
        <w:rPr>
          <w:rFonts w:hint="eastAsia" w:ascii="仿宋" w:hAnsi="仿宋" w:eastAsia="仿宋"/>
          <w:b/>
          <w:sz w:val="36"/>
          <w:szCs w:val="36"/>
          <w:highlight w:val="none"/>
          <w:lang w:val="en-US" w:eastAsia="zh-CN"/>
        </w:rPr>
        <w:t xml:space="preserve"> </w:t>
      </w:r>
      <w:r>
        <w:rPr>
          <w:rFonts w:hint="eastAsia" w:ascii="仿宋" w:hAnsi="仿宋" w:eastAsia="仿宋"/>
          <w:b/>
          <w:sz w:val="36"/>
          <w:szCs w:val="36"/>
          <w:highlight w:val="none"/>
          <w:lang w:eastAsia="zh-CN"/>
        </w:rPr>
        <w:t>诺</w:t>
      </w:r>
      <w:r>
        <w:rPr>
          <w:rFonts w:hint="eastAsia" w:ascii="仿宋" w:hAnsi="仿宋" w:eastAsia="仿宋"/>
          <w:b/>
          <w:sz w:val="36"/>
          <w:szCs w:val="36"/>
          <w:highlight w:val="none"/>
          <w:lang w:val="en-US" w:eastAsia="zh-CN"/>
        </w:rPr>
        <w:t xml:space="preserve"> </w:t>
      </w:r>
      <w:r>
        <w:rPr>
          <w:rFonts w:hint="eastAsia" w:ascii="仿宋" w:hAnsi="仿宋" w:eastAsia="仿宋"/>
          <w:b/>
          <w:sz w:val="36"/>
          <w:szCs w:val="36"/>
          <w:highlight w:val="none"/>
          <w:lang w:eastAsia="zh-CN"/>
        </w:rPr>
        <w:t>函</w:t>
      </w:r>
    </w:p>
    <w:p w14:paraId="163F38EC">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rFonts w:ascii="仿宋" w:hAnsi="仿宋" w:eastAsia="仿宋"/>
          <w:b/>
          <w:sz w:val="24"/>
          <w:highlight w:val="none"/>
        </w:rPr>
      </w:pPr>
    </w:p>
    <w:p w14:paraId="09F34670">
      <w:pPr>
        <w:keepNext w:val="0"/>
        <w:keepLines w:val="0"/>
        <w:pageBreakBefore w:val="0"/>
        <w:widowControl/>
        <w:kinsoku/>
        <w:wordWrap/>
        <w:overflowPunct/>
        <w:topLinePunct w:val="0"/>
        <w:autoSpaceDE/>
        <w:autoSpaceDN/>
        <w:bidi w:val="0"/>
        <w:adjustRightInd/>
        <w:snapToGrid/>
        <w:spacing w:after="0" w:line="240" w:lineRule="auto"/>
        <w:jc w:val="left"/>
        <w:textAlignment w:val="auto"/>
        <w:outlineLvl w:val="9"/>
        <w:rPr>
          <w:rFonts w:ascii="仿宋" w:hAnsi="仿宋" w:eastAsia="仿宋"/>
          <w:sz w:val="24"/>
          <w:highlight w:val="none"/>
        </w:rPr>
      </w:pPr>
      <w:r>
        <w:rPr>
          <w:rFonts w:hint="eastAsia" w:ascii="仿宋" w:hAnsi="仿宋" w:eastAsia="仿宋"/>
          <w:sz w:val="24"/>
          <w:highlight w:val="none"/>
          <w:lang w:eastAsia="zh-CN"/>
        </w:rPr>
        <w:t>恒泰工程咨询集团有限公司</w:t>
      </w:r>
      <w:r>
        <w:rPr>
          <w:rFonts w:hint="eastAsia" w:ascii="仿宋" w:hAnsi="仿宋" w:eastAsia="仿宋"/>
          <w:sz w:val="24"/>
          <w:highlight w:val="none"/>
        </w:rPr>
        <w:t>（采购代理机构名称）：</w:t>
      </w:r>
    </w:p>
    <w:p w14:paraId="3EA6726E">
      <w:pPr>
        <w:keepNext w:val="0"/>
        <w:keepLines w:val="0"/>
        <w:pageBreakBefore w:val="0"/>
        <w:widowControl/>
        <w:kinsoku/>
        <w:wordWrap/>
        <w:overflowPunct/>
        <w:topLinePunct w:val="0"/>
        <w:autoSpaceDE/>
        <w:autoSpaceDN/>
        <w:bidi w:val="0"/>
        <w:adjustRightInd/>
        <w:snapToGrid/>
        <w:spacing w:after="0" w:line="240" w:lineRule="auto"/>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我方作为本次采购项目的投标人，根据招标文件要求，现郑重承诺如下：</w:t>
      </w:r>
    </w:p>
    <w:p w14:paraId="70B0D234">
      <w:pPr>
        <w:keepNext w:val="0"/>
        <w:keepLines w:val="0"/>
        <w:pageBreakBefore w:val="0"/>
        <w:widowControl/>
        <w:kinsoku/>
        <w:wordWrap/>
        <w:overflowPunct/>
        <w:topLinePunct w:val="0"/>
        <w:autoSpaceDE/>
        <w:autoSpaceDN/>
        <w:bidi w:val="0"/>
        <w:adjustRightInd/>
        <w:snapToGrid/>
        <w:spacing w:after="0" w:line="240" w:lineRule="auto"/>
        <w:ind w:firstLine="482" w:firstLineChars="200"/>
        <w:jc w:val="left"/>
        <w:textAlignment w:val="auto"/>
        <w:outlineLvl w:val="9"/>
        <w:rPr>
          <w:rFonts w:hint="eastAsia" w:ascii="仿宋" w:hAnsi="仿宋" w:eastAsia="仿宋"/>
          <w:b/>
          <w:bCs/>
          <w:sz w:val="24"/>
          <w:highlight w:val="none"/>
        </w:rPr>
      </w:pPr>
      <w:r>
        <w:rPr>
          <w:rFonts w:hint="eastAsia" w:ascii="仿宋" w:hAnsi="仿宋" w:eastAsia="仿宋"/>
          <w:b/>
          <w:bCs/>
          <w:sz w:val="24"/>
          <w:highlight w:val="none"/>
        </w:rPr>
        <w:t>一、我方已认真阅读并接受本项目招标文件的全部实质性要求，如对招标文件有异议，已依法进行维权救济，不存在对招标文件有异议的同时又参加投标以求侥幸中标或者为实现其他非法目的的行为。</w:t>
      </w:r>
      <w:r>
        <w:rPr>
          <w:rFonts w:hint="eastAsia" w:ascii="仿宋" w:hAnsi="仿宋" w:eastAsia="仿宋"/>
          <w:b/>
          <w:bCs/>
          <w:sz w:val="24"/>
          <w:highlight w:val="none"/>
          <w:lang w:eastAsia="zh-CN"/>
        </w:rPr>
        <w:t>若提起质疑，我方承诺将在一次性提出。且在质疑内容中提供对应的证明材料。</w:t>
      </w:r>
    </w:p>
    <w:p w14:paraId="0F5CA502">
      <w:pPr>
        <w:keepNext w:val="0"/>
        <w:keepLines w:val="0"/>
        <w:pageBreakBefore w:val="0"/>
        <w:widowControl/>
        <w:kinsoku/>
        <w:wordWrap/>
        <w:overflowPunct/>
        <w:topLinePunct w:val="0"/>
        <w:autoSpaceDE/>
        <w:autoSpaceDN/>
        <w:bidi w:val="0"/>
        <w:adjustRightInd/>
        <w:snapToGrid/>
        <w:spacing w:after="0" w:line="240" w:lineRule="auto"/>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二、参加本次招标采购活动，不存在与单位负责人为同一人或者存在直接控股、管理关系的其他供应商参与同一合同项下的采购活动的行为。</w:t>
      </w:r>
    </w:p>
    <w:p w14:paraId="5CDF3DDE">
      <w:pPr>
        <w:keepNext w:val="0"/>
        <w:keepLines w:val="0"/>
        <w:pageBreakBefore w:val="0"/>
        <w:widowControl/>
        <w:kinsoku/>
        <w:wordWrap/>
        <w:overflowPunct/>
        <w:topLinePunct w:val="0"/>
        <w:autoSpaceDE/>
        <w:autoSpaceDN/>
        <w:bidi w:val="0"/>
        <w:adjustRightInd/>
        <w:snapToGrid/>
        <w:spacing w:after="0" w:line="240" w:lineRule="auto"/>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三</w:t>
      </w:r>
      <w:r>
        <w:rPr>
          <w:rFonts w:ascii="仿宋" w:hAnsi="仿宋" w:eastAsia="仿宋"/>
          <w:sz w:val="24"/>
          <w:highlight w:val="none"/>
        </w:rPr>
        <w:t>、</w:t>
      </w:r>
      <w:r>
        <w:rPr>
          <w:rFonts w:hint="eastAsia" w:ascii="仿宋" w:hAnsi="仿宋" w:eastAsia="仿宋"/>
          <w:sz w:val="24"/>
          <w:highlight w:val="none"/>
        </w:rPr>
        <w:t>为采购项目提供整体设计、规范编制或者项目管理、监理、检测等服务的供应商，不得再参加该采购项目的其他采购活动，我方</w:t>
      </w:r>
      <w:r>
        <w:rPr>
          <w:rFonts w:ascii="仿宋" w:hAnsi="仿宋" w:eastAsia="仿宋"/>
          <w:sz w:val="24"/>
          <w:highlight w:val="none"/>
        </w:rPr>
        <w:t>承诺</w:t>
      </w:r>
      <w:r>
        <w:rPr>
          <w:rFonts w:hint="eastAsia" w:ascii="仿宋" w:hAnsi="仿宋" w:eastAsia="仿宋"/>
          <w:sz w:val="24"/>
          <w:highlight w:val="none"/>
        </w:rPr>
        <w:t>不属于此类禁止参加本项目的供应商</w:t>
      </w:r>
      <w:r>
        <w:rPr>
          <w:rFonts w:ascii="仿宋" w:hAnsi="仿宋" w:eastAsia="仿宋"/>
          <w:sz w:val="24"/>
          <w:highlight w:val="none"/>
        </w:rPr>
        <w:t>。</w:t>
      </w:r>
    </w:p>
    <w:p w14:paraId="25EE1D36">
      <w:pPr>
        <w:keepNext w:val="0"/>
        <w:keepLines w:val="0"/>
        <w:pageBreakBefore w:val="0"/>
        <w:widowControl/>
        <w:kinsoku/>
        <w:wordWrap/>
        <w:overflowPunct/>
        <w:topLinePunct w:val="0"/>
        <w:autoSpaceDE/>
        <w:autoSpaceDN/>
        <w:bidi w:val="0"/>
        <w:adjustRightInd/>
        <w:snapToGrid/>
        <w:spacing w:after="0" w:line="240" w:lineRule="auto"/>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四、参加本次招标采购活动，不存在和其他供应商在同一合同项下的采购项目中，同时委托同一个自然人、同一家庭的人员、同一单位的人员作为代理人的行为。</w:t>
      </w:r>
    </w:p>
    <w:p w14:paraId="3C8A391E">
      <w:pPr>
        <w:keepNext w:val="0"/>
        <w:keepLines w:val="0"/>
        <w:pageBreakBefore w:val="0"/>
        <w:widowControl/>
        <w:kinsoku/>
        <w:wordWrap/>
        <w:overflowPunct/>
        <w:topLinePunct w:val="0"/>
        <w:autoSpaceDE/>
        <w:autoSpaceDN/>
        <w:bidi w:val="0"/>
        <w:adjustRightInd/>
        <w:snapToGrid/>
        <w:spacing w:after="0" w:line="240" w:lineRule="auto"/>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五、投标文件中提供的能够给予我方带来优惠、好处的任何材料资料和技术、服务、商务、响应产品等响应承诺情况都是真实的、有效的、合法的。</w:t>
      </w:r>
    </w:p>
    <w:p w14:paraId="167B86B2">
      <w:pPr>
        <w:keepNext w:val="0"/>
        <w:keepLines w:val="0"/>
        <w:pageBreakBefore w:val="0"/>
        <w:widowControl/>
        <w:kinsoku/>
        <w:wordWrap/>
        <w:overflowPunct/>
        <w:topLinePunct w:val="0"/>
        <w:autoSpaceDE/>
        <w:autoSpaceDN/>
        <w:bidi w:val="0"/>
        <w:adjustRightInd/>
        <w:snapToGrid/>
        <w:spacing w:after="0" w:line="240" w:lineRule="auto"/>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06CB82F1">
      <w:pPr>
        <w:keepNext w:val="0"/>
        <w:keepLines w:val="0"/>
        <w:pageBreakBefore w:val="0"/>
        <w:widowControl/>
        <w:kinsoku/>
        <w:wordWrap/>
        <w:overflowPunct/>
        <w:topLinePunct w:val="0"/>
        <w:autoSpaceDE/>
        <w:autoSpaceDN/>
        <w:bidi w:val="0"/>
        <w:adjustRightInd/>
        <w:snapToGrid/>
        <w:spacing w:after="0" w:line="240" w:lineRule="auto"/>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七、国家或行业主管部门对采购产品的技术标准、质量标准和资格资质条件等有强制性规定的，我方</w:t>
      </w:r>
      <w:r>
        <w:rPr>
          <w:rFonts w:ascii="仿宋" w:hAnsi="仿宋" w:eastAsia="仿宋"/>
          <w:sz w:val="24"/>
          <w:highlight w:val="none"/>
        </w:rPr>
        <w:t>承诺符合其要求。</w:t>
      </w:r>
    </w:p>
    <w:p w14:paraId="56BE799E">
      <w:pPr>
        <w:keepNext w:val="0"/>
        <w:keepLines w:val="0"/>
        <w:pageBreakBefore w:val="0"/>
        <w:widowControl/>
        <w:kinsoku/>
        <w:wordWrap/>
        <w:overflowPunct/>
        <w:topLinePunct w:val="0"/>
        <w:autoSpaceDE/>
        <w:autoSpaceDN/>
        <w:bidi w:val="0"/>
        <w:adjustRightInd/>
        <w:snapToGrid/>
        <w:spacing w:after="0" w:line="240" w:lineRule="auto"/>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八、参加本次招标采购活动，</w:t>
      </w:r>
      <w:r>
        <w:rPr>
          <w:rFonts w:ascii="仿宋" w:hAnsi="仿宋" w:eastAsia="仿宋"/>
          <w:sz w:val="24"/>
          <w:highlight w:val="none"/>
        </w:rPr>
        <w:t>我方</w:t>
      </w:r>
      <w:r>
        <w:rPr>
          <w:rFonts w:hint="eastAsia" w:ascii="仿宋" w:hAnsi="仿宋" w:eastAsia="仿宋"/>
          <w:sz w:val="24"/>
          <w:highlight w:val="none"/>
        </w:rPr>
        <w:t>完全同意</w:t>
      </w:r>
      <w:r>
        <w:rPr>
          <w:rFonts w:ascii="仿宋" w:hAnsi="仿宋" w:eastAsia="仿宋"/>
          <w:sz w:val="24"/>
          <w:highlight w:val="none"/>
        </w:rPr>
        <w:t>招标文件第二章关于“</w:t>
      </w:r>
      <w:r>
        <w:rPr>
          <w:rFonts w:hint="eastAsia" w:ascii="仿宋" w:hAnsi="仿宋" w:eastAsia="仿宋"/>
          <w:sz w:val="24"/>
          <w:highlight w:val="none"/>
        </w:rPr>
        <w:t>投标</w:t>
      </w:r>
      <w:r>
        <w:rPr>
          <w:rFonts w:ascii="仿宋" w:hAnsi="仿宋" w:eastAsia="仿宋"/>
          <w:sz w:val="24"/>
          <w:highlight w:val="none"/>
        </w:rPr>
        <w:t>费用”</w:t>
      </w:r>
      <w:r>
        <w:rPr>
          <w:rFonts w:hint="eastAsia" w:ascii="仿宋" w:hAnsi="仿宋" w:eastAsia="仿宋"/>
          <w:sz w:val="24"/>
          <w:highlight w:val="none"/>
        </w:rPr>
        <w:t>、“合同</w:t>
      </w:r>
      <w:r>
        <w:rPr>
          <w:rFonts w:ascii="仿宋" w:hAnsi="仿宋" w:eastAsia="仿宋"/>
          <w:sz w:val="24"/>
          <w:highlight w:val="none"/>
        </w:rPr>
        <w:t>分包</w:t>
      </w:r>
      <w:r>
        <w:rPr>
          <w:rFonts w:hint="eastAsia" w:ascii="仿宋" w:hAnsi="仿宋" w:eastAsia="仿宋"/>
          <w:sz w:val="24"/>
          <w:highlight w:val="none"/>
        </w:rPr>
        <w:t>”、</w:t>
      </w:r>
      <w:r>
        <w:rPr>
          <w:rFonts w:ascii="仿宋" w:hAnsi="仿宋" w:eastAsia="仿宋"/>
          <w:sz w:val="24"/>
          <w:highlight w:val="none"/>
        </w:rPr>
        <w:t>“</w:t>
      </w:r>
      <w:r>
        <w:rPr>
          <w:rFonts w:hint="eastAsia" w:ascii="仿宋" w:hAnsi="仿宋" w:eastAsia="仿宋"/>
          <w:sz w:val="24"/>
          <w:highlight w:val="none"/>
        </w:rPr>
        <w:t>合同</w:t>
      </w:r>
      <w:r>
        <w:rPr>
          <w:rFonts w:ascii="仿宋" w:hAnsi="仿宋" w:eastAsia="仿宋"/>
          <w:sz w:val="24"/>
          <w:highlight w:val="none"/>
        </w:rPr>
        <w:t>转包”</w:t>
      </w:r>
      <w:r>
        <w:rPr>
          <w:rFonts w:hint="eastAsia" w:ascii="仿宋" w:hAnsi="仿宋" w:eastAsia="仿宋"/>
          <w:sz w:val="24"/>
          <w:highlight w:val="none"/>
        </w:rPr>
        <w:t>、</w:t>
      </w:r>
      <w:r>
        <w:rPr>
          <w:rFonts w:ascii="仿宋" w:hAnsi="仿宋" w:eastAsia="仿宋"/>
          <w:sz w:val="24"/>
          <w:highlight w:val="none"/>
        </w:rPr>
        <w:t>“</w:t>
      </w:r>
      <w:r>
        <w:rPr>
          <w:rFonts w:hint="eastAsia" w:ascii="仿宋" w:hAnsi="仿宋" w:eastAsia="仿宋"/>
          <w:sz w:val="24"/>
          <w:highlight w:val="none"/>
        </w:rPr>
        <w:t>履约</w:t>
      </w:r>
      <w:r>
        <w:rPr>
          <w:rFonts w:ascii="仿宋" w:hAnsi="仿宋" w:eastAsia="仿宋"/>
          <w:sz w:val="24"/>
          <w:highlight w:val="none"/>
        </w:rPr>
        <w:t>保证金”</w:t>
      </w:r>
      <w:r>
        <w:rPr>
          <w:rFonts w:hint="eastAsia" w:ascii="仿宋" w:hAnsi="仿宋" w:eastAsia="仿宋"/>
          <w:sz w:val="24"/>
          <w:highlight w:val="none"/>
        </w:rPr>
        <w:t>的</w:t>
      </w:r>
      <w:r>
        <w:rPr>
          <w:rFonts w:ascii="仿宋" w:hAnsi="仿宋" w:eastAsia="仿宋"/>
          <w:sz w:val="24"/>
          <w:highlight w:val="none"/>
        </w:rPr>
        <w:t>实质性要求</w:t>
      </w:r>
      <w:r>
        <w:rPr>
          <w:rFonts w:hint="eastAsia" w:ascii="仿宋" w:hAnsi="仿宋" w:eastAsia="仿宋"/>
          <w:sz w:val="24"/>
          <w:highlight w:val="none"/>
        </w:rPr>
        <w:t>，</w:t>
      </w:r>
      <w:r>
        <w:rPr>
          <w:rFonts w:ascii="仿宋" w:hAnsi="仿宋" w:eastAsia="仿宋"/>
          <w:sz w:val="24"/>
          <w:highlight w:val="none"/>
        </w:rPr>
        <w:t>并承诺严格按照招标文件要求</w:t>
      </w:r>
      <w:r>
        <w:rPr>
          <w:rFonts w:hint="eastAsia" w:ascii="仿宋" w:hAnsi="仿宋" w:eastAsia="仿宋"/>
          <w:sz w:val="24"/>
          <w:highlight w:val="none"/>
        </w:rPr>
        <w:t>履行</w:t>
      </w:r>
      <w:r>
        <w:rPr>
          <w:rFonts w:ascii="仿宋" w:hAnsi="仿宋" w:eastAsia="仿宋"/>
          <w:sz w:val="24"/>
          <w:highlight w:val="none"/>
        </w:rPr>
        <w:t>。</w:t>
      </w:r>
    </w:p>
    <w:p w14:paraId="797B739E">
      <w:pPr>
        <w:keepNext w:val="0"/>
        <w:keepLines w:val="0"/>
        <w:pageBreakBefore w:val="0"/>
        <w:widowControl/>
        <w:kinsoku/>
        <w:wordWrap/>
        <w:overflowPunct/>
        <w:topLinePunct w:val="0"/>
        <w:autoSpaceDE/>
        <w:autoSpaceDN/>
        <w:bidi w:val="0"/>
        <w:adjustRightInd/>
        <w:snapToGrid/>
        <w:spacing w:after="0" w:line="240" w:lineRule="auto"/>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lang w:val="en-US" w:eastAsia="zh-CN"/>
        </w:rPr>
        <w:t>九</w:t>
      </w:r>
      <w:r>
        <w:rPr>
          <w:rFonts w:hint="eastAsia" w:ascii="仿宋" w:hAnsi="仿宋" w:eastAsia="仿宋"/>
          <w:sz w:val="24"/>
          <w:highlight w:val="none"/>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w:t>
      </w:r>
      <w:r>
        <w:rPr>
          <w:rFonts w:ascii="仿宋" w:hAnsi="仿宋" w:eastAsia="仿宋"/>
          <w:sz w:val="24"/>
          <w:highlight w:val="none"/>
        </w:rPr>
        <w:t>承诺</w:t>
      </w:r>
      <w:r>
        <w:rPr>
          <w:rFonts w:hint="eastAsia" w:ascii="仿宋" w:hAnsi="仿宋" w:eastAsia="仿宋"/>
          <w:sz w:val="24"/>
          <w:highlight w:val="none"/>
        </w:rPr>
        <w:t>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33B6D423">
      <w:pPr>
        <w:keepNext w:val="0"/>
        <w:keepLines w:val="0"/>
        <w:pageBreakBefore w:val="0"/>
        <w:widowControl/>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rPr>
        <w:t>十</w:t>
      </w:r>
      <w:r>
        <w:rPr>
          <w:rFonts w:ascii="仿宋" w:hAnsi="仿宋" w:eastAsia="仿宋"/>
          <w:sz w:val="24"/>
          <w:highlight w:val="none"/>
        </w:rPr>
        <w:t>、</w:t>
      </w:r>
      <w:r>
        <w:rPr>
          <w:rFonts w:hint="eastAsia" w:ascii="仿宋" w:hAnsi="仿宋" w:eastAsia="仿宋"/>
          <w:sz w:val="24"/>
          <w:highlight w:val="none"/>
        </w:rPr>
        <w:t>参加本次招标采购活动，不存在与单位负责人为同一人或者存在直接控股、管理关系的其他供应商参与同一合同项下的采购活动的行为。</w:t>
      </w:r>
    </w:p>
    <w:p w14:paraId="4F71A902">
      <w:pPr>
        <w:keepNext w:val="0"/>
        <w:keepLines w:val="0"/>
        <w:pageBreakBefore w:val="0"/>
        <w:widowControl/>
        <w:kinsoku/>
        <w:wordWrap/>
        <w:overflowPunct/>
        <w:topLinePunct w:val="0"/>
        <w:autoSpaceDE/>
        <w:autoSpaceDN/>
        <w:bidi w:val="0"/>
        <w:adjustRightInd/>
        <w:snapToGrid/>
        <w:spacing w:after="0" w:line="240" w:lineRule="auto"/>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我方对上述承诺的内容事项真实性负责。如经查实上述承诺的内容事项存在虚假，我方愿意接受以提供虚假材料谋取中标追究法律责任。</w:t>
      </w:r>
    </w:p>
    <w:p w14:paraId="20DDF742">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投标人名称：XXXX（</w:t>
      </w:r>
      <w:r>
        <w:rPr>
          <w:rFonts w:hint="eastAsia" w:ascii="仿宋" w:hAnsi="仿宋" w:eastAsia="仿宋"/>
          <w:sz w:val="24"/>
          <w:highlight w:val="none"/>
          <w:lang w:eastAsia="zh-CN"/>
        </w:rPr>
        <w:t>盖</w:t>
      </w:r>
      <w:r>
        <w:rPr>
          <w:rFonts w:hint="eastAsia" w:ascii="仿宋" w:hAnsi="仿宋" w:eastAsia="仿宋"/>
          <w:sz w:val="24"/>
          <w:highlight w:val="none"/>
        </w:rPr>
        <w:t>单位公章）</w:t>
      </w:r>
    </w:p>
    <w:p w14:paraId="4703D9F6">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法定代表人</w:t>
      </w:r>
      <w:r>
        <w:rPr>
          <w:rFonts w:hint="eastAsia" w:ascii="仿宋" w:hAnsi="仿宋" w:eastAsia="仿宋"/>
          <w:sz w:val="24"/>
          <w:highlight w:val="none"/>
          <w:lang w:eastAsia="zh-CN"/>
        </w:rPr>
        <w:t>或</w:t>
      </w:r>
      <w:r>
        <w:rPr>
          <w:rFonts w:hint="eastAsia" w:ascii="仿宋" w:hAnsi="仿宋" w:eastAsia="仿宋"/>
          <w:sz w:val="24"/>
          <w:highlight w:val="none"/>
        </w:rPr>
        <w:t>单位负责人或授权代表（签字或加盖个人名章）：XXXX</w:t>
      </w:r>
    </w:p>
    <w:p w14:paraId="390D84C5">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日    期：XXXX</w:t>
      </w:r>
    </w:p>
    <w:p w14:paraId="478BE185">
      <w:pPr>
        <w:keepNext w:val="0"/>
        <w:keepLines w:val="0"/>
        <w:pageBreakBefore w:val="0"/>
        <w:kinsoku/>
        <w:wordWrap/>
        <w:overflowPunct/>
        <w:topLinePunct w:val="0"/>
        <w:autoSpaceDE/>
        <w:autoSpaceDN/>
        <w:bidi w:val="0"/>
        <w:adjustRightInd/>
        <w:snapToGrid/>
        <w:textAlignment w:val="auto"/>
        <w:outlineLvl w:val="9"/>
        <w:rPr>
          <w:rFonts w:hint="eastAsia" w:ascii="仿宋" w:hAnsi="仿宋" w:eastAsia="仿宋"/>
          <w:sz w:val="24"/>
          <w:highlight w:val="none"/>
        </w:rPr>
      </w:pPr>
      <w:r>
        <w:rPr>
          <w:rFonts w:hint="eastAsia" w:ascii="仿宋" w:hAnsi="仿宋" w:eastAsia="仿宋"/>
          <w:sz w:val="24"/>
          <w:highlight w:val="none"/>
        </w:rPr>
        <w:br w:type="page"/>
      </w:r>
    </w:p>
    <w:p w14:paraId="3A7987ED">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Chars="0"/>
        <w:jc w:val="center"/>
        <w:textAlignment w:val="auto"/>
        <w:outlineLvl w:val="9"/>
        <w:rPr>
          <w:rFonts w:ascii="Times New Roman" w:hAnsi="Times New Roman" w:eastAsia="仿宋" w:cs="Times New Roman"/>
          <w:b/>
          <w:sz w:val="24"/>
          <w:szCs w:val="24"/>
          <w:highlight w:val="none"/>
          <w:u w:val="single"/>
        </w:rPr>
      </w:pPr>
      <w:bookmarkStart w:id="11" w:name="_Toc217446085"/>
      <w:r>
        <w:rPr>
          <w:rFonts w:hint="eastAsia" w:ascii="仿宋" w:hAnsi="仿宋" w:eastAsia="仿宋"/>
          <w:b/>
          <w:sz w:val="36"/>
          <w:szCs w:val="36"/>
          <w:highlight w:val="none"/>
          <w:lang w:eastAsia="zh-CN"/>
        </w:rPr>
        <w:t>三、开标一览表</w:t>
      </w:r>
      <w:bookmarkEnd w:id="11"/>
      <w:bookmarkStart w:id="12" w:name="_Hlk497229425"/>
    </w:p>
    <w:bookmarkEnd w:id="12"/>
    <w:tbl>
      <w:tblPr>
        <w:tblStyle w:val="22"/>
        <w:tblpPr w:leftFromText="180" w:rightFromText="180" w:vertAnchor="text" w:horzAnchor="page" w:tblpX="1472" w:tblpY="50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648"/>
        <w:gridCol w:w="73"/>
        <w:gridCol w:w="4303"/>
        <w:gridCol w:w="2292"/>
      </w:tblGrid>
      <w:tr w14:paraId="7155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65" w:type="pct"/>
            <w:gridSpan w:val="2"/>
            <w:vAlign w:val="center"/>
          </w:tcPr>
          <w:p w14:paraId="5B11711D">
            <w:pPr>
              <w:widowControl/>
              <w:jc w:val="center"/>
              <w:rPr>
                <w:rFonts w:hint="eastAsia" w:ascii="仿宋" w:hAnsi="仿宋" w:eastAsia="仿宋" w:cs="仿宋"/>
                <w:b/>
                <w:bCs/>
                <w:sz w:val="24"/>
                <w:szCs w:val="24"/>
                <w:highlight w:val="none"/>
              </w:rPr>
            </w:pPr>
            <w:bookmarkStart w:id="13" w:name="_Toc217446086"/>
            <w:r>
              <w:rPr>
                <w:rFonts w:hint="eastAsia" w:ascii="仿宋" w:hAnsi="仿宋" w:eastAsia="仿宋" w:cs="仿宋"/>
                <w:b/>
                <w:bCs/>
                <w:sz w:val="24"/>
                <w:szCs w:val="24"/>
                <w:highlight w:val="none"/>
              </w:rPr>
              <w:t>项目名称</w:t>
            </w:r>
          </w:p>
        </w:tc>
        <w:tc>
          <w:tcPr>
            <w:tcW w:w="3634" w:type="pct"/>
            <w:gridSpan w:val="3"/>
            <w:vAlign w:val="center"/>
          </w:tcPr>
          <w:p w14:paraId="299F1490">
            <w:pPr>
              <w:widowControl/>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成都市技师学院（成都工贸职业技术学院）高端装备制造生产性实训基地教学资源开发项目</w:t>
            </w:r>
          </w:p>
        </w:tc>
      </w:tr>
      <w:tr w14:paraId="11C3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65" w:type="pct"/>
            <w:gridSpan w:val="2"/>
            <w:vAlign w:val="center"/>
          </w:tcPr>
          <w:p w14:paraId="5A841A5D">
            <w:pPr>
              <w:widowControl/>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项目编号</w:t>
            </w:r>
          </w:p>
        </w:tc>
        <w:tc>
          <w:tcPr>
            <w:tcW w:w="3634" w:type="pct"/>
            <w:gridSpan w:val="3"/>
            <w:vAlign w:val="center"/>
          </w:tcPr>
          <w:p w14:paraId="7B881DEE">
            <w:pPr>
              <w:widowControl/>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HT-【采】20241029</w:t>
            </w:r>
          </w:p>
        </w:tc>
      </w:tr>
      <w:tr w14:paraId="0A85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65" w:type="pct"/>
            <w:gridSpan w:val="2"/>
            <w:vAlign w:val="center"/>
          </w:tcPr>
          <w:p w14:paraId="63E7FCA7">
            <w:pPr>
              <w:widowControl/>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采购包号</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若有</w:t>
            </w:r>
            <w:r>
              <w:rPr>
                <w:rFonts w:hint="eastAsia" w:ascii="仿宋" w:hAnsi="仿宋" w:eastAsia="仿宋" w:cs="仿宋"/>
                <w:b/>
                <w:bCs/>
                <w:sz w:val="24"/>
                <w:szCs w:val="24"/>
                <w:highlight w:val="none"/>
              </w:rPr>
              <w:t>）</w:t>
            </w:r>
          </w:p>
        </w:tc>
        <w:tc>
          <w:tcPr>
            <w:tcW w:w="3634" w:type="pct"/>
            <w:gridSpan w:val="3"/>
            <w:vAlign w:val="center"/>
          </w:tcPr>
          <w:p w14:paraId="12313330">
            <w:pPr>
              <w:widowControl/>
              <w:jc w:val="center"/>
              <w:rPr>
                <w:rFonts w:hint="eastAsia" w:ascii="仿宋" w:hAnsi="仿宋" w:eastAsia="仿宋" w:cs="仿宋"/>
                <w:b/>
                <w:bCs/>
                <w:sz w:val="24"/>
                <w:szCs w:val="24"/>
                <w:highlight w:val="none"/>
              </w:rPr>
            </w:pPr>
          </w:p>
        </w:tc>
      </w:tr>
      <w:tr w14:paraId="7F73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67" w:type="pct"/>
            <w:vAlign w:val="center"/>
          </w:tcPr>
          <w:p w14:paraId="4B3CE4CF">
            <w:pPr>
              <w:widowControl/>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898" w:type="pct"/>
            <w:vAlign w:val="center"/>
          </w:tcPr>
          <w:p w14:paraId="79164DCC">
            <w:pPr>
              <w:widowControl/>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服务内容</w:t>
            </w:r>
          </w:p>
        </w:tc>
        <w:tc>
          <w:tcPr>
            <w:tcW w:w="2384" w:type="pct"/>
            <w:gridSpan w:val="2"/>
            <w:vAlign w:val="center"/>
          </w:tcPr>
          <w:p w14:paraId="2C1ADCBC">
            <w:pPr>
              <w:widowControl/>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服务时间</w:t>
            </w:r>
          </w:p>
        </w:tc>
        <w:tc>
          <w:tcPr>
            <w:tcW w:w="1249" w:type="pct"/>
            <w:vAlign w:val="center"/>
          </w:tcPr>
          <w:p w14:paraId="77C9D299">
            <w:pPr>
              <w:widowControl/>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报价（元）</w:t>
            </w:r>
          </w:p>
        </w:tc>
      </w:tr>
      <w:tr w14:paraId="5B7B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67" w:type="pct"/>
            <w:vAlign w:val="center"/>
          </w:tcPr>
          <w:p w14:paraId="7B335D06">
            <w:pPr>
              <w:widowControl/>
              <w:jc w:val="center"/>
              <w:rPr>
                <w:rFonts w:hint="eastAsia" w:ascii="仿宋" w:hAnsi="仿宋" w:eastAsia="仿宋" w:cs="仿宋"/>
                <w:sz w:val="24"/>
                <w:szCs w:val="24"/>
                <w:highlight w:val="none"/>
              </w:rPr>
            </w:pPr>
          </w:p>
        </w:tc>
        <w:tc>
          <w:tcPr>
            <w:tcW w:w="898" w:type="pct"/>
            <w:vAlign w:val="center"/>
          </w:tcPr>
          <w:p w14:paraId="78CF7036">
            <w:pPr>
              <w:widowControl/>
              <w:jc w:val="center"/>
              <w:rPr>
                <w:rFonts w:hint="eastAsia" w:ascii="仿宋" w:hAnsi="仿宋" w:eastAsia="仿宋" w:cs="仿宋"/>
                <w:sz w:val="24"/>
                <w:szCs w:val="24"/>
                <w:highlight w:val="none"/>
              </w:rPr>
            </w:pPr>
          </w:p>
        </w:tc>
        <w:tc>
          <w:tcPr>
            <w:tcW w:w="2384" w:type="pct"/>
            <w:gridSpan w:val="2"/>
            <w:vAlign w:val="center"/>
          </w:tcPr>
          <w:p w14:paraId="2DA09D5C">
            <w:pPr>
              <w:widowControl/>
              <w:jc w:val="center"/>
              <w:rPr>
                <w:rFonts w:hint="eastAsia" w:ascii="仿宋" w:hAnsi="仿宋" w:eastAsia="仿宋" w:cs="仿宋"/>
                <w:sz w:val="24"/>
                <w:szCs w:val="24"/>
                <w:highlight w:val="none"/>
              </w:rPr>
            </w:pPr>
          </w:p>
        </w:tc>
        <w:tc>
          <w:tcPr>
            <w:tcW w:w="1249" w:type="pct"/>
            <w:vAlign w:val="center"/>
          </w:tcPr>
          <w:p w14:paraId="69D323BD">
            <w:pPr>
              <w:widowControl/>
              <w:jc w:val="center"/>
              <w:rPr>
                <w:rFonts w:hint="eastAsia" w:ascii="仿宋" w:hAnsi="仿宋" w:eastAsia="仿宋" w:cs="仿宋"/>
                <w:sz w:val="24"/>
                <w:szCs w:val="24"/>
                <w:highlight w:val="none"/>
              </w:rPr>
            </w:pPr>
          </w:p>
        </w:tc>
      </w:tr>
      <w:tr w14:paraId="64B8B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67" w:type="pct"/>
            <w:vAlign w:val="center"/>
          </w:tcPr>
          <w:p w14:paraId="7EDFD91D">
            <w:pPr>
              <w:widowControl/>
              <w:jc w:val="center"/>
              <w:rPr>
                <w:rFonts w:hint="eastAsia" w:ascii="仿宋" w:hAnsi="仿宋" w:eastAsia="仿宋" w:cs="仿宋"/>
                <w:sz w:val="24"/>
                <w:szCs w:val="24"/>
                <w:highlight w:val="none"/>
              </w:rPr>
            </w:pPr>
          </w:p>
        </w:tc>
        <w:tc>
          <w:tcPr>
            <w:tcW w:w="898" w:type="pct"/>
            <w:vAlign w:val="center"/>
          </w:tcPr>
          <w:p w14:paraId="6BBF0311">
            <w:pPr>
              <w:widowControl/>
              <w:jc w:val="center"/>
              <w:rPr>
                <w:rFonts w:hint="eastAsia" w:ascii="仿宋" w:hAnsi="仿宋" w:eastAsia="仿宋" w:cs="仿宋"/>
                <w:sz w:val="24"/>
                <w:szCs w:val="24"/>
                <w:highlight w:val="none"/>
              </w:rPr>
            </w:pPr>
          </w:p>
        </w:tc>
        <w:tc>
          <w:tcPr>
            <w:tcW w:w="2384" w:type="pct"/>
            <w:gridSpan w:val="2"/>
            <w:vAlign w:val="center"/>
          </w:tcPr>
          <w:p w14:paraId="66CD0803">
            <w:pPr>
              <w:widowControl/>
              <w:jc w:val="center"/>
              <w:rPr>
                <w:rFonts w:hint="eastAsia" w:ascii="仿宋" w:hAnsi="仿宋" w:eastAsia="仿宋" w:cs="仿宋"/>
                <w:sz w:val="24"/>
                <w:szCs w:val="24"/>
                <w:highlight w:val="none"/>
              </w:rPr>
            </w:pPr>
          </w:p>
        </w:tc>
        <w:tc>
          <w:tcPr>
            <w:tcW w:w="1249" w:type="pct"/>
            <w:vAlign w:val="center"/>
          </w:tcPr>
          <w:p w14:paraId="721D16B8">
            <w:pPr>
              <w:widowControl/>
              <w:jc w:val="center"/>
              <w:rPr>
                <w:rFonts w:hint="eastAsia" w:ascii="仿宋" w:hAnsi="仿宋" w:eastAsia="仿宋" w:cs="仿宋"/>
                <w:sz w:val="24"/>
                <w:szCs w:val="24"/>
                <w:highlight w:val="none"/>
              </w:rPr>
            </w:pPr>
          </w:p>
        </w:tc>
      </w:tr>
      <w:tr w14:paraId="6F62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67" w:type="pct"/>
            <w:vAlign w:val="center"/>
          </w:tcPr>
          <w:p w14:paraId="1E97731D">
            <w:pPr>
              <w:widowControl/>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898" w:type="pct"/>
            <w:vAlign w:val="center"/>
          </w:tcPr>
          <w:p w14:paraId="330C30A5">
            <w:pPr>
              <w:widowControl/>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2384" w:type="pct"/>
            <w:gridSpan w:val="2"/>
            <w:vAlign w:val="center"/>
          </w:tcPr>
          <w:p w14:paraId="52813154">
            <w:pPr>
              <w:widowControl/>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1249" w:type="pct"/>
            <w:vAlign w:val="center"/>
          </w:tcPr>
          <w:p w14:paraId="0CB06607">
            <w:pPr>
              <w:widowControl/>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r>
      <w:tr w14:paraId="039F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3750" w:type="pct"/>
            <w:gridSpan w:val="4"/>
            <w:vAlign w:val="center"/>
          </w:tcPr>
          <w:p w14:paraId="5B5DBD03">
            <w:pPr>
              <w:widowControl/>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合计（元）</w:t>
            </w:r>
          </w:p>
        </w:tc>
        <w:tc>
          <w:tcPr>
            <w:tcW w:w="1249" w:type="pct"/>
            <w:vAlign w:val="center"/>
          </w:tcPr>
          <w:p w14:paraId="1459A2A9">
            <w:pPr>
              <w:widowControl/>
              <w:jc w:val="center"/>
              <w:rPr>
                <w:rFonts w:hint="eastAsia" w:ascii="仿宋" w:hAnsi="仿宋" w:eastAsia="仿宋" w:cs="仿宋"/>
                <w:sz w:val="24"/>
                <w:szCs w:val="24"/>
                <w:highlight w:val="none"/>
              </w:rPr>
            </w:pPr>
          </w:p>
        </w:tc>
      </w:tr>
      <w:tr w14:paraId="4B16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405" w:type="pct"/>
            <w:gridSpan w:val="3"/>
            <w:vAlign w:val="center"/>
          </w:tcPr>
          <w:p w14:paraId="3CAE1759">
            <w:pPr>
              <w:widowControl/>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投标总价</w:t>
            </w:r>
          </w:p>
        </w:tc>
        <w:tc>
          <w:tcPr>
            <w:tcW w:w="3594" w:type="pct"/>
            <w:gridSpan w:val="2"/>
            <w:vAlign w:val="center"/>
          </w:tcPr>
          <w:p w14:paraId="6A6E72EE">
            <w:pPr>
              <w:widowControl/>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人民币大写：_________（人民币小写：__________）</w:t>
            </w:r>
          </w:p>
        </w:tc>
      </w:tr>
    </w:tbl>
    <w:p w14:paraId="5E8635B3">
      <w:pPr>
        <w:keepNext w:val="0"/>
        <w:keepLines w:val="0"/>
        <w:pageBreakBefore w:val="0"/>
        <w:widowControl/>
        <w:kinsoku/>
        <w:wordWrap/>
        <w:overflowPunct/>
        <w:topLinePunct w:val="0"/>
        <w:autoSpaceDE/>
        <w:autoSpaceDN/>
        <w:bidi w:val="0"/>
        <w:adjustRightInd/>
        <w:snapToGrid/>
        <w:spacing w:line="360" w:lineRule="atLeast"/>
        <w:jc w:val="left"/>
        <w:textAlignment w:val="auto"/>
        <w:outlineLvl w:val="9"/>
        <w:rPr>
          <w:rFonts w:ascii="仿宋" w:hAnsi="仿宋" w:eastAsia="仿宋"/>
          <w:sz w:val="24"/>
          <w:highlight w:val="none"/>
        </w:rPr>
      </w:pPr>
    </w:p>
    <w:p w14:paraId="3F93B824">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p w14:paraId="51A187F6">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b/>
          <w:bCs/>
          <w:sz w:val="24"/>
          <w:highlight w:val="none"/>
          <w:lang w:val="en-US" w:eastAsia="zh-CN"/>
        </w:rPr>
      </w:pPr>
      <w:r>
        <w:rPr>
          <w:rFonts w:hint="eastAsia" w:ascii="仿宋" w:hAnsi="仿宋" w:eastAsia="仿宋"/>
          <w:b/>
          <w:bCs/>
          <w:sz w:val="24"/>
          <w:highlight w:val="none"/>
        </w:rPr>
        <w:t>注：</w:t>
      </w:r>
      <w:r>
        <w:rPr>
          <w:rFonts w:hint="eastAsia" w:ascii="仿宋" w:hAnsi="仿宋" w:eastAsia="仿宋"/>
          <w:b/>
          <w:bCs/>
          <w:sz w:val="24"/>
          <w:highlight w:val="none"/>
          <w:lang w:val="en-US" w:eastAsia="zh-CN"/>
        </w:rPr>
        <w:t>1.除文件中按要求提供外，此表还另需单独密封一份用于开标、唱标。</w:t>
      </w:r>
    </w:p>
    <w:p w14:paraId="223950E0">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b/>
          <w:bCs/>
          <w:sz w:val="24"/>
          <w:highlight w:val="none"/>
          <w:lang w:val="en-US" w:eastAsia="zh-CN"/>
        </w:rPr>
      </w:pPr>
      <w:r>
        <w:rPr>
          <w:rFonts w:hint="eastAsia" w:ascii="仿宋" w:hAnsi="仿宋" w:eastAsia="仿宋"/>
          <w:b/>
          <w:bCs/>
          <w:sz w:val="24"/>
          <w:highlight w:val="none"/>
          <w:lang w:val="en-US" w:eastAsia="zh-CN"/>
        </w:rPr>
        <w:t>2.报价勿超，第二章“采购预算”及“最高限价”；</w:t>
      </w:r>
    </w:p>
    <w:p w14:paraId="3B8C1947">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b/>
          <w:bCs/>
          <w:sz w:val="24"/>
          <w:highlight w:val="none"/>
          <w:lang w:val="en-US" w:eastAsia="zh-CN"/>
        </w:rPr>
      </w:pPr>
      <w:r>
        <w:rPr>
          <w:rFonts w:hint="eastAsia" w:ascii="仿宋" w:hAnsi="仿宋" w:eastAsia="仿宋"/>
          <w:b/>
          <w:bCs/>
          <w:sz w:val="24"/>
          <w:highlight w:val="none"/>
          <w:lang w:val="en-US" w:eastAsia="zh-CN"/>
        </w:rPr>
        <w:t>3.若有（“单价限价”）单价勿超，第五章对应“单价限价”</w:t>
      </w:r>
    </w:p>
    <w:p w14:paraId="40D0E2EB">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hint="eastAsia" w:ascii="仿宋" w:hAnsi="仿宋" w:eastAsia="仿宋"/>
          <w:sz w:val="24"/>
          <w:highlight w:val="none"/>
          <w:lang w:eastAsia="zh-CN"/>
        </w:rPr>
      </w:pPr>
      <w:r>
        <w:rPr>
          <w:rFonts w:hint="eastAsia" w:ascii="仿宋" w:hAnsi="仿宋" w:eastAsia="仿宋"/>
          <w:sz w:val="24"/>
          <w:highlight w:val="none"/>
          <w:lang w:val="en-US" w:eastAsia="zh-CN"/>
        </w:rPr>
        <w:t>4.</w:t>
      </w:r>
      <w:r>
        <w:rPr>
          <w:rFonts w:hint="eastAsia" w:ascii="仿宋" w:hAnsi="仿宋" w:eastAsia="仿宋"/>
          <w:sz w:val="24"/>
          <w:highlight w:val="none"/>
        </w:rPr>
        <w:t>“开标一览表”以包为单位填写。</w:t>
      </w:r>
      <w:r>
        <w:rPr>
          <w:rFonts w:hint="eastAsia" w:ascii="仿宋" w:hAnsi="仿宋" w:eastAsia="仿宋"/>
          <w:b/>
          <w:bCs/>
          <w:sz w:val="24"/>
          <w:highlight w:val="none"/>
          <w:lang w:eastAsia="zh-CN"/>
        </w:rPr>
        <w:t>（</w:t>
      </w:r>
      <w:r>
        <w:rPr>
          <w:rFonts w:hint="eastAsia" w:ascii="仿宋" w:hAnsi="仿宋" w:eastAsia="仿宋"/>
          <w:b/>
          <w:bCs/>
          <w:sz w:val="24"/>
          <w:highlight w:val="none"/>
          <w:lang w:val="en-US" w:eastAsia="zh-CN"/>
        </w:rPr>
        <w:t>若有多个包</w:t>
      </w:r>
      <w:r>
        <w:rPr>
          <w:rFonts w:hint="eastAsia" w:ascii="仿宋" w:hAnsi="仿宋" w:eastAsia="仿宋"/>
          <w:b/>
          <w:bCs/>
          <w:sz w:val="24"/>
          <w:highlight w:val="none"/>
          <w:lang w:eastAsia="zh-CN"/>
        </w:rPr>
        <w:t>）</w:t>
      </w:r>
    </w:p>
    <w:p w14:paraId="0EF6D0C6">
      <w:pPr>
        <w:pStyle w:val="9"/>
        <w:rPr>
          <w:highlight w:val="none"/>
        </w:rPr>
      </w:pPr>
    </w:p>
    <w:p w14:paraId="223469B0">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投标人名称：XXXX（</w:t>
      </w:r>
      <w:r>
        <w:rPr>
          <w:rFonts w:hint="eastAsia" w:ascii="仿宋" w:hAnsi="仿宋" w:eastAsia="仿宋"/>
          <w:sz w:val="24"/>
          <w:highlight w:val="none"/>
          <w:lang w:eastAsia="zh-CN"/>
        </w:rPr>
        <w:t>盖</w:t>
      </w:r>
      <w:r>
        <w:rPr>
          <w:rFonts w:hint="eastAsia" w:ascii="仿宋" w:hAnsi="仿宋" w:eastAsia="仿宋"/>
          <w:sz w:val="24"/>
          <w:highlight w:val="none"/>
        </w:rPr>
        <w:t>单位公章）</w:t>
      </w:r>
    </w:p>
    <w:p w14:paraId="47252390">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法定代表人</w:t>
      </w:r>
      <w:r>
        <w:rPr>
          <w:rFonts w:hint="eastAsia" w:ascii="仿宋" w:hAnsi="仿宋" w:eastAsia="仿宋"/>
          <w:sz w:val="24"/>
          <w:highlight w:val="none"/>
          <w:lang w:eastAsia="zh-CN"/>
        </w:rPr>
        <w:t>或</w:t>
      </w:r>
      <w:r>
        <w:rPr>
          <w:rFonts w:hint="eastAsia" w:ascii="仿宋" w:hAnsi="仿宋" w:eastAsia="仿宋"/>
          <w:sz w:val="24"/>
          <w:highlight w:val="none"/>
        </w:rPr>
        <w:t>单位负责人或授权代表（签字或加盖个人名章）：XXXX</w:t>
      </w:r>
    </w:p>
    <w:p w14:paraId="2927A361">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日    期：XXXX</w:t>
      </w:r>
    </w:p>
    <w:p w14:paraId="2933F0BE">
      <w:pPr>
        <w:rPr>
          <w:rFonts w:ascii="仿宋" w:hAnsi="仿宋" w:eastAsia="仿宋"/>
          <w:b/>
          <w:sz w:val="32"/>
          <w:szCs w:val="32"/>
          <w:highlight w:val="none"/>
        </w:rPr>
      </w:pPr>
      <w:r>
        <w:rPr>
          <w:rFonts w:hint="eastAsia" w:ascii="仿宋" w:hAnsi="仿宋" w:eastAsia="仿宋"/>
          <w:b/>
          <w:sz w:val="36"/>
          <w:szCs w:val="36"/>
          <w:highlight w:val="none"/>
          <w:lang w:eastAsia="zh-CN"/>
        </w:rPr>
        <w:br w:type="page"/>
      </w:r>
      <w:bookmarkEnd w:id="13"/>
      <w:bookmarkStart w:id="14" w:name="_Toc217446087"/>
    </w:p>
    <w:bookmarkEnd w:id="14"/>
    <w:p w14:paraId="58C5AF15">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Chars="0"/>
        <w:jc w:val="center"/>
        <w:textAlignment w:val="auto"/>
        <w:outlineLvl w:val="9"/>
        <w:rPr>
          <w:rFonts w:hint="eastAsia" w:ascii="仿宋" w:hAnsi="仿宋" w:eastAsia="仿宋"/>
          <w:b/>
          <w:sz w:val="36"/>
          <w:szCs w:val="36"/>
          <w:highlight w:val="none"/>
          <w:lang w:eastAsia="zh-CN"/>
        </w:rPr>
      </w:pPr>
      <w:r>
        <w:rPr>
          <w:rFonts w:hint="eastAsia" w:ascii="仿宋" w:hAnsi="仿宋" w:eastAsia="仿宋"/>
          <w:b/>
          <w:sz w:val="36"/>
          <w:szCs w:val="36"/>
          <w:highlight w:val="none"/>
          <w:lang w:eastAsia="zh-CN"/>
        </w:rPr>
        <w:t>四、投标人基本情况表</w:t>
      </w:r>
    </w:p>
    <w:p w14:paraId="60CABDAF">
      <w:pPr>
        <w:pStyle w:val="9"/>
        <w:numPr>
          <w:ilvl w:val="0"/>
          <w:numId w:val="0"/>
        </w:numPr>
        <w:rPr>
          <w:rFonts w:hint="eastAsia"/>
          <w:highlight w:val="none"/>
          <w:lang w:val="en-US" w:eastAsia="zh-CN"/>
        </w:rPr>
      </w:pPr>
    </w:p>
    <w:tbl>
      <w:tblPr>
        <w:tblStyle w:val="53"/>
        <w:tblW w:w="82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19"/>
        <w:gridCol w:w="1025"/>
        <w:gridCol w:w="2102"/>
        <w:gridCol w:w="1364"/>
        <w:gridCol w:w="2289"/>
      </w:tblGrid>
      <w:tr w14:paraId="02510E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1519" w:type="dxa"/>
            <w:tcBorders>
              <w:tl2br w:val="nil"/>
              <w:tr2bl w:val="nil"/>
            </w:tcBorders>
            <w:vAlign w:val="center"/>
          </w:tcPr>
          <w:p w14:paraId="68E6D683">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7"/>
                <w:sz w:val="23"/>
                <w:szCs w:val="23"/>
                <w:highlight w:val="none"/>
                <w:lang w:val="en-US" w:eastAsia="zh-CN"/>
              </w:rPr>
              <w:t>投标人</w:t>
            </w:r>
            <w:r>
              <w:rPr>
                <w:rFonts w:hint="eastAsia" w:ascii="仿宋" w:hAnsi="仿宋" w:eastAsia="仿宋" w:cs="仿宋"/>
                <w:spacing w:val="7"/>
                <w:sz w:val="23"/>
                <w:szCs w:val="23"/>
                <w:highlight w:val="none"/>
              </w:rPr>
              <w:t>名称</w:t>
            </w:r>
          </w:p>
        </w:tc>
        <w:tc>
          <w:tcPr>
            <w:tcW w:w="6780" w:type="dxa"/>
            <w:gridSpan w:val="4"/>
            <w:tcBorders>
              <w:tl2br w:val="nil"/>
              <w:tr2bl w:val="nil"/>
            </w:tcBorders>
            <w:vAlign w:val="center"/>
          </w:tcPr>
          <w:p w14:paraId="38F5DEC4">
            <w:pPr>
              <w:jc w:val="center"/>
              <w:rPr>
                <w:rFonts w:hint="eastAsia" w:ascii="仿宋" w:hAnsi="仿宋" w:eastAsia="仿宋" w:cs="仿宋"/>
                <w:sz w:val="21"/>
                <w:highlight w:val="none"/>
              </w:rPr>
            </w:pPr>
          </w:p>
        </w:tc>
      </w:tr>
      <w:tr w14:paraId="2D1FFC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tcBorders>
              <w:tl2br w:val="nil"/>
              <w:tr2bl w:val="nil"/>
            </w:tcBorders>
            <w:vAlign w:val="center"/>
          </w:tcPr>
          <w:p w14:paraId="3B47BA24">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成立时间</w:t>
            </w:r>
          </w:p>
        </w:tc>
        <w:tc>
          <w:tcPr>
            <w:tcW w:w="3127" w:type="dxa"/>
            <w:gridSpan w:val="2"/>
            <w:tcBorders>
              <w:tl2br w:val="nil"/>
              <w:tr2bl w:val="nil"/>
            </w:tcBorders>
            <w:vAlign w:val="center"/>
          </w:tcPr>
          <w:p w14:paraId="4F41343B">
            <w:pPr>
              <w:jc w:val="center"/>
              <w:rPr>
                <w:rFonts w:hint="eastAsia" w:ascii="仿宋" w:hAnsi="仿宋" w:eastAsia="仿宋" w:cs="仿宋"/>
                <w:sz w:val="21"/>
                <w:highlight w:val="none"/>
              </w:rPr>
            </w:pPr>
          </w:p>
        </w:tc>
        <w:tc>
          <w:tcPr>
            <w:tcW w:w="1364" w:type="dxa"/>
            <w:tcBorders>
              <w:tl2br w:val="nil"/>
              <w:tr2bl w:val="nil"/>
            </w:tcBorders>
            <w:vAlign w:val="center"/>
          </w:tcPr>
          <w:p w14:paraId="3344F4B6">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员</w:t>
            </w:r>
            <w:r>
              <w:rPr>
                <w:rFonts w:hint="eastAsia" w:ascii="仿宋" w:hAnsi="仿宋" w:eastAsia="仿宋" w:cs="仿宋"/>
                <w:spacing w:val="6"/>
                <w:sz w:val="23"/>
                <w:szCs w:val="23"/>
                <w:highlight w:val="none"/>
              </w:rPr>
              <w:t>工总人数</w:t>
            </w:r>
          </w:p>
        </w:tc>
        <w:tc>
          <w:tcPr>
            <w:tcW w:w="2289" w:type="dxa"/>
            <w:tcBorders>
              <w:tl2br w:val="nil"/>
              <w:tr2bl w:val="nil"/>
            </w:tcBorders>
            <w:vAlign w:val="center"/>
          </w:tcPr>
          <w:p w14:paraId="0F75F83A">
            <w:pPr>
              <w:jc w:val="center"/>
              <w:rPr>
                <w:rFonts w:hint="eastAsia" w:ascii="仿宋" w:hAnsi="仿宋" w:eastAsia="仿宋" w:cs="仿宋"/>
                <w:sz w:val="21"/>
                <w:highlight w:val="none"/>
              </w:rPr>
            </w:pPr>
          </w:p>
        </w:tc>
      </w:tr>
      <w:tr w14:paraId="21D4D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tcBorders>
              <w:tl2br w:val="nil"/>
              <w:tr2bl w:val="nil"/>
            </w:tcBorders>
            <w:vAlign w:val="center"/>
          </w:tcPr>
          <w:p w14:paraId="319041A1">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z w:val="23"/>
                <w:szCs w:val="23"/>
                <w:highlight w:val="none"/>
              </w:rPr>
              <w:t>邮政编码</w:t>
            </w:r>
          </w:p>
        </w:tc>
        <w:tc>
          <w:tcPr>
            <w:tcW w:w="6780" w:type="dxa"/>
            <w:gridSpan w:val="4"/>
            <w:tcBorders>
              <w:tl2br w:val="nil"/>
              <w:tr2bl w:val="nil"/>
            </w:tcBorders>
            <w:vAlign w:val="center"/>
          </w:tcPr>
          <w:p w14:paraId="7BA21948">
            <w:pPr>
              <w:jc w:val="center"/>
              <w:rPr>
                <w:rFonts w:hint="eastAsia" w:ascii="仿宋" w:hAnsi="仿宋" w:eastAsia="仿宋" w:cs="仿宋"/>
                <w:sz w:val="21"/>
                <w:highlight w:val="none"/>
              </w:rPr>
            </w:pPr>
          </w:p>
        </w:tc>
      </w:tr>
      <w:tr w14:paraId="412C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1519" w:type="dxa"/>
            <w:tcBorders>
              <w:tl2br w:val="nil"/>
              <w:tr2bl w:val="nil"/>
            </w:tcBorders>
            <w:vAlign w:val="center"/>
          </w:tcPr>
          <w:p w14:paraId="6039FFD8">
            <w:pPr>
              <w:spacing w:line="240" w:lineRule="auto"/>
              <w:ind w:left="0"/>
              <w:jc w:val="center"/>
              <w:rPr>
                <w:rFonts w:hint="eastAsia" w:ascii="仿宋" w:hAnsi="仿宋" w:eastAsia="仿宋" w:cs="仿宋"/>
                <w:spacing w:val="6"/>
                <w:sz w:val="23"/>
                <w:szCs w:val="23"/>
                <w:highlight w:val="none"/>
              </w:rPr>
            </w:pPr>
            <w:r>
              <w:rPr>
                <w:rFonts w:hint="eastAsia" w:ascii="仿宋" w:hAnsi="仿宋" w:eastAsia="仿宋" w:cs="仿宋"/>
                <w:spacing w:val="6"/>
                <w:sz w:val="23"/>
                <w:szCs w:val="23"/>
                <w:highlight w:val="none"/>
              </w:rPr>
              <w:t>营业地</w:t>
            </w:r>
            <w:r>
              <w:rPr>
                <w:rFonts w:hint="eastAsia" w:ascii="仿宋" w:hAnsi="仿宋" w:eastAsia="仿宋" w:cs="仿宋"/>
                <w:spacing w:val="5"/>
                <w:sz w:val="23"/>
                <w:szCs w:val="23"/>
                <w:highlight w:val="none"/>
              </w:rPr>
              <w:t>址</w:t>
            </w:r>
          </w:p>
        </w:tc>
        <w:tc>
          <w:tcPr>
            <w:tcW w:w="6780" w:type="dxa"/>
            <w:gridSpan w:val="4"/>
            <w:tcBorders>
              <w:tl2br w:val="nil"/>
              <w:tr2bl w:val="nil"/>
            </w:tcBorders>
            <w:vAlign w:val="center"/>
          </w:tcPr>
          <w:p w14:paraId="39F35657">
            <w:pPr>
              <w:jc w:val="center"/>
              <w:rPr>
                <w:rFonts w:hint="eastAsia" w:ascii="仿宋" w:hAnsi="仿宋" w:eastAsia="仿宋" w:cs="仿宋"/>
                <w:sz w:val="21"/>
                <w:highlight w:val="none"/>
              </w:rPr>
            </w:pPr>
          </w:p>
        </w:tc>
      </w:tr>
      <w:tr w14:paraId="4E5484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64" w:hRule="atLeast"/>
          <w:jc w:val="center"/>
        </w:trPr>
        <w:tc>
          <w:tcPr>
            <w:tcW w:w="1519" w:type="dxa"/>
            <w:tcBorders>
              <w:tl2br w:val="nil"/>
              <w:tr2bl w:val="nil"/>
            </w:tcBorders>
            <w:vAlign w:val="center"/>
          </w:tcPr>
          <w:p w14:paraId="4F773E5C">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7"/>
                <w:position w:val="17"/>
                <w:sz w:val="23"/>
                <w:szCs w:val="23"/>
                <w:highlight w:val="none"/>
              </w:rPr>
              <w:t>统一社会</w:t>
            </w:r>
            <w:r>
              <w:rPr>
                <w:rFonts w:hint="eastAsia" w:ascii="仿宋" w:hAnsi="仿宋" w:eastAsia="仿宋" w:cs="仿宋"/>
                <w:spacing w:val="6"/>
                <w:position w:val="17"/>
                <w:sz w:val="23"/>
                <w:szCs w:val="23"/>
                <w:highlight w:val="none"/>
              </w:rPr>
              <w:t>信</w:t>
            </w:r>
          </w:p>
          <w:p w14:paraId="6A2DC2F7">
            <w:pPr>
              <w:spacing w:line="240" w:lineRule="auto"/>
              <w:ind w:left="0"/>
              <w:jc w:val="center"/>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用代码</w:t>
            </w:r>
          </w:p>
        </w:tc>
        <w:tc>
          <w:tcPr>
            <w:tcW w:w="6780" w:type="dxa"/>
            <w:gridSpan w:val="4"/>
            <w:tcBorders>
              <w:tl2br w:val="nil"/>
              <w:tr2bl w:val="nil"/>
            </w:tcBorders>
            <w:vAlign w:val="center"/>
          </w:tcPr>
          <w:p w14:paraId="770F010B">
            <w:pPr>
              <w:jc w:val="center"/>
              <w:rPr>
                <w:rFonts w:hint="eastAsia" w:ascii="仿宋" w:hAnsi="仿宋" w:eastAsia="仿宋" w:cs="仿宋"/>
                <w:sz w:val="21"/>
                <w:highlight w:val="none"/>
              </w:rPr>
            </w:pPr>
          </w:p>
        </w:tc>
      </w:tr>
      <w:tr w14:paraId="57C8B6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tcBorders>
              <w:tl2br w:val="nil"/>
              <w:tr2bl w:val="nil"/>
            </w:tcBorders>
            <w:vAlign w:val="center"/>
          </w:tcPr>
          <w:p w14:paraId="6F4CB728">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开</w:t>
            </w:r>
            <w:r>
              <w:rPr>
                <w:rFonts w:hint="eastAsia" w:ascii="仿宋" w:hAnsi="仿宋" w:eastAsia="仿宋" w:cs="仿宋"/>
                <w:spacing w:val="7"/>
                <w:sz w:val="23"/>
                <w:szCs w:val="23"/>
                <w:highlight w:val="none"/>
              </w:rPr>
              <w:t>户银行</w:t>
            </w:r>
          </w:p>
        </w:tc>
        <w:tc>
          <w:tcPr>
            <w:tcW w:w="3127" w:type="dxa"/>
            <w:gridSpan w:val="2"/>
            <w:tcBorders>
              <w:tl2br w:val="nil"/>
              <w:tr2bl w:val="nil"/>
            </w:tcBorders>
            <w:vAlign w:val="center"/>
          </w:tcPr>
          <w:p w14:paraId="5D59FB72">
            <w:pPr>
              <w:jc w:val="center"/>
              <w:rPr>
                <w:rFonts w:hint="eastAsia" w:ascii="仿宋" w:hAnsi="仿宋" w:eastAsia="仿宋" w:cs="仿宋"/>
                <w:sz w:val="21"/>
                <w:highlight w:val="none"/>
              </w:rPr>
            </w:pPr>
          </w:p>
        </w:tc>
        <w:tc>
          <w:tcPr>
            <w:tcW w:w="1364" w:type="dxa"/>
            <w:tcBorders>
              <w:tl2br w:val="nil"/>
              <w:tr2bl w:val="nil"/>
            </w:tcBorders>
            <w:vAlign w:val="center"/>
          </w:tcPr>
          <w:p w14:paraId="33C5E4CB">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3"/>
                <w:sz w:val="23"/>
                <w:szCs w:val="23"/>
                <w:highlight w:val="none"/>
              </w:rPr>
              <w:t>账号</w:t>
            </w:r>
          </w:p>
        </w:tc>
        <w:tc>
          <w:tcPr>
            <w:tcW w:w="2289" w:type="dxa"/>
            <w:tcBorders>
              <w:tl2br w:val="nil"/>
              <w:tr2bl w:val="nil"/>
            </w:tcBorders>
            <w:vAlign w:val="center"/>
          </w:tcPr>
          <w:p w14:paraId="240103C3">
            <w:pPr>
              <w:jc w:val="center"/>
              <w:rPr>
                <w:rFonts w:hint="eastAsia" w:ascii="仿宋" w:hAnsi="仿宋" w:eastAsia="仿宋" w:cs="仿宋"/>
                <w:sz w:val="21"/>
                <w:highlight w:val="none"/>
              </w:rPr>
            </w:pPr>
          </w:p>
        </w:tc>
      </w:tr>
      <w:tr w14:paraId="39F44A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vMerge w:val="restart"/>
            <w:tcBorders>
              <w:tl2br w:val="nil"/>
              <w:tr2bl w:val="nil"/>
            </w:tcBorders>
            <w:vAlign w:val="center"/>
          </w:tcPr>
          <w:p w14:paraId="16EA20A5">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联</w:t>
            </w:r>
            <w:r>
              <w:rPr>
                <w:rFonts w:hint="eastAsia" w:ascii="仿宋" w:hAnsi="仿宋" w:eastAsia="仿宋" w:cs="仿宋"/>
                <w:spacing w:val="7"/>
                <w:sz w:val="23"/>
                <w:szCs w:val="23"/>
                <w:highlight w:val="none"/>
              </w:rPr>
              <w:t>系方式</w:t>
            </w:r>
          </w:p>
        </w:tc>
        <w:tc>
          <w:tcPr>
            <w:tcW w:w="1025" w:type="dxa"/>
            <w:tcBorders>
              <w:tl2br w:val="nil"/>
              <w:tr2bl w:val="nil"/>
            </w:tcBorders>
            <w:vAlign w:val="center"/>
          </w:tcPr>
          <w:p w14:paraId="5672D8FC">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联</w:t>
            </w:r>
            <w:r>
              <w:rPr>
                <w:rFonts w:hint="eastAsia" w:ascii="仿宋" w:hAnsi="仿宋" w:eastAsia="仿宋" w:cs="仿宋"/>
                <w:spacing w:val="6"/>
                <w:sz w:val="23"/>
                <w:szCs w:val="23"/>
                <w:highlight w:val="none"/>
              </w:rPr>
              <w:t>系人</w:t>
            </w:r>
          </w:p>
        </w:tc>
        <w:tc>
          <w:tcPr>
            <w:tcW w:w="2102" w:type="dxa"/>
            <w:tcBorders>
              <w:tl2br w:val="nil"/>
              <w:tr2bl w:val="nil"/>
            </w:tcBorders>
            <w:vAlign w:val="center"/>
          </w:tcPr>
          <w:p w14:paraId="131822FF">
            <w:pPr>
              <w:jc w:val="center"/>
              <w:rPr>
                <w:rFonts w:hint="eastAsia" w:ascii="仿宋" w:hAnsi="仿宋" w:eastAsia="仿宋" w:cs="仿宋"/>
                <w:sz w:val="21"/>
                <w:highlight w:val="none"/>
              </w:rPr>
            </w:pPr>
          </w:p>
        </w:tc>
        <w:tc>
          <w:tcPr>
            <w:tcW w:w="1364" w:type="dxa"/>
            <w:tcBorders>
              <w:tl2br w:val="nil"/>
              <w:tr2bl w:val="nil"/>
            </w:tcBorders>
            <w:vAlign w:val="center"/>
          </w:tcPr>
          <w:p w14:paraId="1E6094C9">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电</w:t>
            </w:r>
            <w:r>
              <w:rPr>
                <w:rFonts w:hint="eastAsia" w:ascii="仿宋" w:hAnsi="仿宋" w:eastAsia="仿宋" w:cs="仿宋"/>
                <w:spacing w:val="-8"/>
                <w:sz w:val="23"/>
                <w:szCs w:val="23"/>
                <w:highlight w:val="none"/>
              </w:rPr>
              <w:t>话</w:t>
            </w:r>
          </w:p>
        </w:tc>
        <w:tc>
          <w:tcPr>
            <w:tcW w:w="2289" w:type="dxa"/>
            <w:tcBorders>
              <w:tl2br w:val="nil"/>
              <w:tr2bl w:val="nil"/>
            </w:tcBorders>
            <w:vAlign w:val="center"/>
          </w:tcPr>
          <w:p w14:paraId="3ADE05DC">
            <w:pPr>
              <w:jc w:val="center"/>
              <w:rPr>
                <w:rFonts w:hint="eastAsia" w:ascii="仿宋" w:hAnsi="仿宋" w:eastAsia="仿宋" w:cs="仿宋"/>
                <w:sz w:val="21"/>
                <w:highlight w:val="none"/>
              </w:rPr>
            </w:pPr>
          </w:p>
        </w:tc>
      </w:tr>
      <w:tr w14:paraId="1E0AC2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vMerge w:val="continue"/>
            <w:tcBorders>
              <w:tl2br w:val="nil"/>
              <w:tr2bl w:val="nil"/>
            </w:tcBorders>
            <w:vAlign w:val="center"/>
          </w:tcPr>
          <w:p w14:paraId="6F3A4F4C">
            <w:pPr>
              <w:jc w:val="center"/>
              <w:rPr>
                <w:rFonts w:hint="eastAsia" w:ascii="仿宋" w:hAnsi="仿宋" w:eastAsia="仿宋" w:cs="仿宋"/>
                <w:sz w:val="21"/>
                <w:highlight w:val="none"/>
              </w:rPr>
            </w:pPr>
          </w:p>
        </w:tc>
        <w:tc>
          <w:tcPr>
            <w:tcW w:w="1025" w:type="dxa"/>
            <w:tcBorders>
              <w:tl2br w:val="nil"/>
              <w:tr2bl w:val="nil"/>
            </w:tcBorders>
            <w:vAlign w:val="center"/>
          </w:tcPr>
          <w:p w14:paraId="2EDA86A8">
            <w:pPr>
              <w:spacing w:before="0" w:line="240" w:lineRule="auto"/>
              <w:ind w:left="0"/>
              <w:jc w:val="center"/>
              <w:rPr>
                <w:rFonts w:hint="eastAsia" w:ascii="仿宋" w:hAnsi="仿宋" w:eastAsia="仿宋" w:cs="仿宋"/>
                <w:sz w:val="23"/>
                <w:szCs w:val="23"/>
                <w:highlight w:val="none"/>
                <w:lang w:val="en-US" w:eastAsia="zh-CN"/>
              </w:rPr>
            </w:pPr>
            <w:r>
              <w:rPr>
                <w:rFonts w:hint="eastAsia" w:ascii="仿宋" w:hAnsi="仿宋" w:eastAsia="仿宋" w:cs="仿宋"/>
                <w:sz w:val="23"/>
                <w:szCs w:val="23"/>
                <w:highlight w:val="none"/>
                <w:lang w:val="en-US" w:eastAsia="zh-CN"/>
              </w:rPr>
              <w:t>手机号</w:t>
            </w:r>
          </w:p>
        </w:tc>
        <w:tc>
          <w:tcPr>
            <w:tcW w:w="2102" w:type="dxa"/>
            <w:tcBorders>
              <w:tl2br w:val="nil"/>
              <w:tr2bl w:val="nil"/>
            </w:tcBorders>
            <w:vAlign w:val="center"/>
          </w:tcPr>
          <w:p w14:paraId="67CDAFA3">
            <w:pPr>
              <w:jc w:val="center"/>
              <w:rPr>
                <w:rFonts w:hint="eastAsia" w:ascii="仿宋" w:hAnsi="仿宋" w:eastAsia="仿宋" w:cs="仿宋"/>
                <w:sz w:val="21"/>
                <w:highlight w:val="none"/>
              </w:rPr>
            </w:pPr>
          </w:p>
        </w:tc>
        <w:tc>
          <w:tcPr>
            <w:tcW w:w="1364" w:type="dxa"/>
            <w:tcBorders>
              <w:tl2br w:val="nil"/>
              <w:tr2bl w:val="nil"/>
            </w:tcBorders>
            <w:vAlign w:val="center"/>
          </w:tcPr>
          <w:p w14:paraId="25915DF0">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5"/>
                <w:sz w:val="23"/>
                <w:szCs w:val="23"/>
                <w:highlight w:val="none"/>
                <w:lang w:val="en-US" w:eastAsia="zh-CN"/>
              </w:rPr>
              <w:t>电子</w:t>
            </w:r>
            <w:r>
              <w:rPr>
                <w:rFonts w:hint="eastAsia" w:ascii="仿宋" w:hAnsi="仿宋" w:eastAsia="仿宋" w:cs="仿宋"/>
                <w:spacing w:val="-5"/>
                <w:sz w:val="23"/>
                <w:szCs w:val="23"/>
                <w:highlight w:val="none"/>
              </w:rPr>
              <w:t>邮</w:t>
            </w:r>
            <w:r>
              <w:rPr>
                <w:rFonts w:hint="eastAsia" w:ascii="仿宋" w:hAnsi="仿宋" w:eastAsia="仿宋" w:cs="仿宋"/>
                <w:spacing w:val="-3"/>
                <w:sz w:val="23"/>
                <w:szCs w:val="23"/>
                <w:highlight w:val="none"/>
              </w:rPr>
              <w:t>箱</w:t>
            </w:r>
          </w:p>
        </w:tc>
        <w:tc>
          <w:tcPr>
            <w:tcW w:w="2289" w:type="dxa"/>
            <w:tcBorders>
              <w:tl2br w:val="nil"/>
              <w:tr2bl w:val="nil"/>
            </w:tcBorders>
            <w:vAlign w:val="center"/>
          </w:tcPr>
          <w:p w14:paraId="371A579B">
            <w:pPr>
              <w:jc w:val="center"/>
              <w:rPr>
                <w:rFonts w:hint="eastAsia" w:ascii="仿宋" w:hAnsi="仿宋" w:eastAsia="仿宋" w:cs="仿宋"/>
                <w:sz w:val="21"/>
                <w:highlight w:val="none"/>
              </w:rPr>
            </w:pPr>
          </w:p>
        </w:tc>
      </w:tr>
      <w:tr w14:paraId="05544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94" w:hRule="atLeast"/>
          <w:jc w:val="center"/>
        </w:trPr>
        <w:tc>
          <w:tcPr>
            <w:tcW w:w="1519" w:type="dxa"/>
            <w:tcBorders>
              <w:tl2br w:val="nil"/>
              <w:tr2bl w:val="nil"/>
            </w:tcBorders>
            <w:vAlign w:val="center"/>
          </w:tcPr>
          <w:p w14:paraId="4454CA37">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8"/>
                <w:position w:val="17"/>
                <w:sz w:val="23"/>
                <w:szCs w:val="23"/>
                <w:highlight w:val="none"/>
              </w:rPr>
              <w:t>法定代表</w:t>
            </w:r>
            <w:r>
              <w:rPr>
                <w:rFonts w:hint="eastAsia" w:ascii="仿宋" w:hAnsi="仿宋" w:eastAsia="仿宋" w:cs="仿宋"/>
                <w:spacing w:val="7"/>
                <w:position w:val="17"/>
                <w:sz w:val="23"/>
                <w:szCs w:val="23"/>
                <w:highlight w:val="none"/>
              </w:rPr>
              <w:t>人</w:t>
            </w:r>
          </w:p>
          <w:p w14:paraId="69D6AEDE">
            <w:pPr>
              <w:spacing w:line="240" w:lineRule="auto"/>
              <w:ind w:left="0"/>
              <w:jc w:val="center"/>
              <w:rPr>
                <w:rFonts w:hint="eastAsia" w:ascii="仿宋" w:hAnsi="仿宋" w:eastAsia="仿宋" w:cs="仿宋"/>
                <w:sz w:val="23"/>
                <w:szCs w:val="23"/>
                <w:highlight w:val="none"/>
              </w:rPr>
            </w:pPr>
            <w:r>
              <w:rPr>
                <w:rFonts w:hint="eastAsia" w:ascii="仿宋" w:hAnsi="仿宋" w:eastAsia="仿宋" w:cs="仿宋"/>
                <w:spacing w:val="2"/>
                <w:sz w:val="23"/>
                <w:szCs w:val="23"/>
                <w:highlight w:val="none"/>
              </w:rPr>
              <w:t>(</w:t>
            </w:r>
            <w:r>
              <w:rPr>
                <w:rFonts w:hint="eastAsia" w:ascii="仿宋" w:hAnsi="仿宋" w:eastAsia="仿宋" w:cs="仿宋"/>
                <w:spacing w:val="1"/>
                <w:sz w:val="23"/>
                <w:szCs w:val="23"/>
                <w:highlight w:val="none"/>
              </w:rPr>
              <w:t>主要负责人)</w:t>
            </w:r>
          </w:p>
        </w:tc>
        <w:tc>
          <w:tcPr>
            <w:tcW w:w="1025" w:type="dxa"/>
            <w:tcBorders>
              <w:tl2br w:val="nil"/>
              <w:tr2bl w:val="nil"/>
            </w:tcBorders>
            <w:vAlign w:val="center"/>
          </w:tcPr>
          <w:p w14:paraId="2845EBE8">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姓名</w:t>
            </w:r>
          </w:p>
        </w:tc>
        <w:tc>
          <w:tcPr>
            <w:tcW w:w="2102" w:type="dxa"/>
            <w:tcBorders>
              <w:tl2br w:val="nil"/>
              <w:tr2bl w:val="nil"/>
            </w:tcBorders>
            <w:vAlign w:val="center"/>
          </w:tcPr>
          <w:p w14:paraId="42E7F314">
            <w:pPr>
              <w:jc w:val="center"/>
              <w:rPr>
                <w:rFonts w:hint="eastAsia" w:ascii="仿宋" w:hAnsi="仿宋" w:eastAsia="仿宋" w:cs="仿宋"/>
                <w:sz w:val="21"/>
                <w:highlight w:val="none"/>
              </w:rPr>
            </w:pPr>
          </w:p>
        </w:tc>
        <w:tc>
          <w:tcPr>
            <w:tcW w:w="1364" w:type="dxa"/>
            <w:tcBorders>
              <w:tl2br w:val="nil"/>
              <w:tr2bl w:val="nil"/>
            </w:tcBorders>
            <w:vAlign w:val="center"/>
          </w:tcPr>
          <w:p w14:paraId="35825B15">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z w:val="23"/>
                <w:szCs w:val="23"/>
                <w:highlight w:val="none"/>
                <w:lang w:val="en-US" w:eastAsia="zh-CN"/>
              </w:rPr>
              <w:t>手机号</w:t>
            </w:r>
          </w:p>
        </w:tc>
        <w:tc>
          <w:tcPr>
            <w:tcW w:w="2289" w:type="dxa"/>
            <w:tcBorders>
              <w:tl2br w:val="nil"/>
              <w:tr2bl w:val="nil"/>
            </w:tcBorders>
            <w:vAlign w:val="center"/>
          </w:tcPr>
          <w:p w14:paraId="5441ABC7">
            <w:pPr>
              <w:jc w:val="center"/>
              <w:rPr>
                <w:rFonts w:hint="eastAsia" w:ascii="仿宋" w:hAnsi="仿宋" w:eastAsia="仿宋" w:cs="仿宋"/>
                <w:sz w:val="21"/>
                <w:highlight w:val="none"/>
              </w:rPr>
            </w:pPr>
          </w:p>
        </w:tc>
      </w:tr>
      <w:tr w14:paraId="2A8E6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11" w:hRule="atLeast"/>
          <w:jc w:val="center"/>
        </w:trPr>
        <w:tc>
          <w:tcPr>
            <w:tcW w:w="2544" w:type="dxa"/>
            <w:gridSpan w:val="2"/>
            <w:tcBorders>
              <w:tl2br w:val="nil"/>
              <w:tr2bl w:val="nil"/>
            </w:tcBorders>
            <w:vAlign w:val="center"/>
          </w:tcPr>
          <w:p w14:paraId="0F2FFDAD">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经营范围</w:t>
            </w:r>
          </w:p>
        </w:tc>
        <w:tc>
          <w:tcPr>
            <w:tcW w:w="5755" w:type="dxa"/>
            <w:gridSpan w:val="3"/>
            <w:tcBorders>
              <w:tl2br w:val="nil"/>
              <w:tr2bl w:val="nil"/>
            </w:tcBorders>
            <w:vAlign w:val="center"/>
          </w:tcPr>
          <w:p w14:paraId="57247D2C">
            <w:pPr>
              <w:jc w:val="center"/>
              <w:rPr>
                <w:rFonts w:hint="eastAsia" w:ascii="仿宋" w:hAnsi="仿宋" w:eastAsia="仿宋" w:cs="仿宋"/>
                <w:sz w:val="21"/>
                <w:highlight w:val="none"/>
              </w:rPr>
            </w:pPr>
          </w:p>
        </w:tc>
      </w:tr>
      <w:tr w14:paraId="61589B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50" w:hRule="atLeast"/>
          <w:jc w:val="center"/>
        </w:trPr>
        <w:tc>
          <w:tcPr>
            <w:tcW w:w="2544" w:type="dxa"/>
            <w:gridSpan w:val="2"/>
            <w:tcBorders>
              <w:tl2br w:val="nil"/>
              <w:tr2bl w:val="nil"/>
            </w:tcBorders>
            <w:vAlign w:val="center"/>
          </w:tcPr>
          <w:p w14:paraId="02873F3E">
            <w:pPr>
              <w:spacing w:before="0" w:line="240" w:lineRule="auto"/>
              <w:ind w:left="0"/>
              <w:jc w:val="center"/>
              <w:rPr>
                <w:rFonts w:hint="eastAsia" w:ascii="仿宋" w:hAnsi="仿宋" w:eastAsia="仿宋" w:cs="仿宋"/>
                <w:sz w:val="23"/>
                <w:szCs w:val="23"/>
                <w:highlight w:val="none"/>
                <w:lang w:eastAsia="zh-CN"/>
              </w:rPr>
            </w:pPr>
            <w:r>
              <w:rPr>
                <w:rFonts w:hint="eastAsia" w:ascii="仿宋" w:hAnsi="仿宋" w:eastAsia="仿宋" w:cs="仿宋"/>
                <w:spacing w:val="4"/>
                <w:sz w:val="23"/>
                <w:szCs w:val="23"/>
                <w:highlight w:val="none"/>
              </w:rPr>
              <w:t>备</w:t>
            </w:r>
            <w:r>
              <w:rPr>
                <w:rFonts w:hint="eastAsia" w:ascii="仿宋" w:hAnsi="仿宋" w:eastAsia="仿宋" w:cs="仿宋"/>
                <w:spacing w:val="3"/>
                <w:sz w:val="23"/>
                <w:szCs w:val="23"/>
                <w:highlight w:val="none"/>
              </w:rPr>
              <w:t>注</w:t>
            </w:r>
          </w:p>
        </w:tc>
        <w:tc>
          <w:tcPr>
            <w:tcW w:w="5755" w:type="dxa"/>
            <w:gridSpan w:val="3"/>
            <w:tcBorders>
              <w:tl2br w:val="nil"/>
              <w:tr2bl w:val="nil"/>
            </w:tcBorders>
            <w:vAlign w:val="center"/>
          </w:tcPr>
          <w:p w14:paraId="1EB75FAA">
            <w:pPr>
              <w:jc w:val="center"/>
              <w:rPr>
                <w:rFonts w:hint="eastAsia" w:ascii="仿宋" w:hAnsi="仿宋" w:eastAsia="仿宋" w:cs="仿宋"/>
                <w:sz w:val="21"/>
                <w:highlight w:val="none"/>
              </w:rPr>
            </w:pPr>
          </w:p>
        </w:tc>
      </w:tr>
    </w:tbl>
    <w:p w14:paraId="505E85BF">
      <w:pPr>
        <w:keepNext w:val="0"/>
        <w:keepLines w:val="0"/>
        <w:pageBreakBefore w:val="0"/>
        <w:kinsoku/>
        <w:wordWrap/>
        <w:overflowPunct/>
        <w:topLinePunct w:val="0"/>
        <w:autoSpaceDE/>
        <w:autoSpaceDN/>
        <w:bidi w:val="0"/>
        <w:adjustRightInd w:val="0"/>
        <w:snapToGrid/>
        <w:spacing w:line="400" w:lineRule="exact"/>
        <w:ind w:firstLine="480" w:firstLineChars="200"/>
        <w:jc w:val="left"/>
        <w:textAlignment w:val="auto"/>
        <w:outlineLvl w:val="9"/>
        <w:rPr>
          <w:rFonts w:hint="default" w:ascii="仿宋" w:hAnsi="仿宋" w:eastAsia="仿宋"/>
          <w:sz w:val="24"/>
          <w:highlight w:val="none"/>
          <w:lang w:val="en-US" w:eastAsia="zh-CN"/>
        </w:rPr>
      </w:pPr>
      <w:r>
        <w:rPr>
          <w:rFonts w:hint="eastAsia" w:ascii="仿宋" w:hAnsi="仿宋" w:eastAsia="仿宋" w:cs="宋体"/>
          <w:sz w:val="24"/>
          <w:highlight w:val="none"/>
        </w:rPr>
        <w:t>注：</w:t>
      </w:r>
      <w:r>
        <w:rPr>
          <w:rFonts w:hint="eastAsia" w:ascii="仿宋" w:hAnsi="仿宋" w:eastAsia="仿宋" w:cs="宋体"/>
          <w:sz w:val="24"/>
          <w:highlight w:val="none"/>
          <w:lang w:val="en-US" w:eastAsia="zh-CN"/>
        </w:rPr>
        <w:t>若本表中存在不涉及的内容，可填写“/”。</w:t>
      </w:r>
    </w:p>
    <w:p w14:paraId="42D52E52">
      <w:pPr>
        <w:pStyle w:val="20"/>
        <w:numPr>
          <w:ilvl w:val="0"/>
          <w:numId w:val="0"/>
        </w:numPr>
        <w:rPr>
          <w:highlight w:val="none"/>
        </w:rPr>
      </w:pPr>
    </w:p>
    <w:p w14:paraId="47A7FC9D">
      <w:pPr>
        <w:keepNext w:val="0"/>
        <w:keepLines w:val="0"/>
        <w:pageBreakBefore w:val="0"/>
        <w:widowControl/>
        <w:kinsoku/>
        <w:wordWrap/>
        <w:overflowPunct/>
        <w:topLinePunct w:val="0"/>
        <w:autoSpaceDE/>
        <w:autoSpaceDN/>
        <w:bidi w:val="0"/>
        <w:adjustRightInd/>
        <w:snapToGrid/>
        <w:spacing w:after="0" w:line="340" w:lineRule="exact"/>
        <w:ind w:firstLine="470" w:firstLineChars="196"/>
        <w:jc w:val="left"/>
        <w:textAlignment w:val="auto"/>
        <w:outlineLvl w:val="9"/>
        <w:rPr>
          <w:rFonts w:hint="eastAsia" w:ascii="仿宋" w:hAnsi="仿宋" w:eastAsia="仿宋"/>
          <w:sz w:val="24"/>
          <w:highlight w:val="none"/>
        </w:rPr>
      </w:pPr>
      <w:r>
        <w:rPr>
          <w:rFonts w:hint="eastAsia" w:ascii="仿宋" w:hAnsi="仿宋" w:eastAsia="仿宋"/>
          <w:sz w:val="24"/>
          <w:highlight w:val="none"/>
        </w:rPr>
        <w:t>投标人名称：XXXX（盖单位公章）</w:t>
      </w:r>
    </w:p>
    <w:p w14:paraId="3789F883">
      <w:pPr>
        <w:keepNext w:val="0"/>
        <w:keepLines w:val="0"/>
        <w:pageBreakBefore w:val="0"/>
        <w:widowControl/>
        <w:kinsoku/>
        <w:wordWrap/>
        <w:overflowPunct/>
        <w:topLinePunct w:val="0"/>
        <w:autoSpaceDE/>
        <w:autoSpaceDN/>
        <w:bidi w:val="0"/>
        <w:adjustRightInd/>
        <w:snapToGrid/>
        <w:spacing w:after="0" w:line="340" w:lineRule="exact"/>
        <w:ind w:firstLine="470" w:firstLineChars="196"/>
        <w:jc w:val="left"/>
        <w:textAlignment w:val="auto"/>
        <w:outlineLvl w:val="9"/>
        <w:rPr>
          <w:rFonts w:hint="eastAsia" w:ascii="仿宋" w:hAnsi="仿宋" w:eastAsia="仿宋"/>
          <w:sz w:val="24"/>
          <w:highlight w:val="none"/>
        </w:rPr>
      </w:pPr>
      <w:r>
        <w:rPr>
          <w:rFonts w:hint="eastAsia" w:ascii="仿宋" w:hAnsi="仿宋" w:eastAsia="仿宋"/>
          <w:sz w:val="24"/>
          <w:highlight w:val="none"/>
        </w:rPr>
        <w:t>法定代表人或单位负责人或授权代表（签字或加盖个人名章）：XXXX</w:t>
      </w:r>
    </w:p>
    <w:p w14:paraId="28529F71">
      <w:pPr>
        <w:keepNext w:val="0"/>
        <w:keepLines w:val="0"/>
        <w:pageBreakBefore w:val="0"/>
        <w:widowControl/>
        <w:kinsoku/>
        <w:wordWrap/>
        <w:overflowPunct/>
        <w:topLinePunct w:val="0"/>
        <w:autoSpaceDE/>
        <w:autoSpaceDN/>
        <w:bidi w:val="0"/>
        <w:adjustRightInd/>
        <w:snapToGrid/>
        <w:spacing w:after="0" w:line="340" w:lineRule="exact"/>
        <w:ind w:firstLine="470" w:firstLineChars="196"/>
        <w:jc w:val="left"/>
        <w:textAlignment w:val="auto"/>
        <w:outlineLvl w:val="9"/>
        <w:rPr>
          <w:rFonts w:ascii="仿宋" w:hAnsi="仿宋" w:eastAsia="仿宋"/>
          <w:b/>
          <w:sz w:val="24"/>
          <w:highlight w:val="none"/>
        </w:rPr>
      </w:pPr>
      <w:r>
        <w:rPr>
          <w:rFonts w:hint="eastAsia" w:ascii="仿宋" w:hAnsi="仿宋" w:eastAsia="仿宋"/>
          <w:sz w:val="24"/>
          <w:highlight w:val="none"/>
        </w:rPr>
        <w:t>日    期：XXXX</w:t>
      </w:r>
      <w:r>
        <w:rPr>
          <w:rFonts w:hint="eastAsia" w:ascii="仿宋" w:hAnsi="仿宋" w:eastAsia="仿宋"/>
          <w:sz w:val="24"/>
          <w:highlight w:val="none"/>
        </w:rPr>
        <w:br w:type="page"/>
      </w:r>
    </w:p>
    <w:p w14:paraId="257D1604">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outlineLvl w:val="9"/>
        <w:rPr>
          <w:rFonts w:hint="eastAsia" w:eastAsiaTheme="minorEastAsia"/>
          <w:highlight w:val="none"/>
          <w:lang w:eastAsia="zh-CN"/>
        </w:rPr>
      </w:pPr>
      <w:bookmarkStart w:id="15" w:name="_Toc217446091"/>
      <w:r>
        <w:rPr>
          <w:rFonts w:hint="eastAsia" w:ascii="仿宋" w:hAnsi="仿宋" w:eastAsia="仿宋"/>
          <w:b/>
          <w:sz w:val="36"/>
          <w:szCs w:val="36"/>
          <w:highlight w:val="none"/>
          <w:lang w:val="en-US" w:eastAsia="zh-CN"/>
        </w:rPr>
        <w:t>五</w:t>
      </w:r>
      <w:r>
        <w:rPr>
          <w:rFonts w:hint="eastAsia" w:ascii="仿宋" w:hAnsi="仿宋" w:eastAsia="仿宋"/>
          <w:b/>
          <w:sz w:val="36"/>
          <w:szCs w:val="36"/>
          <w:highlight w:val="none"/>
          <w:lang w:eastAsia="zh-CN"/>
        </w:rPr>
        <w:t>、技术要求应答表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3244"/>
        <w:gridCol w:w="2889"/>
        <w:gridCol w:w="1994"/>
      </w:tblGrid>
      <w:tr w14:paraId="5F03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68" w:type="pct"/>
            <w:noWrap w:val="0"/>
            <w:vAlign w:val="center"/>
          </w:tcPr>
          <w:p w14:paraId="39F3279F">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1768" w:type="pct"/>
            <w:noWrap w:val="0"/>
            <w:vAlign w:val="center"/>
          </w:tcPr>
          <w:p w14:paraId="5DCE9E4A">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r>
              <w:rPr>
                <w:rFonts w:hint="eastAsia" w:ascii="仿宋" w:hAnsi="仿宋" w:eastAsia="仿宋" w:cs="仿宋"/>
                <w:b/>
                <w:bCs/>
                <w:sz w:val="24"/>
                <w:highlight w:val="none"/>
              </w:rPr>
              <w:t>招标文件要求</w:t>
            </w:r>
          </w:p>
        </w:tc>
        <w:tc>
          <w:tcPr>
            <w:tcW w:w="1575" w:type="pct"/>
            <w:noWrap w:val="0"/>
            <w:vAlign w:val="center"/>
          </w:tcPr>
          <w:p w14:paraId="4800DC93">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响应内容</w:t>
            </w:r>
          </w:p>
        </w:tc>
        <w:tc>
          <w:tcPr>
            <w:tcW w:w="1087" w:type="pct"/>
            <w:noWrap w:val="0"/>
            <w:vAlign w:val="center"/>
          </w:tcPr>
          <w:p w14:paraId="5E05B5BF">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偏离情况</w:t>
            </w:r>
          </w:p>
        </w:tc>
      </w:tr>
      <w:tr w14:paraId="3072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63295D53">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41738C5F">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6000E038">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5735B30C">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r w14:paraId="6470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318E7CB1">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197FBCA2">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372969B6">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170498C6">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r w14:paraId="5124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62F963DD">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2507E0E9">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60FEE243">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0BB6B278">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r w14:paraId="11F6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3FF37248">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79E3A4A2">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57DD6456">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544A7163">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r w14:paraId="46F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7B397BEE">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135C3438">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36ADE7BD">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7207B5E4">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r w14:paraId="7BB7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48BD5191">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3534531E">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0CC43BCD">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0030AD5B">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r w14:paraId="3392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568" w:type="pct"/>
            <w:noWrap w:val="0"/>
            <w:vAlign w:val="top"/>
          </w:tcPr>
          <w:p w14:paraId="2474A8AF">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66924E45">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54421190">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6C0F345C">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bl>
    <w:p w14:paraId="009B310B">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p w14:paraId="521A6DFA">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sz w:val="24"/>
          <w:highlight w:val="none"/>
        </w:rPr>
      </w:pPr>
      <w:r>
        <w:rPr>
          <w:rFonts w:hint="eastAsia" w:ascii="仿宋" w:hAnsi="仿宋" w:eastAsia="仿宋"/>
          <w:b/>
          <w:bCs/>
          <w:sz w:val="24"/>
          <w:highlight w:val="none"/>
        </w:rPr>
        <w:t>注：</w:t>
      </w:r>
    </w:p>
    <w:p w14:paraId="7D53A3D7">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sz w:val="24"/>
          <w:highlight w:val="none"/>
          <w:lang w:val="en-US" w:eastAsia="zh-CN"/>
        </w:rPr>
      </w:pPr>
      <w:r>
        <w:rPr>
          <w:rFonts w:hint="eastAsia" w:ascii="仿宋" w:hAnsi="仿宋" w:eastAsia="仿宋"/>
          <w:b/>
          <w:bCs/>
          <w:sz w:val="24"/>
          <w:highlight w:val="none"/>
          <w:lang w:val="en-US" w:eastAsia="zh-CN"/>
        </w:rPr>
        <w:t>1.投标人根据招标文件“第五章”“技术服务要求”的顺序，逐条对应填写；</w:t>
      </w:r>
    </w:p>
    <w:p w14:paraId="55378D0B">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sz w:val="24"/>
          <w:highlight w:val="none"/>
          <w:lang w:val="en-US" w:eastAsia="zh-CN"/>
        </w:rPr>
      </w:pPr>
      <w:r>
        <w:rPr>
          <w:rFonts w:hint="eastAsia" w:ascii="仿宋" w:hAnsi="仿宋" w:eastAsia="仿宋"/>
          <w:b/>
          <w:bCs/>
          <w:sz w:val="24"/>
          <w:highlight w:val="none"/>
          <w:lang w:val="en-US" w:eastAsia="zh-CN"/>
        </w:rPr>
        <w:t>2.若无偏离，可在偏离情况中填“/”；若有偏离，需在偏离情况中进行说明；</w:t>
      </w:r>
    </w:p>
    <w:p w14:paraId="4A0B2E63">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default" w:ascii="仿宋" w:hAnsi="仿宋" w:eastAsia="仿宋"/>
          <w:b/>
          <w:bCs/>
          <w:sz w:val="24"/>
          <w:highlight w:val="none"/>
          <w:lang w:val="en-US" w:eastAsia="zh-CN"/>
        </w:rPr>
      </w:pPr>
      <w:r>
        <w:rPr>
          <w:rFonts w:hint="eastAsia" w:ascii="仿宋" w:hAnsi="仿宋" w:eastAsia="仿宋"/>
          <w:b/>
          <w:bCs/>
          <w:sz w:val="24"/>
          <w:highlight w:val="none"/>
          <w:lang w:val="en-US" w:eastAsia="zh-CN"/>
        </w:rPr>
        <w:t>3.投标人必须据实填写，不得虚假响应，否则将取消中标资格。</w:t>
      </w:r>
    </w:p>
    <w:p w14:paraId="65E33DC0">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hint="eastAsia" w:ascii="仿宋" w:hAnsi="仿宋" w:eastAsia="仿宋"/>
          <w:sz w:val="24"/>
          <w:highlight w:val="none"/>
        </w:rPr>
      </w:pPr>
    </w:p>
    <w:p w14:paraId="670F0A0B">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投标人名称：XXXX（</w:t>
      </w:r>
      <w:r>
        <w:rPr>
          <w:rFonts w:hint="eastAsia" w:ascii="仿宋" w:hAnsi="仿宋" w:eastAsia="仿宋"/>
          <w:sz w:val="24"/>
          <w:highlight w:val="none"/>
          <w:lang w:eastAsia="zh-CN"/>
        </w:rPr>
        <w:t>盖</w:t>
      </w:r>
      <w:r>
        <w:rPr>
          <w:rFonts w:hint="eastAsia" w:ascii="仿宋" w:hAnsi="仿宋" w:eastAsia="仿宋"/>
          <w:sz w:val="24"/>
          <w:highlight w:val="none"/>
        </w:rPr>
        <w:t>单位</w:t>
      </w:r>
      <w:r>
        <w:rPr>
          <w:rFonts w:hint="eastAsia" w:ascii="仿宋" w:hAnsi="仿宋" w:eastAsia="仿宋"/>
          <w:sz w:val="24"/>
          <w:highlight w:val="none"/>
          <w:lang w:eastAsia="zh-CN"/>
        </w:rPr>
        <w:t>公章</w:t>
      </w:r>
      <w:r>
        <w:rPr>
          <w:rFonts w:hint="eastAsia" w:ascii="仿宋" w:hAnsi="仿宋" w:eastAsia="仿宋"/>
          <w:sz w:val="24"/>
          <w:highlight w:val="none"/>
        </w:rPr>
        <w:t>）</w:t>
      </w:r>
    </w:p>
    <w:p w14:paraId="7BFE2027">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法定代表人</w:t>
      </w:r>
      <w:r>
        <w:rPr>
          <w:rFonts w:hint="eastAsia" w:ascii="仿宋" w:hAnsi="仿宋" w:eastAsia="仿宋"/>
          <w:sz w:val="24"/>
          <w:highlight w:val="none"/>
          <w:lang w:eastAsia="zh-CN"/>
        </w:rPr>
        <w:t>或</w:t>
      </w:r>
      <w:r>
        <w:rPr>
          <w:rFonts w:hint="eastAsia" w:ascii="仿宋" w:hAnsi="仿宋" w:eastAsia="仿宋"/>
          <w:sz w:val="24"/>
          <w:highlight w:val="none"/>
        </w:rPr>
        <w:t>单位负责人或授权代表（签字或加盖个人名章）：XXXX</w:t>
      </w:r>
    </w:p>
    <w:p w14:paraId="1415673D">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投标日期：XXXX</w:t>
      </w:r>
    </w:p>
    <w:p w14:paraId="7F7C5FDF">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sz w:val="24"/>
          <w:highlight w:val="none"/>
          <w:lang w:eastAsia="zh-CN"/>
        </w:rPr>
      </w:pPr>
    </w:p>
    <w:p w14:paraId="4CE9F854">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b/>
          <w:sz w:val="32"/>
          <w:szCs w:val="32"/>
          <w:highlight w:val="none"/>
          <w:lang w:val="en-US" w:eastAsia="zh-CN"/>
        </w:rPr>
      </w:pPr>
      <w:r>
        <w:rPr>
          <w:rFonts w:hint="eastAsia" w:ascii="仿宋" w:hAnsi="仿宋" w:eastAsia="仿宋"/>
          <w:b/>
          <w:sz w:val="36"/>
          <w:szCs w:val="36"/>
          <w:highlight w:val="none"/>
        </w:rPr>
        <w:br w:type="page"/>
      </w:r>
    </w:p>
    <w:p w14:paraId="1B7A8829">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outlineLvl w:val="9"/>
        <w:rPr>
          <w:rFonts w:hint="eastAsia" w:ascii="仿宋" w:hAnsi="仿宋" w:eastAsia="仿宋"/>
          <w:b/>
          <w:sz w:val="36"/>
          <w:szCs w:val="36"/>
          <w:highlight w:val="none"/>
          <w:lang w:val="en-US" w:eastAsia="zh-CN"/>
        </w:rPr>
      </w:pPr>
    </w:p>
    <w:p w14:paraId="70A20B28">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outlineLvl w:val="9"/>
        <w:rPr>
          <w:rFonts w:hint="eastAsia" w:ascii="仿宋" w:hAnsi="仿宋" w:eastAsia="仿宋"/>
          <w:b/>
          <w:sz w:val="36"/>
          <w:szCs w:val="36"/>
          <w:highlight w:val="none"/>
          <w:lang w:eastAsia="zh-CN"/>
        </w:rPr>
      </w:pPr>
      <w:r>
        <w:rPr>
          <w:rFonts w:hint="eastAsia" w:ascii="仿宋" w:hAnsi="仿宋" w:eastAsia="仿宋"/>
          <w:b/>
          <w:sz w:val="36"/>
          <w:szCs w:val="36"/>
          <w:highlight w:val="none"/>
          <w:lang w:val="en-US" w:eastAsia="zh-CN"/>
        </w:rPr>
        <w:t>六、商务</w:t>
      </w:r>
      <w:r>
        <w:rPr>
          <w:rFonts w:hint="eastAsia" w:ascii="仿宋" w:hAnsi="仿宋" w:eastAsia="仿宋"/>
          <w:b/>
          <w:sz w:val="36"/>
          <w:szCs w:val="36"/>
          <w:highlight w:val="none"/>
          <w:lang w:eastAsia="zh-CN"/>
        </w:rPr>
        <w:t>要求应答表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3244"/>
        <w:gridCol w:w="2889"/>
        <w:gridCol w:w="1994"/>
      </w:tblGrid>
      <w:tr w14:paraId="749F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68" w:type="pct"/>
            <w:noWrap w:val="0"/>
            <w:vAlign w:val="center"/>
          </w:tcPr>
          <w:p w14:paraId="43DCA956">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1768" w:type="pct"/>
            <w:noWrap w:val="0"/>
            <w:vAlign w:val="center"/>
          </w:tcPr>
          <w:p w14:paraId="3C6413F1">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r>
              <w:rPr>
                <w:rFonts w:hint="eastAsia" w:ascii="仿宋" w:hAnsi="仿宋" w:eastAsia="仿宋" w:cs="仿宋"/>
                <w:b/>
                <w:bCs/>
                <w:sz w:val="24"/>
                <w:highlight w:val="none"/>
              </w:rPr>
              <w:t>招标文件要求</w:t>
            </w:r>
          </w:p>
        </w:tc>
        <w:tc>
          <w:tcPr>
            <w:tcW w:w="1575" w:type="pct"/>
            <w:noWrap w:val="0"/>
            <w:vAlign w:val="center"/>
          </w:tcPr>
          <w:p w14:paraId="5AA03FED">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响应内容</w:t>
            </w:r>
          </w:p>
        </w:tc>
        <w:tc>
          <w:tcPr>
            <w:tcW w:w="1087" w:type="pct"/>
            <w:noWrap w:val="0"/>
            <w:vAlign w:val="center"/>
          </w:tcPr>
          <w:p w14:paraId="26095220">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偏离情况</w:t>
            </w:r>
          </w:p>
        </w:tc>
      </w:tr>
      <w:tr w14:paraId="66FA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3B06F4EF">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6AE6A7CD">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7A90B6A8">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301249D8">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r w14:paraId="604B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36361041">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21A901A3">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69489561">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40C353D8">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r w14:paraId="2CD5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30CCA00A">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7A375AFE">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70603132">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0048936A">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r w14:paraId="3E78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7F0EA098">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4CC4F8E8">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495906EA">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064890E8">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r w14:paraId="3DCA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7659FE74">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2B56D45D">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1C6BB549">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5F7D5101">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r w14:paraId="5439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3BA0D2AD">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441204DC">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45A26DFE">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5577700D">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r w14:paraId="7E2F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568" w:type="pct"/>
            <w:noWrap w:val="0"/>
            <w:vAlign w:val="top"/>
          </w:tcPr>
          <w:p w14:paraId="1A9FF5C2">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023D1F9D">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426EDDE2">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5C56FB35">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bl>
    <w:p w14:paraId="4913D9B7">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sz w:val="24"/>
          <w:highlight w:val="none"/>
        </w:rPr>
      </w:pPr>
      <w:r>
        <w:rPr>
          <w:rFonts w:hint="eastAsia" w:ascii="仿宋" w:hAnsi="仿宋" w:eastAsia="仿宋"/>
          <w:b/>
          <w:bCs/>
          <w:sz w:val="24"/>
          <w:highlight w:val="none"/>
        </w:rPr>
        <w:t>注：</w:t>
      </w:r>
    </w:p>
    <w:p w14:paraId="016BDC82">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sz w:val="24"/>
          <w:highlight w:val="none"/>
          <w:lang w:val="en-US" w:eastAsia="zh-CN"/>
        </w:rPr>
      </w:pPr>
      <w:r>
        <w:rPr>
          <w:rFonts w:hint="eastAsia" w:ascii="仿宋" w:hAnsi="仿宋" w:eastAsia="仿宋"/>
          <w:b/>
          <w:bCs/>
          <w:sz w:val="24"/>
          <w:highlight w:val="none"/>
          <w:lang w:val="en-US" w:eastAsia="zh-CN"/>
        </w:rPr>
        <w:t>1.投标人根据招标文件“第五章”“商务要求”的顺序，逐条对应填写；</w:t>
      </w:r>
    </w:p>
    <w:p w14:paraId="0BD2BA03">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sz w:val="24"/>
          <w:highlight w:val="none"/>
          <w:lang w:val="en-US" w:eastAsia="zh-CN"/>
        </w:rPr>
      </w:pPr>
      <w:r>
        <w:rPr>
          <w:rFonts w:hint="eastAsia" w:ascii="仿宋" w:hAnsi="仿宋" w:eastAsia="仿宋"/>
          <w:b/>
          <w:bCs/>
          <w:sz w:val="24"/>
          <w:highlight w:val="none"/>
          <w:lang w:val="en-US" w:eastAsia="zh-CN"/>
        </w:rPr>
        <w:t>2.若无偏离，可在偏离情况中填“/”；若有偏离，需在偏离情况中进行说明；</w:t>
      </w:r>
    </w:p>
    <w:p w14:paraId="28A7B9DA">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default" w:ascii="仿宋" w:hAnsi="仿宋" w:eastAsia="仿宋"/>
          <w:b/>
          <w:bCs/>
          <w:sz w:val="24"/>
          <w:highlight w:val="none"/>
          <w:lang w:val="en-US" w:eastAsia="zh-CN"/>
        </w:rPr>
      </w:pPr>
      <w:r>
        <w:rPr>
          <w:rFonts w:hint="eastAsia" w:ascii="仿宋" w:hAnsi="仿宋" w:eastAsia="仿宋"/>
          <w:b/>
          <w:bCs/>
          <w:sz w:val="24"/>
          <w:highlight w:val="none"/>
          <w:lang w:val="en-US" w:eastAsia="zh-CN"/>
        </w:rPr>
        <w:t>3.投标人必须据实填写，不得虚假响应，否则将取消中标资格。</w:t>
      </w:r>
    </w:p>
    <w:p w14:paraId="603C626C">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hint="eastAsia" w:ascii="仿宋" w:hAnsi="仿宋" w:eastAsia="仿宋"/>
          <w:sz w:val="24"/>
          <w:highlight w:val="none"/>
        </w:rPr>
      </w:pPr>
    </w:p>
    <w:p w14:paraId="7E5205FD">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投标人名称：XXXX（</w:t>
      </w:r>
      <w:r>
        <w:rPr>
          <w:rFonts w:hint="eastAsia" w:ascii="仿宋" w:hAnsi="仿宋" w:eastAsia="仿宋"/>
          <w:sz w:val="24"/>
          <w:highlight w:val="none"/>
          <w:lang w:eastAsia="zh-CN"/>
        </w:rPr>
        <w:t>盖</w:t>
      </w:r>
      <w:r>
        <w:rPr>
          <w:rFonts w:hint="eastAsia" w:ascii="仿宋" w:hAnsi="仿宋" w:eastAsia="仿宋"/>
          <w:sz w:val="24"/>
          <w:highlight w:val="none"/>
        </w:rPr>
        <w:t>单位</w:t>
      </w:r>
      <w:r>
        <w:rPr>
          <w:rFonts w:hint="eastAsia" w:ascii="仿宋" w:hAnsi="仿宋" w:eastAsia="仿宋"/>
          <w:sz w:val="24"/>
          <w:highlight w:val="none"/>
          <w:lang w:eastAsia="zh-CN"/>
        </w:rPr>
        <w:t>公章</w:t>
      </w:r>
      <w:r>
        <w:rPr>
          <w:rFonts w:hint="eastAsia" w:ascii="仿宋" w:hAnsi="仿宋" w:eastAsia="仿宋"/>
          <w:sz w:val="24"/>
          <w:highlight w:val="none"/>
        </w:rPr>
        <w:t>）</w:t>
      </w:r>
    </w:p>
    <w:p w14:paraId="4322C30D">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法定代表人</w:t>
      </w:r>
      <w:r>
        <w:rPr>
          <w:rFonts w:hint="eastAsia" w:ascii="仿宋" w:hAnsi="仿宋" w:eastAsia="仿宋"/>
          <w:sz w:val="24"/>
          <w:highlight w:val="none"/>
          <w:lang w:eastAsia="zh-CN"/>
        </w:rPr>
        <w:t>或</w:t>
      </w:r>
      <w:r>
        <w:rPr>
          <w:rFonts w:hint="eastAsia" w:ascii="仿宋" w:hAnsi="仿宋" w:eastAsia="仿宋"/>
          <w:sz w:val="24"/>
          <w:highlight w:val="none"/>
        </w:rPr>
        <w:t>单位负责人或授权代表（签字或加盖个人名章）：XXXX</w:t>
      </w:r>
    </w:p>
    <w:p w14:paraId="0B860280">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hint="eastAsia" w:ascii="仿宋" w:hAnsi="仿宋" w:eastAsia="仿宋"/>
          <w:sz w:val="24"/>
          <w:highlight w:val="none"/>
        </w:rPr>
      </w:pPr>
      <w:r>
        <w:rPr>
          <w:rFonts w:hint="eastAsia" w:ascii="仿宋" w:hAnsi="仿宋" w:eastAsia="仿宋"/>
          <w:sz w:val="24"/>
          <w:highlight w:val="none"/>
        </w:rPr>
        <w:t>投标日期：XXXX</w:t>
      </w:r>
    </w:p>
    <w:p w14:paraId="097940D3">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b/>
          <w:sz w:val="32"/>
          <w:szCs w:val="32"/>
          <w:highlight w:val="none"/>
          <w:lang w:val="en-US" w:eastAsia="zh-CN"/>
        </w:rPr>
      </w:pPr>
      <w:r>
        <w:rPr>
          <w:rFonts w:hint="eastAsia" w:ascii="仿宋" w:hAnsi="仿宋" w:eastAsia="仿宋"/>
          <w:b/>
          <w:sz w:val="32"/>
          <w:szCs w:val="32"/>
          <w:highlight w:val="none"/>
        </w:rPr>
        <w:br w:type="page"/>
      </w:r>
    </w:p>
    <w:bookmarkEnd w:id="15"/>
    <w:p w14:paraId="2F4B08D1">
      <w:pPr>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9"/>
        <w:rPr>
          <w:rFonts w:hint="eastAsia" w:ascii="仿宋" w:hAnsi="仿宋" w:eastAsia="仿宋"/>
          <w:b/>
          <w:sz w:val="36"/>
          <w:szCs w:val="36"/>
          <w:highlight w:val="none"/>
          <w:lang w:val="en-US" w:eastAsia="zh-CN"/>
        </w:rPr>
      </w:pPr>
      <w:r>
        <w:rPr>
          <w:rFonts w:hint="eastAsia" w:ascii="仿宋" w:hAnsi="仿宋" w:eastAsia="仿宋"/>
          <w:b/>
          <w:sz w:val="36"/>
          <w:szCs w:val="36"/>
          <w:highlight w:val="none"/>
          <w:lang w:eastAsia="zh-CN"/>
        </w:rPr>
        <w:t>七、</w:t>
      </w:r>
      <w:r>
        <w:rPr>
          <w:rFonts w:hint="eastAsia" w:ascii="仿宋" w:hAnsi="仿宋" w:eastAsia="仿宋"/>
          <w:b/>
          <w:sz w:val="36"/>
          <w:szCs w:val="36"/>
          <w:highlight w:val="none"/>
          <w:lang w:val="en-US" w:eastAsia="zh-CN"/>
        </w:rPr>
        <w:t>本项目管理、技术、服务技术人员情况表</w:t>
      </w:r>
    </w:p>
    <w:p w14:paraId="31E9D772">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lang w:eastAsia="zh-CN"/>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017"/>
        <w:gridCol w:w="900"/>
        <w:gridCol w:w="900"/>
        <w:gridCol w:w="1089"/>
        <w:gridCol w:w="1260"/>
        <w:gridCol w:w="720"/>
        <w:gridCol w:w="775"/>
        <w:gridCol w:w="1025"/>
      </w:tblGrid>
      <w:tr w14:paraId="52D9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935" w:type="dxa"/>
            <w:vMerge w:val="restart"/>
            <w:noWrap w:val="0"/>
            <w:vAlign w:val="center"/>
          </w:tcPr>
          <w:p w14:paraId="7524A4C9">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r>
              <w:rPr>
                <w:rFonts w:hint="eastAsia" w:ascii="仿宋" w:hAnsi="仿宋" w:eastAsia="仿宋" w:cs="仿宋"/>
                <w:b/>
                <w:bCs/>
                <w:sz w:val="24"/>
                <w:highlight w:val="none"/>
              </w:rPr>
              <w:t>类别</w:t>
            </w:r>
          </w:p>
        </w:tc>
        <w:tc>
          <w:tcPr>
            <w:tcW w:w="1017" w:type="dxa"/>
            <w:vMerge w:val="restart"/>
            <w:noWrap w:val="0"/>
            <w:vAlign w:val="center"/>
          </w:tcPr>
          <w:p w14:paraId="3979918B">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r>
              <w:rPr>
                <w:rFonts w:hint="eastAsia" w:ascii="仿宋" w:hAnsi="仿宋" w:eastAsia="仿宋" w:cs="仿宋"/>
                <w:b/>
                <w:bCs/>
                <w:sz w:val="24"/>
                <w:highlight w:val="none"/>
              </w:rPr>
              <w:t>职务</w:t>
            </w:r>
          </w:p>
        </w:tc>
        <w:tc>
          <w:tcPr>
            <w:tcW w:w="900" w:type="dxa"/>
            <w:vMerge w:val="restart"/>
            <w:noWrap w:val="0"/>
            <w:vAlign w:val="center"/>
          </w:tcPr>
          <w:p w14:paraId="017F18A4">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r>
              <w:rPr>
                <w:rFonts w:hint="eastAsia" w:ascii="仿宋" w:hAnsi="仿宋" w:eastAsia="仿宋" w:cs="仿宋"/>
                <w:b/>
                <w:bCs/>
                <w:sz w:val="24"/>
                <w:highlight w:val="none"/>
              </w:rPr>
              <w:t>姓名</w:t>
            </w:r>
          </w:p>
        </w:tc>
        <w:tc>
          <w:tcPr>
            <w:tcW w:w="900" w:type="dxa"/>
            <w:vMerge w:val="restart"/>
            <w:noWrap w:val="0"/>
            <w:vAlign w:val="center"/>
          </w:tcPr>
          <w:p w14:paraId="7BB8ADCD">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r>
              <w:rPr>
                <w:rFonts w:hint="eastAsia" w:ascii="仿宋" w:hAnsi="仿宋" w:eastAsia="仿宋" w:cs="仿宋"/>
                <w:b/>
                <w:bCs/>
                <w:sz w:val="24"/>
                <w:highlight w:val="none"/>
              </w:rPr>
              <w:t>职称</w:t>
            </w:r>
          </w:p>
        </w:tc>
        <w:tc>
          <w:tcPr>
            <w:tcW w:w="1089" w:type="dxa"/>
            <w:vMerge w:val="restart"/>
            <w:noWrap w:val="0"/>
            <w:vAlign w:val="center"/>
          </w:tcPr>
          <w:p w14:paraId="4DDA60AD">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r>
              <w:rPr>
                <w:rFonts w:hint="eastAsia" w:ascii="仿宋" w:hAnsi="仿宋" w:eastAsia="仿宋" w:cs="仿宋"/>
                <w:b/>
                <w:bCs/>
                <w:sz w:val="24"/>
                <w:highlight w:val="none"/>
              </w:rPr>
              <w:t>常住地</w:t>
            </w:r>
          </w:p>
        </w:tc>
        <w:tc>
          <w:tcPr>
            <w:tcW w:w="3780" w:type="dxa"/>
            <w:gridSpan w:val="4"/>
            <w:noWrap w:val="0"/>
            <w:vAlign w:val="center"/>
          </w:tcPr>
          <w:p w14:paraId="0831EEFE">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r>
              <w:rPr>
                <w:rFonts w:hint="eastAsia" w:ascii="仿宋" w:hAnsi="仿宋" w:eastAsia="仿宋" w:cs="仿宋"/>
                <w:b/>
                <w:bCs/>
                <w:sz w:val="24"/>
                <w:highlight w:val="none"/>
              </w:rPr>
              <w:t>资格证明（附复印件）</w:t>
            </w:r>
          </w:p>
        </w:tc>
      </w:tr>
      <w:tr w14:paraId="28D4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935" w:type="dxa"/>
            <w:vMerge w:val="continue"/>
            <w:noWrap w:val="0"/>
            <w:vAlign w:val="center"/>
          </w:tcPr>
          <w:p w14:paraId="300C9DAD">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017" w:type="dxa"/>
            <w:vMerge w:val="continue"/>
            <w:noWrap w:val="0"/>
            <w:vAlign w:val="center"/>
          </w:tcPr>
          <w:p w14:paraId="623FD05D">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900" w:type="dxa"/>
            <w:vMerge w:val="continue"/>
            <w:noWrap w:val="0"/>
            <w:vAlign w:val="center"/>
          </w:tcPr>
          <w:p w14:paraId="0604DAB7">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900" w:type="dxa"/>
            <w:vMerge w:val="continue"/>
            <w:noWrap w:val="0"/>
            <w:vAlign w:val="center"/>
          </w:tcPr>
          <w:p w14:paraId="442B0455">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089" w:type="dxa"/>
            <w:vMerge w:val="continue"/>
            <w:noWrap w:val="0"/>
            <w:vAlign w:val="center"/>
          </w:tcPr>
          <w:p w14:paraId="2982AF4D">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260" w:type="dxa"/>
            <w:noWrap w:val="0"/>
            <w:vAlign w:val="center"/>
          </w:tcPr>
          <w:p w14:paraId="5141CA85">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r>
              <w:rPr>
                <w:rFonts w:hint="eastAsia" w:ascii="仿宋" w:hAnsi="仿宋" w:eastAsia="仿宋" w:cs="仿宋"/>
                <w:b/>
                <w:bCs/>
                <w:sz w:val="24"/>
                <w:highlight w:val="none"/>
              </w:rPr>
              <w:t>证书名称</w:t>
            </w:r>
          </w:p>
        </w:tc>
        <w:tc>
          <w:tcPr>
            <w:tcW w:w="720" w:type="dxa"/>
            <w:noWrap w:val="0"/>
            <w:vAlign w:val="center"/>
          </w:tcPr>
          <w:p w14:paraId="1BD5F7B0">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r>
              <w:rPr>
                <w:rFonts w:hint="eastAsia" w:ascii="仿宋" w:hAnsi="仿宋" w:eastAsia="仿宋" w:cs="仿宋"/>
                <w:b/>
                <w:bCs/>
                <w:sz w:val="24"/>
                <w:highlight w:val="none"/>
              </w:rPr>
              <w:t>级别</w:t>
            </w:r>
          </w:p>
        </w:tc>
        <w:tc>
          <w:tcPr>
            <w:tcW w:w="775" w:type="dxa"/>
            <w:noWrap w:val="0"/>
            <w:vAlign w:val="center"/>
          </w:tcPr>
          <w:p w14:paraId="2A1965BD">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r>
              <w:rPr>
                <w:rFonts w:hint="eastAsia" w:ascii="仿宋" w:hAnsi="仿宋" w:eastAsia="仿宋" w:cs="仿宋"/>
                <w:b/>
                <w:bCs/>
                <w:sz w:val="24"/>
                <w:highlight w:val="none"/>
              </w:rPr>
              <w:t>证号</w:t>
            </w:r>
          </w:p>
        </w:tc>
        <w:tc>
          <w:tcPr>
            <w:tcW w:w="1025" w:type="dxa"/>
            <w:noWrap w:val="0"/>
            <w:vAlign w:val="center"/>
          </w:tcPr>
          <w:p w14:paraId="1579E1DC">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r>
              <w:rPr>
                <w:rFonts w:hint="eastAsia" w:ascii="仿宋" w:hAnsi="仿宋" w:eastAsia="仿宋" w:cs="仿宋"/>
                <w:b/>
                <w:bCs/>
                <w:sz w:val="24"/>
                <w:highlight w:val="none"/>
              </w:rPr>
              <w:t>专业</w:t>
            </w:r>
          </w:p>
        </w:tc>
      </w:tr>
      <w:tr w14:paraId="19D6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935" w:type="dxa"/>
            <w:vMerge w:val="restart"/>
            <w:noWrap w:val="0"/>
            <w:vAlign w:val="center"/>
          </w:tcPr>
          <w:p w14:paraId="120A7F6B">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管</w:t>
            </w:r>
          </w:p>
          <w:p w14:paraId="309841C7">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理</w:t>
            </w:r>
          </w:p>
          <w:p w14:paraId="5AEC0627">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人</w:t>
            </w:r>
          </w:p>
          <w:p w14:paraId="3BCACCF4">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员</w:t>
            </w:r>
          </w:p>
        </w:tc>
        <w:tc>
          <w:tcPr>
            <w:tcW w:w="1017" w:type="dxa"/>
            <w:noWrap w:val="0"/>
            <w:vAlign w:val="center"/>
          </w:tcPr>
          <w:p w14:paraId="3BF9C35C">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p>
        </w:tc>
        <w:tc>
          <w:tcPr>
            <w:tcW w:w="900" w:type="dxa"/>
            <w:noWrap w:val="0"/>
            <w:vAlign w:val="center"/>
          </w:tcPr>
          <w:p w14:paraId="198583B3">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p>
        </w:tc>
        <w:tc>
          <w:tcPr>
            <w:tcW w:w="900" w:type="dxa"/>
            <w:noWrap w:val="0"/>
            <w:vAlign w:val="center"/>
          </w:tcPr>
          <w:p w14:paraId="34C6996D">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089" w:type="dxa"/>
            <w:noWrap w:val="0"/>
            <w:vAlign w:val="center"/>
          </w:tcPr>
          <w:p w14:paraId="1921F96E">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260" w:type="dxa"/>
            <w:noWrap w:val="0"/>
            <w:vAlign w:val="center"/>
          </w:tcPr>
          <w:p w14:paraId="1C772F2A">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720" w:type="dxa"/>
            <w:noWrap w:val="0"/>
            <w:vAlign w:val="center"/>
          </w:tcPr>
          <w:p w14:paraId="1697ECB9">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775" w:type="dxa"/>
            <w:noWrap w:val="0"/>
            <w:vAlign w:val="center"/>
          </w:tcPr>
          <w:p w14:paraId="30CEAE6F">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025" w:type="dxa"/>
            <w:noWrap w:val="0"/>
            <w:vAlign w:val="center"/>
          </w:tcPr>
          <w:p w14:paraId="6180B14D">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r>
      <w:tr w14:paraId="5D6E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935" w:type="dxa"/>
            <w:vMerge w:val="continue"/>
            <w:noWrap w:val="0"/>
            <w:vAlign w:val="center"/>
          </w:tcPr>
          <w:p w14:paraId="5F35D19D">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p>
        </w:tc>
        <w:tc>
          <w:tcPr>
            <w:tcW w:w="1017" w:type="dxa"/>
            <w:noWrap w:val="0"/>
            <w:vAlign w:val="center"/>
          </w:tcPr>
          <w:p w14:paraId="3EFD3A9F">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p>
        </w:tc>
        <w:tc>
          <w:tcPr>
            <w:tcW w:w="900" w:type="dxa"/>
            <w:noWrap w:val="0"/>
            <w:vAlign w:val="center"/>
          </w:tcPr>
          <w:p w14:paraId="6394EC19">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p>
        </w:tc>
        <w:tc>
          <w:tcPr>
            <w:tcW w:w="900" w:type="dxa"/>
            <w:noWrap w:val="0"/>
            <w:vAlign w:val="center"/>
          </w:tcPr>
          <w:p w14:paraId="6FCFF220">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089" w:type="dxa"/>
            <w:noWrap w:val="0"/>
            <w:vAlign w:val="center"/>
          </w:tcPr>
          <w:p w14:paraId="622B80B8">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260" w:type="dxa"/>
            <w:noWrap w:val="0"/>
            <w:vAlign w:val="center"/>
          </w:tcPr>
          <w:p w14:paraId="664F1FA0">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720" w:type="dxa"/>
            <w:noWrap w:val="0"/>
            <w:vAlign w:val="center"/>
          </w:tcPr>
          <w:p w14:paraId="4A6EA923">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775" w:type="dxa"/>
            <w:noWrap w:val="0"/>
            <w:vAlign w:val="center"/>
          </w:tcPr>
          <w:p w14:paraId="629B807D">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025" w:type="dxa"/>
            <w:noWrap w:val="0"/>
            <w:vAlign w:val="center"/>
          </w:tcPr>
          <w:p w14:paraId="4B061310">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r>
      <w:tr w14:paraId="4699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935" w:type="dxa"/>
            <w:vMerge w:val="continue"/>
            <w:noWrap w:val="0"/>
            <w:vAlign w:val="center"/>
          </w:tcPr>
          <w:p w14:paraId="02D71078">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p>
        </w:tc>
        <w:tc>
          <w:tcPr>
            <w:tcW w:w="1017" w:type="dxa"/>
            <w:noWrap w:val="0"/>
            <w:vAlign w:val="center"/>
          </w:tcPr>
          <w:p w14:paraId="2F63611E">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p>
        </w:tc>
        <w:tc>
          <w:tcPr>
            <w:tcW w:w="900" w:type="dxa"/>
            <w:noWrap w:val="0"/>
            <w:vAlign w:val="center"/>
          </w:tcPr>
          <w:p w14:paraId="7B9EDBBB">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p>
        </w:tc>
        <w:tc>
          <w:tcPr>
            <w:tcW w:w="900" w:type="dxa"/>
            <w:noWrap w:val="0"/>
            <w:vAlign w:val="center"/>
          </w:tcPr>
          <w:p w14:paraId="5C668A95">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089" w:type="dxa"/>
            <w:noWrap w:val="0"/>
            <w:vAlign w:val="center"/>
          </w:tcPr>
          <w:p w14:paraId="04EDABF4">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260" w:type="dxa"/>
            <w:noWrap w:val="0"/>
            <w:vAlign w:val="center"/>
          </w:tcPr>
          <w:p w14:paraId="2168F7C7">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720" w:type="dxa"/>
            <w:noWrap w:val="0"/>
            <w:vAlign w:val="center"/>
          </w:tcPr>
          <w:p w14:paraId="7B50DF5C">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775" w:type="dxa"/>
            <w:noWrap w:val="0"/>
            <w:vAlign w:val="center"/>
          </w:tcPr>
          <w:p w14:paraId="19EF8EAF">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025" w:type="dxa"/>
            <w:noWrap w:val="0"/>
            <w:vAlign w:val="center"/>
          </w:tcPr>
          <w:p w14:paraId="6B6E6C45">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r>
      <w:tr w14:paraId="7ABB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935" w:type="dxa"/>
            <w:vMerge w:val="restart"/>
            <w:noWrap w:val="0"/>
            <w:vAlign w:val="center"/>
          </w:tcPr>
          <w:p w14:paraId="2F7DF7D1">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技</w:t>
            </w:r>
          </w:p>
          <w:p w14:paraId="3B685264">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术</w:t>
            </w:r>
          </w:p>
          <w:p w14:paraId="67F3EA59">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人</w:t>
            </w:r>
          </w:p>
          <w:p w14:paraId="7F5EF13B">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员</w:t>
            </w:r>
          </w:p>
        </w:tc>
        <w:tc>
          <w:tcPr>
            <w:tcW w:w="1017" w:type="dxa"/>
            <w:noWrap w:val="0"/>
            <w:vAlign w:val="center"/>
          </w:tcPr>
          <w:p w14:paraId="20F30872">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p>
        </w:tc>
        <w:tc>
          <w:tcPr>
            <w:tcW w:w="900" w:type="dxa"/>
            <w:noWrap w:val="0"/>
            <w:vAlign w:val="center"/>
          </w:tcPr>
          <w:p w14:paraId="6EE443E8">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p>
        </w:tc>
        <w:tc>
          <w:tcPr>
            <w:tcW w:w="900" w:type="dxa"/>
            <w:noWrap w:val="0"/>
            <w:vAlign w:val="center"/>
          </w:tcPr>
          <w:p w14:paraId="5D16E803">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089" w:type="dxa"/>
            <w:noWrap w:val="0"/>
            <w:vAlign w:val="center"/>
          </w:tcPr>
          <w:p w14:paraId="62E0676D">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260" w:type="dxa"/>
            <w:noWrap w:val="0"/>
            <w:vAlign w:val="center"/>
          </w:tcPr>
          <w:p w14:paraId="4386C8F2">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720" w:type="dxa"/>
            <w:noWrap w:val="0"/>
            <w:vAlign w:val="center"/>
          </w:tcPr>
          <w:p w14:paraId="47780D06">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775" w:type="dxa"/>
            <w:noWrap w:val="0"/>
            <w:vAlign w:val="center"/>
          </w:tcPr>
          <w:p w14:paraId="07C723DB">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025" w:type="dxa"/>
            <w:noWrap w:val="0"/>
            <w:vAlign w:val="center"/>
          </w:tcPr>
          <w:p w14:paraId="5530F3BA">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r>
      <w:tr w14:paraId="35BC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935" w:type="dxa"/>
            <w:vMerge w:val="continue"/>
            <w:noWrap w:val="0"/>
            <w:vAlign w:val="center"/>
          </w:tcPr>
          <w:p w14:paraId="1DCEFBBD">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p>
        </w:tc>
        <w:tc>
          <w:tcPr>
            <w:tcW w:w="1017" w:type="dxa"/>
            <w:noWrap w:val="0"/>
            <w:vAlign w:val="center"/>
          </w:tcPr>
          <w:p w14:paraId="6E286CD5">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p>
        </w:tc>
        <w:tc>
          <w:tcPr>
            <w:tcW w:w="900" w:type="dxa"/>
            <w:noWrap w:val="0"/>
            <w:vAlign w:val="center"/>
          </w:tcPr>
          <w:p w14:paraId="31788D23">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p>
        </w:tc>
        <w:tc>
          <w:tcPr>
            <w:tcW w:w="900" w:type="dxa"/>
            <w:noWrap w:val="0"/>
            <w:vAlign w:val="center"/>
          </w:tcPr>
          <w:p w14:paraId="5C687F77">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089" w:type="dxa"/>
            <w:noWrap w:val="0"/>
            <w:vAlign w:val="center"/>
          </w:tcPr>
          <w:p w14:paraId="197EE7DC">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260" w:type="dxa"/>
            <w:noWrap w:val="0"/>
            <w:vAlign w:val="center"/>
          </w:tcPr>
          <w:p w14:paraId="5C00A56A">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720" w:type="dxa"/>
            <w:noWrap w:val="0"/>
            <w:vAlign w:val="center"/>
          </w:tcPr>
          <w:p w14:paraId="6681591F">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775" w:type="dxa"/>
            <w:noWrap w:val="0"/>
            <w:vAlign w:val="center"/>
          </w:tcPr>
          <w:p w14:paraId="047458AF">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025" w:type="dxa"/>
            <w:noWrap w:val="0"/>
            <w:vAlign w:val="center"/>
          </w:tcPr>
          <w:p w14:paraId="3C25516E">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r>
      <w:tr w14:paraId="0A77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935" w:type="dxa"/>
            <w:vMerge w:val="continue"/>
            <w:noWrap w:val="0"/>
            <w:vAlign w:val="center"/>
          </w:tcPr>
          <w:p w14:paraId="6F38B68C">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p>
        </w:tc>
        <w:tc>
          <w:tcPr>
            <w:tcW w:w="1017" w:type="dxa"/>
            <w:noWrap w:val="0"/>
            <w:vAlign w:val="center"/>
          </w:tcPr>
          <w:p w14:paraId="622CD085">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p>
        </w:tc>
        <w:tc>
          <w:tcPr>
            <w:tcW w:w="900" w:type="dxa"/>
            <w:noWrap w:val="0"/>
            <w:vAlign w:val="center"/>
          </w:tcPr>
          <w:p w14:paraId="306B9592">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p>
        </w:tc>
        <w:tc>
          <w:tcPr>
            <w:tcW w:w="900" w:type="dxa"/>
            <w:noWrap w:val="0"/>
            <w:vAlign w:val="center"/>
          </w:tcPr>
          <w:p w14:paraId="1D2F19FE">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089" w:type="dxa"/>
            <w:noWrap w:val="0"/>
            <w:vAlign w:val="center"/>
          </w:tcPr>
          <w:p w14:paraId="0515412D">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260" w:type="dxa"/>
            <w:noWrap w:val="0"/>
            <w:vAlign w:val="center"/>
          </w:tcPr>
          <w:p w14:paraId="0FD46E97">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720" w:type="dxa"/>
            <w:noWrap w:val="0"/>
            <w:vAlign w:val="center"/>
          </w:tcPr>
          <w:p w14:paraId="284CAA1A">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775" w:type="dxa"/>
            <w:noWrap w:val="0"/>
            <w:vAlign w:val="center"/>
          </w:tcPr>
          <w:p w14:paraId="4FC69BFF">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025" w:type="dxa"/>
            <w:noWrap w:val="0"/>
            <w:vAlign w:val="center"/>
          </w:tcPr>
          <w:p w14:paraId="5279A816">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r>
      <w:tr w14:paraId="7982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935" w:type="dxa"/>
            <w:vMerge w:val="restart"/>
            <w:noWrap w:val="0"/>
            <w:vAlign w:val="center"/>
          </w:tcPr>
          <w:p w14:paraId="21035E72">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lang w:eastAsia="zh-CN"/>
              </w:rPr>
            </w:pPr>
            <w:r>
              <w:rPr>
                <w:rFonts w:hint="eastAsia" w:ascii="仿宋" w:hAnsi="仿宋" w:eastAsia="仿宋" w:cs="仿宋"/>
                <w:b w:val="0"/>
                <w:bCs w:val="0"/>
                <w:sz w:val="24"/>
                <w:highlight w:val="none"/>
                <w:lang w:eastAsia="zh-CN"/>
              </w:rPr>
              <w:t>服</w:t>
            </w:r>
          </w:p>
          <w:p w14:paraId="4A1B42D3">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lang w:eastAsia="zh-CN"/>
              </w:rPr>
            </w:pPr>
            <w:r>
              <w:rPr>
                <w:rFonts w:hint="eastAsia" w:ascii="仿宋" w:hAnsi="仿宋" w:eastAsia="仿宋" w:cs="仿宋"/>
                <w:b w:val="0"/>
                <w:bCs w:val="0"/>
                <w:sz w:val="24"/>
                <w:highlight w:val="none"/>
                <w:lang w:eastAsia="zh-CN"/>
              </w:rPr>
              <w:t>务</w:t>
            </w:r>
          </w:p>
          <w:p w14:paraId="2E3FD33F">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人</w:t>
            </w:r>
          </w:p>
          <w:p w14:paraId="09542EF5">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员</w:t>
            </w:r>
          </w:p>
        </w:tc>
        <w:tc>
          <w:tcPr>
            <w:tcW w:w="1017" w:type="dxa"/>
            <w:noWrap w:val="0"/>
            <w:vAlign w:val="center"/>
          </w:tcPr>
          <w:p w14:paraId="255962F0">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p>
        </w:tc>
        <w:tc>
          <w:tcPr>
            <w:tcW w:w="900" w:type="dxa"/>
            <w:noWrap w:val="0"/>
            <w:vAlign w:val="center"/>
          </w:tcPr>
          <w:p w14:paraId="28AFF82B">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p>
        </w:tc>
        <w:tc>
          <w:tcPr>
            <w:tcW w:w="900" w:type="dxa"/>
            <w:noWrap w:val="0"/>
            <w:vAlign w:val="center"/>
          </w:tcPr>
          <w:p w14:paraId="72B449CF">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089" w:type="dxa"/>
            <w:noWrap w:val="0"/>
            <w:vAlign w:val="center"/>
          </w:tcPr>
          <w:p w14:paraId="28FE495F">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260" w:type="dxa"/>
            <w:noWrap w:val="0"/>
            <w:vAlign w:val="center"/>
          </w:tcPr>
          <w:p w14:paraId="17CDB567">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720" w:type="dxa"/>
            <w:noWrap w:val="0"/>
            <w:vAlign w:val="center"/>
          </w:tcPr>
          <w:p w14:paraId="0E04F9AE">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775" w:type="dxa"/>
            <w:noWrap w:val="0"/>
            <w:vAlign w:val="center"/>
          </w:tcPr>
          <w:p w14:paraId="48E19BF4">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025" w:type="dxa"/>
            <w:noWrap w:val="0"/>
            <w:vAlign w:val="center"/>
          </w:tcPr>
          <w:p w14:paraId="14E0E235">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r>
      <w:tr w14:paraId="4B4A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935" w:type="dxa"/>
            <w:vMerge w:val="continue"/>
            <w:noWrap w:val="0"/>
            <w:vAlign w:val="center"/>
          </w:tcPr>
          <w:p w14:paraId="56172299">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p>
        </w:tc>
        <w:tc>
          <w:tcPr>
            <w:tcW w:w="1017" w:type="dxa"/>
            <w:noWrap w:val="0"/>
            <w:vAlign w:val="center"/>
          </w:tcPr>
          <w:p w14:paraId="685C5166">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p>
        </w:tc>
        <w:tc>
          <w:tcPr>
            <w:tcW w:w="900" w:type="dxa"/>
            <w:noWrap w:val="0"/>
            <w:vAlign w:val="center"/>
          </w:tcPr>
          <w:p w14:paraId="0479681C">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p>
        </w:tc>
        <w:tc>
          <w:tcPr>
            <w:tcW w:w="900" w:type="dxa"/>
            <w:noWrap w:val="0"/>
            <w:vAlign w:val="center"/>
          </w:tcPr>
          <w:p w14:paraId="18B5F398">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089" w:type="dxa"/>
            <w:noWrap w:val="0"/>
            <w:vAlign w:val="center"/>
          </w:tcPr>
          <w:p w14:paraId="5090A6C9">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260" w:type="dxa"/>
            <w:noWrap w:val="0"/>
            <w:vAlign w:val="center"/>
          </w:tcPr>
          <w:p w14:paraId="67358FE7">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720" w:type="dxa"/>
            <w:noWrap w:val="0"/>
            <w:vAlign w:val="center"/>
          </w:tcPr>
          <w:p w14:paraId="56D77829">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775" w:type="dxa"/>
            <w:noWrap w:val="0"/>
            <w:vAlign w:val="center"/>
          </w:tcPr>
          <w:p w14:paraId="4722F509">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025" w:type="dxa"/>
            <w:noWrap w:val="0"/>
            <w:vAlign w:val="center"/>
          </w:tcPr>
          <w:p w14:paraId="6D142E41">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r>
      <w:tr w14:paraId="1808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935" w:type="dxa"/>
            <w:vMerge w:val="continue"/>
            <w:noWrap w:val="0"/>
            <w:vAlign w:val="center"/>
          </w:tcPr>
          <w:p w14:paraId="2668981F">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p>
        </w:tc>
        <w:tc>
          <w:tcPr>
            <w:tcW w:w="1017" w:type="dxa"/>
            <w:noWrap w:val="0"/>
            <w:vAlign w:val="center"/>
          </w:tcPr>
          <w:p w14:paraId="3B726740">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p>
        </w:tc>
        <w:tc>
          <w:tcPr>
            <w:tcW w:w="900" w:type="dxa"/>
            <w:noWrap w:val="0"/>
            <w:vAlign w:val="center"/>
          </w:tcPr>
          <w:p w14:paraId="2083F0C2">
            <w:pPr>
              <w:kinsoku/>
              <w:wordWrap/>
              <w:overflowPunct/>
              <w:topLinePunct w:val="0"/>
              <w:autoSpaceDE/>
              <w:autoSpaceDN/>
              <w:bidi w:val="0"/>
              <w:adjustRightInd/>
              <w:jc w:val="center"/>
              <w:textAlignment w:val="auto"/>
              <w:outlineLvl w:val="9"/>
              <w:rPr>
                <w:rFonts w:hint="eastAsia" w:ascii="仿宋" w:hAnsi="仿宋" w:eastAsia="仿宋" w:cs="仿宋"/>
                <w:b w:val="0"/>
                <w:bCs w:val="0"/>
                <w:sz w:val="24"/>
                <w:highlight w:val="none"/>
              </w:rPr>
            </w:pPr>
          </w:p>
        </w:tc>
        <w:tc>
          <w:tcPr>
            <w:tcW w:w="900" w:type="dxa"/>
            <w:noWrap w:val="0"/>
            <w:vAlign w:val="center"/>
          </w:tcPr>
          <w:p w14:paraId="38D7A8D7">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089" w:type="dxa"/>
            <w:noWrap w:val="0"/>
            <w:vAlign w:val="center"/>
          </w:tcPr>
          <w:p w14:paraId="2CFF84D6">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260" w:type="dxa"/>
            <w:noWrap w:val="0"/>
            <w:vAlign w:val="center"/>
          </w:tcPr>
          <w:p w14:paraId="5BFEFF89">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720" w:type="dxa"/>
            <w:noWrap w:val="0"/>
            <w:vAlign w:val="center"/>
          </w:tcPr>
          <w:p w14:paraId="29EAA180">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775" w:type="dxa"/>
            <w:noWrap w:val="0"/>
            <w:vAlign w:val="center"/>
          </w:tcPr>
          <w:p w14:paraId="6429070F">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c>
          <w:tcPr>
            <w:tcW w:w="1025" w:type="dxa"/>
            <w:noWrap w:val="0"/>
            <w:vAlign w:val="center"/>
          </w:tcPr>
          <w:p w14:paraId="71E26C45">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tc>
      </w:tr>
    </w:tbl>
    <w:p w14:paraId="049446C1">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p w14:paraId="21ECB2EB">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p>
    <w:p w14:paraId="31BE83CB">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投标人名称：XXXX（</w:t>
      </w:r>
      <w:r>
        <w:rPr>
          <w:rFonts w:hint="eastAsia" w:ascii="仿宋" w:hAnsi="仿宋" w:eastAsia="仿宋"/>
          <w:sz w:val="24"/>
          <w:highlight w:val="none"/>
          <w:lang w:eastAsia="zh-CN"/>
        </w:rPr>
        <w:t>盖</w:t>
      </w:r>
      <w:r>
        <w:rPr>
          <w:rFonts w:hint="eastAsia" w:ascii="仿宋" w:hAnsi="仿宋" w:eastAsia="仿宋"/>
          <w:sz w:val="24"/>
          <w:highlight w:val="none"/>
        </w:rPr>
        <w:t>单位公章）</w:t>
      </w:r>
    </w:p>
    <w:p w14:paraId="034A6E88">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法定代表人</w:t>
      </w:r>
      <w:r>
        <w:rPr>
          <w:rFonts w:hint="eastAsia" w:ascii="仿宋" w:hAnsi="仿宋" w:eastAsia="仿宋"/>
          <w:sz w:val="24"/>
          <w:highlight w:val="none"/>
          <w:lang w:eastAsia="zh-CN"/>
        </w:rPr>
        <w:t>或</w:t>
      </w:r>
      <w:r>
        <w:rPr>
          <w:rFonts w:hint="eastAsia" w:ascii="仿宋" w:hAnsi="仿宋" w:eastAsia="仿宋"/>
          <w:sz w:val="24"/>
          <w:highlight w:val="none"/>
        </w:rPr>
        <w:t>单位负责人或授权代表（签字或加盖个人名章）：XXXX</w:t>
      </w:r>
    </w:p>
    <w:p w14:paraId="0BD738C7">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日    期：XXXX</w:t>
      </w:r>
    </w:p>
    <w:p w14:paraId="571651FA">
      <w:pPr>
        <w:ind w:firstLine="480" w:firstLineChars="200"/>
        <w:rPr>
          <w:rFonts w:hint="eastAsia" w:ascii="仿宋" w:hAnsi="仿宋" w:eastAsia="仿宋" w:cs="仿宋"/>
          <w:kern w:val="0"/>
          <w:sz w:val="24"/>
          <w:highlight w:val="none"/>
        </w:rPr>
      </w:pPr>
    </w:p>
    <w:p w14:paraId="544A0EA1">
      <w:pPr>
        <w:rPr>
          <w:rFonts w:hint="eastAsia" w:ascii="仿宋" w:hAnsi="仿宋" w:eastAsia="仿宋"/>
          <w:b/>
          <w:sz w:val="36"/>
          <w:szCs w:val="36"/>
          <w:highlight w:val="none"/>
          <w:lang w:val="en-US" w:eastAsia="zh-CN"/>
        </w:rPr>
      </w:pPr>
      <w:r>
        <w:rPr>
          <w:rFonts w:hint="eastAsia" w:ascii="仿宋" w:hAnsi="仿宋" w:eastAsia="仿宋"/>
          <w:b/>
          <w:sz w:val="36"/>
          <w:szCs w:val="36"/>
          <w:highlight w:val="none"/>
          <w:lang w:val="en-US" w:eastAsia="zh-CN"/>
        </w:rPr>
        <w:br w:type="page"/>
      </w:r>
    </w:p>
    <w:p w14:paraId="7B1A4D38">
      <w:pPr>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9"/>
        <w:rPr>
          <w:rFonts w:ascii="仿宋" w:hAnsi="仿宋" w:eastAsia="仿宋"/>
          <w:b/>
          <w:sz w:val="36"/>
          <w:szCs w:val="36"/>
          <w:highlight w:val="none"/>
        </w:rPr>
      </w:pPr>
      <w:r>
        <w:rPr>
          <w:rFonts w:hint="eastAsia" w:ascii="仿宋" w:hAnsi="仿宋" w:eastAsia="仿宋"/>
          <w:b/>
          <w:sz w:val="36"/>
          <w:szCs w:val="36"/>
          <w:highlight w:val="none"/>
          <w:lang w:eastAsia="zh-CN"/>
        </w:rPr>
        <w:t>八</w:t>
      </w:r>
      <w:r>
        <w:rPr>
          <w:rFonts w:hint="eastAsia" w:ascii="仿宋" w:hAnsi="仿宋" w:eastAsia="仿宋"/>
          <w:b/>
          <w:sz w:val="36"/>
          <w:szCs w:val="36"/>
          <w:highlight w:val="none"/>
        </w:rPr>
        <w:t>、类似项目业绩一览表</w:t>
      </w:r>
    </w:p>
    <w:p w14:paraId="34DD6B27">
      <w:pPr>
        <w:keepNext w:val="0"/>
        <w:keepLines w:val="0"/>
        <w:pageBreakBefore w:val="0"/>
        <w:widowControl/>
        <w:kinsoku/>
        <w:wordWrap/>
        <w:overflowPunct/>
        <w:topLinePunct w:val="0"/>
        <w:autoSpaceDE/>
        <w:autoSpaceDN/>
        <w:bidi w:val="0"/>
        <w:adjustRightInd/>
        <w:snapToGrid/>
        <w:spacing w:line="360" w:lineRule="atLeast"/>
        <w:ind w:firstLine="472" w:firstLineChars="196"/>
        <w:jc w:val="left"/>
        <w:textAlignment w:val="auto"/>
        <w:outlineLvl w:val="9"/>
        <w:rPr>
          <w:rFonts w:ascii="仿宋" w:hAnsi="仿宋" w:eastAsia="仿宋"/>
          <w:b/>
          <w:sz w:val="24"/>
          <w:highlight w:val="none"/>
        </w:rPr>
      </w:pPr>
    </w:p>
    <w:tbl>
      <w:tblPr>
        <w:tblStyle w:val="21"/>
        <w:tblW w:w="852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621"/>
        <w:gridCol w:w="992"/>
      </w:tblGrid>
      <w:tr w14:paraId="19DED6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14:paraId="28E627BF">
            <w:pPr>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9"/>
              <w:rPr>
                <w:rFonts w:ascii="仿宋" w:hAnsi="仿宋" w:eastAsia="仿宋"/>
                <w:b/>
                <w:bCs/>
                <w:sz w:val="24"/>
                <w:highlight w:val="none"/>
              </w:rPr>
            </w:pPr>
            <w:r>
              <w:rPr>
                <w:rFonts w:hint="eastAsia" w:ascii="仿宋" w:hAnsi="仿宋" w:eastAsia="仿宋"/>
                <w:b/>
                <w:bCs/>
                <w:sz w:val="24"/>
                <w:highlight w:val="none"/>
              </w:rPr>
              <w:t>年份</w:t>
            </w:r>
          </w:p>
        </w:tc>
        <w:tc>
          <w:tcPr>
            <w:tcW w:w="1440" w:type="dxa"/>
            <w:vAlign w:val="center"/>
          </w:tcPr>
          <w:p w14:paraId="094920D5">
            <w:pPr>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9"/>
              <w:rPr>
                <w:rFonts w:ascii="仿宋" w:hAnsi="仿宋" w:eastAsia="仿宋"/>
                <w:b/>
                <w:bCs/>
                <w:sz w:val="24"/>
                <w:highlight w:val="none"/>
              </w:rPr>
            </w:pPr>
            <w:r>
              <w:rPr>
                <w:rFonts w:hint="eastAsia" w:ascii="仿宋" w:hAnsi="仿宋" w:eastAsia="仿宋"/>
                <w:b/>
                <w:bCs/>
                <w:sz w:val="24"/>
                <w:highlight w:val="none"/>
              </w:rPr>
              <w:t>用户名称</w:t>
            </w:r>
          </w:p>
        </w:tc>
        <w:tc>
          <w:tcPr>
            <w:tcW w:w="1320" w:type="dxa"/>
            <w:vAlign w:val="center"/>
          </w:tcPr>
          <w:p w14:paraId="426C1ED2">
            <w:pPr>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9"/>
              <w:rPr>
                <w:rFonts w:ascii="仿宋" w:hAnsi="仿宋" w:eastAsia="仿宋"/>
                <w:b/>
                <w:bCs/>
                <w:sz w:val="24"/>
                <w:highlight w:val="none"/>
              </w:rPr>
            </w:pPr>
            <w:r>
              <w:rPr>
                <w:rFonts w:hint="eastAsia" w:ascii="仿宋" w:hAnsi="仿宋" w:eastAsia="仿宋"/>
                <w:b/>
                <w:bCs/>
                <w:sz w:val="24"/>
                <w:highlight w:val="none"/>
              </w:rPr>
              <w:t>项目名称</w:t>
            </w:r>
          </w:p>
        </w:tc>
        <w:tc>
          <w:tcPr>
            <w:tcW w:w="1161" w:type="dxa"/>
            <w:vAlign w:val="center"/>
          </w:tcPr>
          <w:p w14:paraId="364DE4E4">
            <w:pPr>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9"/>
              <w:rPr>
                <w:rFonts w:ascii="仿宋" w:hAnsi="仿宋" w:eastAsia="仿宋"/>
                <w:b/>
                <w:bCs/>
                <w:sz w:val="24"/>
                <w:highlight w:val="none"/>
              </w:rPr>
            </w:pPr>
            <w:r>
              <w:rPr>
                <w:rFonts w:hint="eastAsia" w:ascii="仿宋" w:hAnsi="仿宋" w:eastAsia="仿宋"/>
                <w:b/>
                <w:bCs/>
                <w:sz w:val="24"/>
                <w:highlight w:val="none"/>
              </w:rPr>
              <w:t>完成时间</w:t>
            </w:r>
          </w:p>
        </w:tc>
        <w:tc>
          <w:tcPr>
            <w:tcW w:w="1260" w:type="dxa"/>
            <w:vAlign w:val="center"/>
          </w:tcPr>
          <w:p w14:paraId="4BBF3B3D">
            <w:pPr>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9"/>
              <w:rPr>
                <w:rFonts w:ascii="仿宋" w:hAnsi="仿宋" w:eastAsia="仿宋"/>
                <w:b/>
                <w:bCs/>
                <w:sz w:val="24"/>
                <w:highlight w:val="none"/>
              </w:rPr>
            </w:pPr>
            <w:r>
              <w:rPr>
                <w:rFonts w:hint="eastAsia" w:ascii="仿宋" w:hAnsi="仿宋" w:eastAsia="仿宋"/>
                <w:b/>
                <w:bCs/>
                <w:sz w:val="24"/>
                <w:highlight w:val="none"/>
              </w:rPr>
              <w:t>合同金额</w:t>
            </w:r>
          </w:p>
        </w:tc>
        <w:tc>
          <w:tcPr>
            <w:tcW w:w="1630" w:type="dxa"/>
            <w:gridSpan w:val="2"/>
            <w:tcBorders>
              <w:right w:val="single" w:color="auto" w:sz="4" w:space="0"/>
            </w:tcBorders>
            <w:vAlign w:val="center"/>
          </w:tcPr>
          <w:p w14:paraId="535B1AEF">
            <w:pPr>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9"/>
              <w:rPr>
                <w:rFonts w:ascii="仿宋" w:hAnsi="仿宋" w:eastAsia="仿宋"/>
                <w:b/>
                <w:bCs/>
                <w:sz w:val="24"/>
                <w:highlight w:val="none"/>
              </w:rPr>
            </w:pPr>
            <w:r>
              <w:rPr>
                <w:rFonts w:hint="eastAsia" w:ascii="仿宋" w:hAnsi="仿宋" w:eastAsia="仿宋"/>
                <w:b/>
                <w:bCs/>
                <w:sz w:val="24"/>
                <w:highlight w:val="none"/>
              </w:rPr>
              <w:t>是否通过验收</w:t>
            </w:r>
          </w:p>
        </w:tc>
        <w:tc>
          <w:tcPr>
            <w:tcW w:w="992" w:type="dxa"/>
            <w:tcBorders>
              <w:left w:val="single" w:color="auto" w:sz="4" w:space="0"/>
            </w:tcBorders>
            <w:vAlign w:val="center"/>
          </w:tcPr>
          <w:p w14:paraId="2423CCC9">
            <w:pPr>
              <w:keepNext w:val="0"/>
              <w:keepLines w:val="0"/>
              <w:pageBreakBefore w:val="0"/>
              <w:widowControl/>
              <w:kinsoku/>
              <w:wordWrap/>
              <w:overflowPunct/>
              <w:topLinePunct w:val="0"/>
              <w:autoSpaceDE/>
              <w:autoSpaceDN/>
              <w:bidi w:val="0"/>
              <w:adjustRightInd/>
              <w:snapToGrid/>
              <w:spacing w:line="360" w:lineRule="atLeast"/>
              <w:jc w:val="center"/>
              <w:textAlignment w:val="auto"/>
              <w:outlineLvl w:val="9"/>
              <w:rPr>
                <w:rFonts w:ascii="仿宋" w:hAnsi="仿宋" w:eastAsia="仿宋"/>
                <w:b/>
                <w:bCs/>
                <w:sz w:val="24"/>
                <w:highlight w:val="none"/>
              </w:rPr>
            </w:pPr>
            <w:r>
              <w:rPr>
                <w:rFonts w:hint="eastAsia" w:ascii="仿宋" w:hAnsi="仿宋" w:eastAsia="仿宋"/>
                <w:b/>
                <w:bCs/>
                <w:sz w:val="24"/>
                <w:highlight w:val="none"/>
              </w:rPr>
              <w:t>备注</w:t>
            </w:r>
          </w:p>
        </w:tc>
      </w:tr>
      <w:tr w14:paraId="50B8EC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35B1800D">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440" w:type="dxa"/>
            <w:vAlign w:val="center"/>
          </w:tcPr>
          <w:p w14:paraId="5B4FA035">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320" w:type="dxa"/>
            <w:vAlign w:val="center"/>
          </w:tcPr>
          <w:p w14:paraId="3A01BF6B">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161" w:type="dxa"/>
            <w:vAlign w:val="center"/>
          </w:tcPr>
          <w:p w14:paraId="1E63D760">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260" w:type="dxa"/>
            <w:vAlign w:val="center"/>
          </w:tcPr>
          <w:p w14:paraId="5621D29B">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630" w:type="dxa"/>
            <w:gridSpan w:val="2"/>
            <w:tcBorders>
              <w:right w:val="single" w:color="auto" w:sz="4" w:space="0"/>
            </w:tcBorders>
            <w:vAlign w:val="center"/>
          </w:tcPr>
          <w:p w14:paraId="4CF0AFDA">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992" w:type="dxa"/>
            <w:tcBorders>
              <w:left w:val="single" w:color="auto" w:sz="4" w:space="0"/>
            </w:tcBorders>
            <w:vAlign w:val="center"/>
          </w:tcPr>
          <w:p w14:paraId="4D74874A">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r>
      <w:tr w14:paraId="5D6A86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16D66318">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440" w:type="dxa"/>
            <w:vAlign w:val="center"/>
          </w:tcPr>
          <w:p w14:paraId="7A3BE59F">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320" w:type="dxa"/>
            <w:vAlign w:val="center"/>
          </w:tcPr>
          <w:p w14:paraId="269228B3">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161" w:type="dxa"/>
            <w:vAlign w:val="center"/>
          </w:tcPr>
          <w:p w14:paraId="0FA08A61">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260" w:type="dxa"/>
            <w:vAlign w:val="center"/>
          </w:tcPr>
          <w:p w14:paraId="4EDC27B4">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630" w:type="dxa"/>
            <w:gridSpan w:val="2"/>
            <w:tcBorders>
              <w:right w:val="single" w:color="auto" w:sz="4" w:space="0"/>
            </w:tcBorders>
            <w:vAlign w:val="center"/>
          </w:tcPr>
          <w:p w14:paraId="6AC53F96">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992" w:type="dxa"/>
            <w:tcBorders>
              <w:left w:val="single" w:color="auto" w:sz="4" w:space="0"/>
            </w:tcBorders>
            <w:vAlign w:val="center"/>
          </w:tcPr>
          <w:p w14:paraId="63BEB39A">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r>
      <w:tr w14:paraId="05DEBD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70C445D2">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440" w:type="dxa"/>
            <w:vAlign w:val="center"/>
          </w:tcPr>
          <w:p w14:paraId="21AF401E">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320" w:type="dxa"/>
            <w:vAlign w:val="center"/>
          </w:tcPr>
          <w:p w14:paraId="4182D8FC">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161" w:type="dxa"/>
            <w:vAlign w:val="center"/>
          </w:tcPr>
          <w:p w14:paraId="5D423D03">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260" w:type="dxa"/>
            <w:vAlign w:val="center"/>
          </w:tcPr>
          <w:p w14:paraId="23C0432F">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630" w:type="dxa"/>
            <w:gridSpan w:val="2"/>
            <w:tcBorders>
              <w:right w:val="single" w:color="auto" w:sz="4" w:space="0"/>
            </w:tcBorders>
            <w:vAlign w:val="center"/>
          </w:tcPr>
          <w:p w14:paraId="7DD4CA5C">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992" w:type="dxa"/>
            <w:tcBorders>
              <w:left w:val="single" w:color="auto" w:sz="4" w:space="0"/>
            </w:tcBorders>
            <w:vAlign w:val="center"/>
          </w:tcPr>
          <w:p w14:paraId="0DE897C7">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r>
      <w:tr w14:paraId="2C4591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57000A15">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440" w:type="dxa"/>
            <w:tcBorders>
              <w:right w:val="single" w:color="auto" w:sz="4" w:space="0"/>
            </w:tcBorders>
            <w:vAlign w:val="center"/>
          </w:tcPr>
          <w:p w14:paraId="312DCDB6">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320" w:type="dxa"/>
            <w:tcBorders>
              <w:left w:val="single" w:color="auto" w:sz="4" w:space="0"/>
            </w:tcBorders>
            <w:vAlign w:val="center"/>
          </w:tcPr>
          <w:p w14:paraId="3D9BA8BC">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161" w:type="dxa"/>
            <w:vAlign w:val="center"/>
          </w:tcPr>
          <w:p w14:paraId="6E6B016A">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260" w:type="dxa"/>
            <w:vAlign w:val="center"/>
          </w:tcPr>
          <w:p w14:paraId="7EF544EC">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630" w:type="dxa"/>
            <w:gridSpan w:val="2"/>
            <w:tcBorders>
              <w:right w:val="single" w:color="auto" w:sz="4" w:space="0"/>
            </w:tcBorders>
            <w:vAlign w:val="center"/>
          </w:tcPr>
          <w:p w14:paraId="4153DF76">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992" w:type="dxa"/>
            <w:tcBorders>
              <w:left w:val="single" w:color="auto" w:sz="4" w:space="0"/>
            </w:tcBorders>
            <w:vAlign w:val="center"/>
          </w:tcPr>
          <w:p w14:paraId="54707714">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r>
      <w:tr w14:paraId="6E6E8F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vAlign w:val="center"/>
          </w:tcPr>
          <w:p w14:paraId="437A46E5">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440" w:type="dxa"/>
            <w:tcBorders>
              <w:left w:val="single" w:color="auto" w:sz="4" w:space="0"/>
              <w:right w:val="single" w:color="auto" w:sz="4" w:space="0"/>
            </w:tcBorders>
            <w:vAlign w:val="center"/>
          </w:tcPr>
          <w:p w14:paraId="330E7589">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320" w:type="dxa"/>
            <w:tcBorders>
              <w:left w:val="single" w:color="auto" w:sz="4" w:space="0"/>
              <w:right w:val="single" w:color="auto" w:sz="4" w:space="0"/>
            </w:tcBorders>
            <w:vAlign w:val="center"/>
          </w:tcPr>
          <w:p w14:paraId="0BD01589">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161" w:type="dxa"/>
            <w:tcBorders>
              <w:left w:val="single" w:color="auto" w:sz="4" w:space="0"/>
              <w:right w:val="single" w:color="auto" w:sz="4" w:space="0"/>
            </w:tcBorders>
            <w:vAlign w:val="center"/>
          </w:tcPr>
          <w:p w14:paraId="35F59C3F">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269" w:type="dxa"/>
            <w:gridSpan w:val="2"/>
            <w:tcBorders>
              <w:left w:val="single" w:color="auto" w:sz="4" w:space="0"/>
              <w:right w:val="single" w:color="auto" w:sz="4" w:space="0"/>
            </w:tcBorders>
            <w:vAlign w:val="center"/>
          </w:tcPr>
          <w:p w14:paraId="3F3E30A0">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621" w:type="dxa"/>
            <w:tcBorders>
              <w:left w:val="single" w:color="auto" w:sz="4" w:space="0"/>
              <w:right w:val="single" w:color="auto" w:sz="4" w:space="0"/>
            </w:tcBorders>
            <w:vAlign w:val="center"/>
          </w:tcPr>
          <w:p w14:paraId="370ECC1E">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992" w:type="dxa"/>
            <w:tcBorders>
              <w:left w:val="single" w:color="auto" w:sz="4" w:space="0"/>
            </w:tcBorders>
            <w:vAlign w:val="center"/>
          </w:tcPr>
          <w:p w14:paraId="0D646886">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r>
      <w:tr w14:paraId="1AFC8F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7F82DB68">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440" w:type="dxa"/>
            <w:vAlign w:val="center"/>
          </w:tcPr>
          <w:p w14:paraId="785EF080">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320" w:type="dxa"/>
            <w:vAlign w:val="center"/>
          </w:tcPr>
          <w:p w14:paraId="17E75686">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161" w:type="dxa"/>
            <w:vAlign w:val="center"/>
          </w:tcPr>
          <w:p w14:paraId="3E34CF5E">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269" w:type="dxa"/>
            <w:gridSpan w:val="2"/>
            <w:tcBorders>
              <w:right w:val="single" w:color="auto" w:sz="4" w:space="0"/>
            </w:tcBorders>
            <w:vAlign w:val="center"/>
          </w:tcPr>
          <w:p w14:paraId="549CBC64">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621" w:type="dxa"/>
            <w:tcBorders>
              <w:left w:val="single" w:color="auto" w:sz="4" w:space="0"/>
              <w:right w:val="single" w:color="auto" w:sz="4" w:space="0"/>
            </w:tcBorders>
            <w:vAlign w:val="center"/>
          </w:tcPr>
          <w:p w14:paraId="1F1A170A">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992" w:type="dxa"/>
            <w:tcBorders>
              <w:left w:val="single" w:color="auto" w:sz="4" w:space="0"/>
            </w:tcBorders>
            <w:vAlign w:val="center"/>
          </w:tcPr>
          <w:p w14:paraId="6D5442F3">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r>
      <w:tr w14:paraId="73EE0A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2E1578B3">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440" w:type="dxa"/>
            <w:vAlign w:val="center"/>
          </w:tcPr>
          <w:p w14:paraId="2F098E69">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320" w:type="dxa"/>
            <w:vAlign w:val="center"/>
          </w:tcPr>
          <w:p w14:paraId="42B6CA55">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161" w:type="dxa"/>
            <w:vAlign w:val="center"/>
          </w:tcPr>
          <w:p w14:paraId="31562DD7">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269" w:type="dxa"/>
            <w:gridSpan w:val="2"/>
            <w:tcBorders>
              <w:right w:val="single" w:color="auto" w:sz="4" w:space="0"/>
            </w:tcBorders>
            <w:vAlign w:val="center"/>
          </w:tcPr>
          <w:p w14:paraId="070C6B19">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621" w:type="dxa"/>
            <w:tcBorders>
              <w:left w:val="single" w:color="auto" w:sz="4" w:space="0"/>
              <w:right w:val="single" w:color="auto" w:sz="4" w:space="0"/>
            </w:tcBorders>
            <w:vAlign w:val="center"/>
          </w:tcPr>
          <w:p w14:paraId="42394843">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992" w:type="dxa"/>
            <w:tcBorders>
              <w:left w:val="single" w:color="auto" w:sz="4" w:space="0"/>
            </w:tcBorders>
            <w:vAlign w:val="center"/>
          </w:tcPr>
          <w:p w14:paraId="6D2FB562">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r>
      <w:tr w14:paraId="4AB904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191BFBC5">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440" w:type="dxa"/>
            <w:vAlign w:val="center"/>
          </w:tcPr>
          <w:p w14:paraId="35C5DD4A">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320" w:type="dxa"/>
            <w:vAlign w:val="center"/>
          </w:tcPr>
          <w:p w14:paraId="508936F2">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161" w:type="dxa"/>
            <w:vAlign w:val="center"/>
          </w:tcPr>
          <w:p w14:paraId="656FF473">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269" w:type="dxa"/>
            <w:gridSpan w:val="2"/>
            <w:tcBorders>
              <w:right w:val="single" w:color="auto" w:sz="4" w:space="0"/>
            </w:tcBorders>
            <w:vAlign w:val="center"/>
          </w:tcPr>
          <w:p w14:paraId="1E414A8E">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621" w:type="dxa"/>
            <w:tcBorders>
              <w:left w:val="single" w:color="auto" w:sz="4" w:space="0"/>
              <w:right w:val="single" w:color="auto" w:sz="4" w:space="0"/>
            </w:tcBorders>
            <w:vAlign w:val="center"/>
          </w:tcPr>
          <w:p w14:paraId="04DA8F11">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992" w:type="dxa"/>
            <w:tcBorders>
              <w:left w:val="single" w:color="auto" w:sz="4" w:space="0"/>
            </w:tcBorders>
            <w:vAlign w:val="center"/>
          </w:tcPr>
          <w:p w14:paraId="1E185291">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r>
      <w:tr w14:paraId="31F096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vAlign w:val="center"/>
          </w:tcPr>
          <w:p w14:paraId="254E703E">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440" w:type="dxa"/>
            <w:tcBorders>
              <w:bottom w:val="single" w:color="auto" w:sz="4" w:space="0"/>
            </w:tcBorders>
            <w:vAlign w:val="center"/>
          </w:tcPr>
          <w:p w14:paraId="23C45CCA">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320" w:type="dxa"/>
            <w:tcBorders>
              <w:bottom w:val="single" w:color="auto" w:sz="4" w:space="0"/>
            </w:tcBorders>
            <w:vAlign w:val="center"/>
          </w:tcPr>
          <w:p w14:paraId="1B2A0541">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161" w:type="dxa"/>
            <w:tcBorders>
              <w:bottom w:val="single" w:color="auto" w:sz="4" w:space="0"/>
            </w:tcBorders>
            <w:vAlign w:val="center"/>
          </w:tcPr>
          <w:p w14:paraId="55F7815D">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269" w:type="dxa"/>
            <w:gridSpan w:val="2"/>
            <w:tcBorders>
              <w:bottom w:val="single" w:color="auto" w:sz="4" w:space="0"/>
              <w:right w:val="single" w:color="auto" w:sz="4" w:space="0"/>
            </w:tcBorders>
            <w:vAlign w:val="center"/>
          </w:tcPr>
          <w:p w14:paraId="2E9F7891">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621" w:type="dxa"/>
            <w:tcBorders>
              <w:left w:val="single" w:color="auto" w:sz="4" w:space="0"/>
              <w:bottom w:val="single" w:color="auto" w:sz="4" w:space="0"/>
              <w:right w:val="single" w:color="auto" w:sz="4" w:space="0"/>
            </w:tcBorders>
            <w:vAlign w:val="center"/>
          </w:tcPr>
          <w:p w14:paraId="16DD0165">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992" w:type="dxa"/>
            <w:tcBorders>
              <w:left w:val="single" w:color="auto" w:sz="4" w:space="0"/>
              <w:bottom w:val="single" w:color="auto" w:sz="4" w:space="0"/>
            </w:tcBorders>
            <w:vAlign w:val="center"/>
          </w:tcPr>
          <w:p w14:paraId="261C627D">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r>
      <w:tr w14:paraId="07384D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14:paraId="56F70CE3">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440" w:type="dxa"/>
            <w:tcBorders>
              <w:top w:val="single" w:color="auto" w:sz="4" w:space="0"/>
              <w:bottom w:val="single" w:color="auto" w:sz="4" w:space="0"/>
            </w:tcBorders>
            <w:vAlign w:val="center"/>
          </w:tcPr>
          <w:p w14:paraId="79D99370">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320" w:type="dxa"/>
            <w:tcBorders>
              <w:top w:val="single" w:color="auto" w:sz="4" w:space="0"/>
              <w:bottom w:val="single" w:color="auto" w:sz="4" w:space="0"/>
            </w:tcBorders>
            <w:vAlign w:val="center"/>
          </w:tcPr>
          <w:p w14:paraId="26577EBC">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161" w:type="dxa"/>
            <w:tcBorders>
              <w:top w:val="single" w:color="auto" w:sz="4" w:space="0"/>
              <w:bottom w:val="single" w:color="auto" w:sz="4" w:space="0"/>
            </w:tcBorders>
            <w:vAlign w:val="center"/>
          </w:tcPr>
          <w:p w14:paraId="196FB549">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269" w:type="dxa"/>
            <w:gridSpan w:val="2"/>
            <w:tcBorders>
              <w:top w:val="single" w:color="auto" w:sz="4" w:space="0"/>
              <w:bottom w:val="single" w:color="auto" w:sz="4" w:space="0"/>
              <w:right w:val="single" w:color="auto" w:sz="4" w:space="0"/>
            </w:tcBorders>
            <w:vAlign w:val="center"/>
          </w:tcPr>
          <w:p w14:paraId="00E2C566">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621" w:type="dxa"/>
            <w:tcBorders>
              <w:top w:val="single" w:color="auto" w:sz="4" w:space="0"/>
              <w:left w:val="single" w:color="auto" w:sz="4" w:space="0"/>
              <w:bottom w:val="single" w:color="auto" w:sz="4" w:space="0"/>
              <w:right w:val="single" w:color="auto" w:sz="4" w:space="0"/>
            </w:tcBorders>
            <w:vAlign w:val="center"/>
          </w:tcPr>
          <w:p w14:paraId="69468234">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992" w:type="dxa"/>
            <w:tcBorders>
              <w:top w:val="single" w:color="auto" w:sz="4" w:space="0"/>
              <w:left w:val="single" w:color="auto" w:sz="4" w:space="0"/>
              <w:bottom w:val="single" w:color="auto" w:sz="4" w:space="0"/>
            </w:tcBorders>
            <w:vAlign w:val="center"/>
          </w:tcPr>
          <w:p w14:paraId="4C03A2D9">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r>
      <w:tr w14:paraId="3FFD38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14:paraId="78BE10FD">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440" w:type="dxa"/>
            <w:tcBorders>
              <w:top w:val="single" w:color="auto" w:sz="4" w:space="0"/>
              <w:bottom w:val="single" w:color="auto" w:sz="4" w:space="0"/>
            </w:tcBorders>
            <w:vAlign w:val="center"/>
          </w:tcPr>
          <w:p w14:paraId="35D1A6A7">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320" w:type="dxa"/>
            <w:tcBorders>
              <w:top w:val="single" w:color="auto" w:sz="4" w:space="0"/>
              <w:bottom w:val="single" w:color="auto" w:sz="4" w:space="0"/>
            </w:tcBorders>
            <w:vAlign w:val="center"/>
          </w:tcPr>
          <w:p w14:paraId="3C8C6971">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161" w:type="dxa"/>
            <w:tcBorders>
              <w:top w:val="single" w:color="auto" w:sz="4" w:space="0"/>
              <w:bottom w:val="single" w:color="auto" w:sz="4" w:space="0"/>
            </w:tcBorders>
            <w:vAlign w:val="center"/>
          </w:tcPr>
          <w:p w14:paraId="7D0CF7B2">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269" w:type="dxa"/>
            <w:gridSpan w:val="2"/>
            <w:tcBorders>
              <w:top w:val="single" w:color="auto" w:sz="4" w:space="0"/>
              <w:bottom w:val="single" w:color="auto" w:sz="4" w:space="0"/>
              <w:right w:val="single" w:color="auto" w:sz="4" w:space="0"/>
            </w:tcBorders>
            <w:vAlign w:val="center"/>
          </w:tcPr>
          <w:p w14:paraId="16C9F15F">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621" w:type="dxa"/>
            <w:tcBorders>
              <w:top w:val="single" w:color="auto" w:sz="4" w:space="0"/>
              <w:left w:val="single" w:color="auto" w:sz="4" w:space="0"/>
              <w:bottom w:val="single" w:color="auto" w:sz="4" w:space="0"/>
              <w:right w:val="single" w:color="auto" w:sz="4" w:space="0"/>
            </w:tcBorders>
            <w:vAlign w:val="center"/>
          </w:tcPr>
          <w:p w14:paraId="7F14490B">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992" w:type="dxa"/>
            <w:tcBorders>
              <w:top w:val="single" w:color="auto" w:sz="4" w:space="0"/>
              <w:left w:val="single" w:color="auto" w:sz="4" w:space="0"/>
              <w:bottom w:val="single" w:color="auto" w:sz="4" w:space="0"/>
            </w:tcBorders>
            <w:vAlign w:val="center"/>
          </w:tcPr>
          <w:p w14:paraId="601C5A28">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r>
      <w:tr w14:paraId="48521E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vAlign w:val="center"/>
          </w:tcPr>
          <w:p w14:paraId="1EB63BB2">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440" w:type="dxa"/>
            <w:tcBorders>
              <w:top w:val="single" w:color="auto" w:sz="4" w:space="0"/>
              <w:bottom w:val="single" w:color="auto" w:sz="4" w:space="0"/>
            </w:tcBorders>
            <w:vAlign w:val="center"/>
          </w:tcPr>
          <w:p w14:paraId="0170F4C0">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320" w:type="dxa"/>
            <w:tcBorders>
              <w:top w:val="single" w:color="auto" w:sz="4" w:space="0"/>
              <w:bottom w:val="single" w:color="auto" w:sz="4" w:space="0"/>
            </w:tcBorders>
            <w:vAlign w:val="center"/>
          </w:tcPr>
          <w:p w14:paraId="3CE43750">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161" w:type="dxa"/>
            <w:tcBorders>
              <w:top w:val="single" w:color="auto" w:sz="4" w:space="0"/>
              <w:bottom w:val="single" w:color="auto" w:sz="4" w:space="0"/>
            </w:tcBorders>
            <w:vAlign w:val="center"/>
          </w:tcPr>
          <w:p w14:paraId="12E12E3F">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269" w:type="dxa"/>
            <w:gridSpan w:val="2"/>
            <w:tcBorders>
              <w:top w:val="single" w:color="auto" w:sz="4" w:space="0"/>
              <w:bottom w:val="single" w:color="auto" w:sz="4" w:space="0"/>
              <w:right w:val="single" w:color="auto" w:sz="4" w:space="0"/>
            </w:tcBorders>
            <w:vAlign w:val="center"/>
          </w:tcPr>
          <w:p w14:paraId="2C60C202">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621" w:type="dxa"/>
            <w:tcBorders>
              <w:top w:val="single" w:color="auto" w:sz="4" w:space="0"/>
              <w:left w:val="single" w:color="auto" w:sz="4" w:space="0"/>
              <w:bottom w:val="single" w:color="auto" w:sz="4" w:space="0"/>
              <w:right w:val="single" w:color="auto" w:sz="4" w:space="0"/>
            </w:tcBorders>
            <w:vAlign w:val="center"/>
          </w:tcPr>
          <w:p w14:paraId="7D10FFFD">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992" w:type="dxa"/>
            <w:tcBorders>
              <w:top w:val="single" w:color="auto" w:sz="4" w:space="0"/>
              <w:left w:val="single" w:color="auto" w:sz="4" w:space="0"/>
              <w:bottom w:val="single" w:color="auto" w:sz="4" w:space="0"/>
            </w:tcBorders>
            <w:vAlign w:val="center"/>
          </w:tcPr>
          <w:p w14:paraId="203E492A">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r>
      <w:tr w14:paraId="4BC88B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vAlign w:val="center"/>
          </w:tcPr>
          <w:p w14:paraId="62D5C52C">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440" w:type="dxa"/>
            <w:tcBorders>
              <w:top w:val="single" w:color="auto" w:sz="4" w:space="0"/>
            </w:tcBorders>
            <w:vAlign w:val="center"/>
          </w:tcPr>
          <w:p w14:paraId="4C6F4726">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320" w:type="dxa"/>
            <w:tcBorders>
              <w:top w:val="single" w:color="auto" w:sz="4" w:space="0"/>
            </w:tcBorders>
            <w:vAlign w:val="center"/>
          </w:tcPr>
          <w:p w14:paraId="718EB12A">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161" w:type="dxa"/>
            <w:tcBorders>
              <w:top w:val="single" w:color="auto" w:sz="4" w:space="0"/>
            </w:tcBorders>
            <w:vAlign w:val="center"/>
          </w:tcPr>
          <w:p w14:paraId="50F66087">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269" w:type="dxa"/>
            <w:gridSpan w:val="2"/>
            <w:tcBorders>
              <w:top w:val="single" w:color="auto" w:sz="4" w:space="0"/>
              <w:right w:val="single" w:color="auto" w:sz="4" w:space="0"/>
            </w:tcBorders>
            <w:vAlign w:val="center"/>
          </w:tcPr>
          <w:p w14:paraId="694E1E83">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1621" w:type="dxa"/>
            <w:tcBorders>
              <w:top w:val="single" w:color="auto" w:sz="4" w:space="0"/>
              <w:left w:val="single" w:color="auto" w:sz="4" w:space="0"/>
              <w:right w:val="single" w:color="auto" w:sz="4" w:space="0"/>
            </w:tcBorders>
            <w:vAlign w:val="center"/>
          </w:tcPr>
          <w:p w14:paraId="321A5E3E">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c>
          <w:tcPr>
            <w:tcW w:w="992" w:type="dxa"/>
            <w:tcBorders>
              <w:top w:val="single" w:color="auto" w:sz="4" w:space="0"/>
              <w:left w:val="single" w:color="auto" w:sz="4" w:space="0"/>
            </w:tcBorders>
            <w:vAlign w:val="center"/>
          </w:tcPr>
          <w:p w14:paraId="76DE1AD5">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tc>
      </w:tr>
    </w:tbl>
    <w:p w14:paraId="4205DE9E">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p w14:paraId="0310ECB7">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注：以上业绩</w:t>
      </w:r>
      <w:r>
        <w:rPr>
          <w:rFonts w:hint="eastAsia" w:ascii="仿宋" w:hAnsi="仿宋" w:eastAsia="仿宋"/>
          <w:sz w:val="24"/>
          <w:highlight w:val="none"/>
          <w:lang w:val="en-US" w:eastAsia="zh-CN"/>
        </w:rPr>
        <w:t>须</w:t>
      </w:r>
      <w:r>
        <w:rPr>
          <w:rFonts w:hint="eastAsia" w:ascii="仿宋" w:hAnsi="仿宋" w:eastAsia="仿宋"/>
          <w:sz w:val="24"/>
          <w:highlight w:val="none"/>
        </w:rPr>
        <w:t>提供招标文件要求的有关书面证明材料。</w:t>
      </w:r>
    </w:p>
    <w:p w14:paraId="064D43B7">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ascii="仿宋" w:hAnsi="仿宋" w:eastAsia="仿宋"/>
          <w:sz w:val="24"/>
          <w:highlight w:val="none"/>
        </w:rPr>
      </w:pPr>
    </w:p>
    <w:p w14:paraId="71E3A6C1">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投标人名称：XXXX（</w:t>
      </w:r>
      <w:r>
        <w:rPr>
          <w:rFonts w:hint="eastAsia" w:ascii="仿宋" w:hAnsi="仿宋" w:eastAsia="仿宋"/>
          <w:sz w:val="24"/>
          <w:highlight w:val="none"/>
          <w:lang w:eastAsia="zh-CN"/>
        </w:rPr>
        <w:t>盖</w:t>
      </w:r>
      <w:r>
        <w:rPr>
          <w:rFonts w:hint="eastAsia" w:ascii="仿宋" w:hAnsi="仿宋" w:eastAsia="仿宋"/>
          <w:sz w:val="24"/>
          <w:highlight w:val="none"/>
        </w:rPr>
        <w:t>单位公章）</w:t>
      </w:r>
    </w:p>
    <w:p w14:paraId="1AE45F4C">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法定代表人</w:t>
      </w:r>
      <w:r>
        <w:rPr>
          <w:rFonts w:hint="eastAsia" w:ascii="仿宋" w:hAnsi="仿宋" w:eastAsia="仿宋"/>
          <w:sz w:val="24"/>
          <w:highlight w:val="none"/>
          <w:lang w:eastAsia="zh-CN"/>
        </w:rPr>
        <w:t>或</w:t>
      </w:r>
      <w:r>
        <w:rPr>
          <w:rFonts w:hint="eastAsia" w:ascii="仿宋" w:hAnsi="仿宋" w:eastAsia="仿宋"/>
          <w:sz w:val="24"/>
          <w:highlight w:val="none"/>
        </w:rPr>
        <w:t>单位负责人或授权代表（签字或加盖个人名章）：XXXX</w:t>
      </w:r>
    </w:p>
    <w:p w14:paraId="50AB6889">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日    期：XXXX</w:t>
      </w:r>
    </w:p>
    <w:p w14:paraId="686BD190">
      <w:pPr>
        <w:rPr>
          <w:highlight w:val="none"/>
        </w:rPr>
      </w:pPr>
      <w:r>
        <w:rPr>
          <w:rFonts w:hint="eastAsia" w:ascii="仿宋" w:hAnsi="仿宋" w:eastAsia="仿宋"/>
          <w:b/>
          <w:sz w:val="36"/>
          <w:szCs w:val="36"/>
          <w:highlight w:val="none"/>
          <w:lang w:val="en-US" w:eastAsia="zh-CN"/>
        </w:rPr>
        <w:br w:type="page"/>
      </w:r>
    </w:p>
    <w:p w14:paraId="472F492E">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Chars="0"/>
        <w:jc w:val="center"/>
        <w:textAlignment w:val="auto"/>
        <w:outlineLvl w:val="9"/>
        <w:rPr>
          <w:rFonts w:hint="eastAsia" w:ascii="仿宋" w:hAnsi="仿宋" w:eastAsia="仿宋"/>
          <w:b/>
          <w:sz w:val="36"/>
          <w:szCs w:val="36"/>
          <w:highlight w:val="none"/>
          <w:lang w:val="en-US" w:eastAsia="zh-CN"/>
        </w:rPr>
      </w:pPr>
      <w:r>
        <w:rPr>
          <w:rFonts w:hint="eastAsia" w:ascii="仿宋" w:hAnsi="仿宋" w:eastAsia="仿宋"/>
          <w:b/>
          <w:sz w:val="36"/>
          <w:szCs w:val="36"/>
          <w:highlight w:val="none"/>
          <w:lang w:val="en-US" w:eastAsia="zh-CN"/>
        </w:rPr>
        <w:t>九、投标人认为需要补充的其他文件和资料</w:t>
      </w:r>
    </w:p>
    <w:p w14:paraId="6D9CD440">
      <w:pPr>
        <w:pStyle w:val="9"/>
        <w:numPr>
          <w:ilvl w:val="0"/>
          <w:numId w:val="0"/>
        </w:numPr>
        <w:jc w:val="center"/>
        <w:rPr>
          <w:rFonts w:hint="eastAsia" w:ascii="仿宋" w:hAnsi="仿宋" w:eastAsia="仿宋" w:cstheme="minorBidi"/>
          <w:b/>
          <w:kern w:val="2"/>
          <w:sz w:val="32"/>
          <w:szCs w:val="32"/>
          <w:highlight w:val="none"/>
          <w:lang w:val="en-US" w:eastAsia="zh-CN" w:bidi="ar-SA"/>
        </w:rPr>
      </w:pPr>
    </w:p>
    <w:p w14:paraId="67A87780">
      <w:pPr>
        <w:pStyle w:val="9"/>
        <w:numPr>
          <w:ilvl w:val="0"/>
          <w:numId w:val="0"/>
        </w:numPr>
        <w:jc w:val="center"/>
        <w:rPr>
          <w:rFonts w:hint="default" w:ascii="仿宋" w:hAnsi="仿宋" w:eastAsia="仿宋" w:cstheme="minorBidi"/>
          <w:b/>
          <w:kern w:val="2"/>
          <w:sz w:val="32"/>
          <w:szCs w:val="32"/>
          <w:highlight w:val="none"/>
          <w:lang w:val="en-US" w:eastAsia="zh-CN" w:bidi="ar-SA"/>
        </w:rPr>
      </w:pPr>
      <w:r>
        <w:rPr>
          <w:rFonts w:hint="eastAsia" w:ascii="仿宋" w:hAnsi="仿宋" w:eastAsia="仿宋" w:cstheme="minorBidi"/>
          <w:b/>
          <w:kern w:val="2"/>
          <w:sz w:val="32"/>
          <w:szCs w:val="32"/>
          <w:highlight w:val="none"/>
          <w:lang w:val="en-US" w:eastAsia="zh-CN" w:bidi="ar-SA"/>
        </w:rPr>
        <w:t>（格式自拟）</w:t>
      </w:r>
    </w:p>
    <w:p w14:paraId="40A25B92">
      <w:pPr>
        <w:pStyle w:val="9"/>
        <w:rPr>
          <w:highlight w:val="none"/>
        </w:rPr>
      </w:pPr>
    </w:p>
    <w:p w14:paraId="7B611021">
      <w:pPr>
        <w:widowControl/>
        <w:spacing w:line="360" w:lineRule="atLeast"/>
        <w:ind w:firstLine="420" w:firstLineChars="200"/>
        <w:jc w:val="left"/>
        <w:rPr>
          <w:rFonts w:hint="eastAsia" w:ascii="宋体" w:hAnsi="宋体" w:cs="宋体"/>
          <w:b/>
          <w:color w:val="auto"/>
          <w:sz w:val="32"/>
          <w:szCs w:val="32"/>
          <w:highlight w:val="none"/>
          <w:lang w:val="en-US" w:eastAsia="zh-CN"/>
        </w:rPr>
      </w:pPr>
      <w:bookmarkStart w:id="16" w:name="_Hlk497229561"/>
      <w:r>
        <w:rPr>
          <w:rFonts w:ascii="Times New Roman" w:hAnsi="Times New Roman" w:cs="Times New Roman"/>
          <w:highlight w:val="none"/>
        </w:rPr>
        <w:br w:type="page"/>
      </w:r>
      <w:bookmarkStart w:id="17" w:name="_Toc23571"/>
      <w:bookmarkStart w:id="18" w:name="_Toc12641"/>
    </w:p>
    <w:p w14:paraId="4067E3A9">
      <w:pPr>
        <w:widowControl/>
        <w:ind w:firstLine="643" w:firstLineChars="200"/>
        <w:jc w:val="center"/>
        <w:outlineLvl w:val="2"/>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十、</w:t>
      </w:r>
      <w:r>
        <w:rPr>
          <w:rFonts w:hint="eastAsia" w:ascii="宋体" w:hAnsi="宋体" w:cs="宋体"/>
          <w:b/>
          <w:color w:val="auto"/>
          <w:sz w:val="32"/>
          <w:szCs w:val="32"/>
          <w:highlight w:val="none"/>
        </w:rPr>
        <w:t>中小企业声明函</w:t>
      </w:r>
      <w:bookmarkEnd w:id="17"/>
      <w:bookmarkEnd w:id="18"/>
    </w:p>
    <w:p w14:paraId="6C7E290C">
      <w:pPr>
        <w:pStyle w:val="54"/>
        <w:ind w:firstLine="480"/>
        <w:rPr>
          <w:rFonts w:ascii="宋体" w:hAnsi="宋体" w:eastAsia="宋体" w:cs="宋体"/>
          <w:color w:val="auto"/>
          <w:highlight w:val="none"/>
        </w:rPr>
      </w:pPr>
    </w:p>
    <w:p w14:paraId="63B4A2BA">
      <w:pPr>
        <w:pStyle w:val="55"/>
        <w:keepNext w:val="0"/>
        <w:keepLines w:val="0"/>
        <w:pageBreakBefore w:val="0"/>
        <w:widowControl/>
        <w:kinsoku/>
        <w:wordWrap/>
        <w:overflowPunct/>
        <w:topLinePunct w:val="0"/>
        <w:bidi w:val="0"/>
        <w:snapToGrid/>
        <w:ind w:left="0" w:leftChars="0" w:firstLine="480" w:firstLineChars="200"/>
        <w:textAlignment w:val="baseline"/>
        <w:rPr>
          <w:rFonts w:hint="eastAsia" w:ascii="仿宋" w:hAnsi="仿宋" w:eastAsia="仿宋" w:cs="仿宋"/>
          <w:color w:val="auto"/>
          <w:sz w:val="24"/>
          <w:szCs w:val="24"/>
          <w:highlight w:val="none"/>
        </w:rPr>
      </w:pPr>
      <w:bookmarkStart w:id="19" w:name="_Toc417911732"/>
      <w:bookmarkStart w:id="20" w:name="_Toc387147344"/>
      <w:bookmarkStart w:id="21" w:name="_Toc387658050"/>
      <w:bookmarkStart w:id="22" w:name="_Toc413748654"/>
      <w:bookmarkStart w:id="23" w:name="_Toc419811733"/>
      <w:r>
        <w:rPr>
          <w:rFonts w:hint="eastAsia" w:ascii="仿宋" w:hAnsi="仿宋" w:eastAsia="仿宋" w:cs="仿宋"/>
          <w:color w:val="auto"/>
          <w:sz w:val="24"/>
          <w:szCs w:val="24"/>
          <w:highlight w:val="none"/>
        </w:rPr>
        <w:t>本公司</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（联合体）郑重声明，根据《政府采购促进中小企业发展管理办法》（财库〔2020〕46 号）的规定，本公司</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（联合体）参加</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rPr>
        <w:t>（单位名称）的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（项目名称）采购活动，服务全部由符合政策要求的中小企业承接。相关企业（含联合体中的中小企业、签订分包意向协议的中小企业）的具体情况如下：</w:t>
      </w:r>
    </w:p>
    <w:p w14:paraId="62B90F08">
      <w:pPr>
        <w:keepNext w:val="0"/>
        <w:keepLines w:val="0"/>
        <w:pageBreakBefore w:val="0"/>
        <w:widowControl/>
        <w:numPr>
          <w:ilvl w:val="0"/>
          <w:numId w:val="0"/>
        </w:numPr>
        <w:kinsoku/>
        <w:wordWrap/>
        <w:overflowPunct/>
        <w:topLinePunct w:val="0"/>
        <w:autoSpaceDE w:val="0"/>
        <w:autoSpaceDN w:val="0"/>
        <w:bidi w:val="0"/>
        <w:adjustRightInd w:val="0"/>
        <w:snapToGrid/>
        <w:spacing w:after="0" w:line="360" w:lineRule="auto"/>
        <w:ind w:firstLine="480" w:firstLineChars="200"/>
        <w:jc w:val="left"/>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none"/>
          <w:lang w:val="en-US" w:eastAsia="zh-CN"/>
        </w:rPr>
        <w:t>1、</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（标的名称），属于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（采购文件中明确的所属行业）行业；承接企业为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（企业名称），从业人员人</w:t>
      </w:r>
      <w:r>
        <w:rPr>
          <w:rFonts w:hint="eastAsia" w:ascii="仿宋" w:hAnsi="仿宋" w:eastAsia="仿宋" w:cs="仿宋"/>
          <w:color w:val="auto"/>
          <w:kern w:val="0"/>
          <w:sz w:val="24"/>
          <w:szCs w:val="24"/>
          <w:highlight w:val="none"/>
          <w:u w:val="single"/>
        </w:rPr>
        <w:t xml:space="preserve">    人</w:t>
      </w:r>
      <w:r>
        <w:rPr>
          <w:rFonts w:hint="eastAsia" w:ascii="仿宋" w:hAnsi="仿宋" w:eastAsia="仿宋" w:cs="仿宋"/>
          <w:color w:val="auto"/>
          <w:kern w:val="0"/>
          <w:sz w:val="24"/>
          <w:szCs w:val="24"/>
          <w:highlight w:val="none"/>
        </w:rPr>
        <w:t>，营业收入为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5D287ED2">
      <w:pPr>
        <w:keepNext w:val="0"/>
        <w:keepLines w:val="0"/>
        <w:pageBreakBefore w:val="0"/>
        <w:widowControl/>
        <w:numPr>
          <w:ilvl w:val="0"/>
          <w:numId w:val="0"/>
        </w:numPr>
        <w:kinsoku/>
        <w:wordWrap/>
        <w:overflowPunct/>
        <w:topLinePunct w:val="0"/>
        <w:autoSpaceDE w:val="0"/>
        <w:autoSpaceDN w:val="0"/>
        <w:bidi w:val="0"/>
        <w:adjustRightInd w:val="0"/>
        <w:snapToGrid/>
        <w:spacing w:after="0" w:line="360" w:lineRule="auto"/>
        <w:ind w:firstLine="480" w:firstLineChars="200"/>
        <w:jc w:val="left"/>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（标的名称），属于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（采购文件中明确的所属行业）行业；承接企业为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（企业名称），从业人员人</w:t>
      </w:r>
      <w:r>
        <w:rPr>
          <w:rFonts w:hint="eastAsia" w:ascii="仿宋" w:hAnsi="仿宋" w:eastAsia="仿宋" w:cs="仿宋"/>
          <w:color w:val="auto"/>
          <w:kern w:val="0"/>
          <w:sz w:val="24"/>
          <w:szCs w:val="24"/>
          <w:highlight w:val="none"/>
          <w:u w:val="single"/>
        </w:rPr>
        <w:t xml:space="preserve">    人</w:t>
      </w:r>
      <w:r>
        <w:rPr>
          <w:rFonts w:hint="eastAsia" w:ascii="仿宋" w:hAnsi="仿宋" w:eastAsia="仿宋" w:cs="仿宋"/>
          <w:color w:val="auto"/>
          <w:kern w:val="0"/>
          <w:sz w:val="24"/>
          <w:szCs w:val="24"/>
          <w:highlight w:val="none"/>
        </w:rPr>
        <w:t>，营业收入为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262827C7">
      <w:pPr>
        <w:autoSpaceDE w:val="0"/>
        <w:autoSpaceDN w:val="0"/>
        <w:adjustRightIn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1CA0A161">
      <w:pPr>
        <w:spacing w:line="360" w:lineRule="auto"/>
        <w:ind w:firstLine="600" w:firstLineChars="2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06EABC2D">
      <w:pPr>
        <w:spacing w:line="360" w:lineRule="auto"/>
        <w:ind w:firstLine="600" w:firstLineChars="2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2EB01EFE">
      <w:pPr>
        <w:spacing w:line="360" w:lineRule="auto"/>
        <w:ind w:firstLine="600" w:firstLineChars="2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410A015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企业名称（盖章）：</w:t>
      </w:r>
    </w:p>
    <w:p w14:paraId="4624B8F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62D074E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2A6FFB35">
      <w:pPr>
        <w:spacing w:line="360" w:lineRule="auto"/>
        <w:ind w:firstLine="480" w:firstLineChars="200"/>
        <w:rPr>
          <w:rFonts w:hint="eastAsia" w:ascii="仿宋" w:hAnsi="仿宋" w:eastAsia="仿宋" w:cs="仿宋"/>
          <w:b/>
          <w:color w:val="auto"/>
          <w:sz w:val="32"/>
          <w:szCs w:val="32"/>
          <w:highlight w:val="none"/>
          <w:lang w:val="en-US" w:eastAsia="zh-CN"/>
        </w:rPr>
      </w:pPr>
      <w:r>
        <w:rPr>
          <w:rFonts w:hint="eastAsia" w:ascii="仿宋" w:hAnsi="仿宋" w:eastAsia="仿宋" w:cs="仿宋"/>
          <w:color w:val="auto"/>
          <w:sz w:val="24"/>
          <w:highlight w:val="none"/>
        </w:rPr>
        <w:t>1、</w:t>
      </w:r>
      <w:bookmarkEnd w:id="19"/>
      <w:bookmarkEnd w:id="20"/>
      <w:bookmarkEnd w:id="21"/>
      <w:bookmarkEnd w:id="22"/>
      <w:bookmarkEnd w:id="23"/>
      <w:r>
        <w:rPr>
          <w:rFonts w:hint="eastAsia" w:ascii="仿宋" w:hAnsi="仿宋" w:eastAsia="仿宋" w:cs="仿宋"/>
          <w:color w:val="auto"/>
          <w:sz w:val="24"/>
          <w:highlight w:val="none"/>
        </w:rPr>
        <w:t>从业人员、营业收入、资产总额填报上一年度数据，无上一年度数据的新成立企业可不填报。</w:t>
      </w:r>
      <w:r>
        <w:rPr>
          <w:rFonts w:hint="eastAsia" w:ascii="仿宋" w:hAnsi="仿宋" w:eastAsia="仿宋" w:cs="仿宋"/>
          <w:color w:val="auto"/>
          <w:sz w:val="24"/>
          <w:highlight w:val="none"/>
        </w:rPr>
        <w:br w:type="page"/>
      </w:r>
    </w:p>
    <w:p w14:paraId="45A2D481">
      <w:pPr>
        <w:ind w:firstLine="643" w:firstLineChars="200"/>
        <w:jc w:val="center"/>
        <w:outlineLvl w:val="2"/>
        <w:rPr>
          <w:rFonts w:ascii="宋体" w:hAnsi="宋体" w:cs="宋体"/>
          <w:b/>
          <w:color w:val="auto"/>
          <w:sz w:val="32"/>
          <w:szCs w:val="32"/>
          <w:highlight w:val="none"/>
        </w:rPr>
      </w:pPr>
      <w:bookmarkStart w:id="24" w:name="_Toc13478"/>
      <w:bookmarkStart w:id="25" w:name="_Toc4732"/>
      <w:r>
        <w:rPr>
          <w:rFonts w:hint="eastAsia" w:ascii="宋体" w:hAnsi="宋体" w:cs="宋体"/>
          <w:b/>
          <w:color w:val="auto"/>
          <w:sz w:val="32"/>
          <w:szCs w:val="32"/>
          <w:highlight w:val="none"/>
        </w:rPr>
        <w:t>残疾人福利性单位声明函</w:t>
      </w:r>
      <w:bookmarkEnd w:id="24"/>
      <w:r>
        <w:rPr>
          <w:rFonts w:hint="eastAsia" w:ascii="宋体" w:hAnsi="宋体" w:cs="宋体"/>
          <w:b/>
          <w:color w:val="auto"/>
          <w:sz w:val="32"/>
          <w:szCs w:val="32"/>
          <w:highlight w:val="none"/>
        </w:rPr>
        <w:t>（如涉及）</w:t>
      </w:r>
      <w:bookmarkEnd w:id="25"/>
    </w:p>
    <w:p w14:paraId="58BBFC9B">
      <w:pPr>
        <w:spacing w:line="588" w:lineRule="exact"/>
        <w:ind w:firstLine="506"/>
        <w:rPr>
          <w:rFonts w:ascii="宋体" w:hAnsi="宋体" w:cs="宋体"/>
          <w:b/>
          <w:color w:val="auto"/>
          <w:spacing w:val="6"/>
          <w:sz w:val="24"/>
          <w:highlight w:val="none"/>
        </w:rPr>
      </w:pPr>
    </w:p>
    <w:p w14:paraId="422099F8">
      <w:pPr>
        <w:spacing w:line="588" w:lineRule="exact"/>
        <w:ind w:firstLine="504"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highlight w:val="none"/>
        </w:rPr>
        <w:t>〔2017〕 141</w:t>
      </w:r>
      <w:r>
        <w:rPr>
          <w:rFonts w:hint="eastAsia" w:ascii="仿宋" w:hAnsi="仿宋" w:eastAsia="仿宋" w:cs="仿宋"/>
          <w:color w:val="auto"/>
          <w:spacing w:val="6"/>
          <w:sz w:val="24"/>
          <w:highlight w:val="none"/>
        </w:rPr>
        <w:t>号）的规定，本单位为符合条件的残疾人福利性单位，且本单位参加</w:t>
      </w:r>
      <w:r>
        <w:rPr>
          <w:rFonts w:hint="eastAsia" w:ascii="仿宋" w:hAnsi="仿宋" w:eastAsia="仿宋" w:cs="仿宋"/>
          <w:color w:val="auto"/>
          <w:sz w:val="24"/>
          <w:highlight w:val="none"/>
          <w:u w:val="single"/>
        </w:rPr>
        <w:t>XXXX</w:t>
      </w:r>
      <w:r>
        <w:rPr>
          <w:rFonts w:hint="eastAsia" w:ascii="仿宋" w:hAnsi="仿宋" w:eastAsia="仿宋" w:cs="仿宋"/>
          <w:color w:val="auto"/>
          <w:spacing w:val="6"/>
          <w:sz w:val="24"/>
          <w:highlight w:val="none"/>
        </w:rPr>
        <w:t>单位的</w:t>
      </w:r>
      <w:r>
        <w:rPr>
          <w:rFonts w:hint="eastAsia" w:ascii="仿宋" w:hAnsi="仿宋" w:eastAsia="仿宋" w:cs="仿宋"/>
          <w:color w:val="auto"/>
          <w:sz w:val="24"/>
          <w:highlight w:val="none"/>
          <w:u w:val="single"/>
        </w:rPr>
        <w:t>XXXX</w:t>
      </w:r>
      <w:r>
        <w:rPr>
          <w:rFonts w:hint="eastAsia" w:ascii="仿宋" w:hAnsi="仿宋" w:eastAsia="仿宋" w:cs="仿宋"/>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1967E73C">
      <w:pPr>
        <w:spacing w:line="588" w:lineRule="exact"/>
        <w:ind w:firstLine="504"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本单位对上述声明的真实性负责。如有虚假，将依法承担相应责任。</w:t>
      </w:r>
    </w:p>
    <w:p w14:paraId="6F803F85">
      <w:pPr>
        <w:spacing w:line="588" w:lineRule="exact"/>
        <w:ind w:firstLine="504"/>
        <w:rPr>
          <w:rFonts w:hint="eastAsia" w:ascii="仿宋" w:hAnsi="仿宋" w:eastAsia="仿宋" w:cs="仿宋"/>
          <w:color w:val="auto"/>
          <w:spacing w:val="6"/>
          <w:sz w:val="24"/>
          <w:highlight w:val="none"/>
        </w:rPr>
      </w:pPr>
    </w:p>
    <w:p w14:paraId="183FA6B7">
      <w:pPr>
        <w:spacing w:line="588" w:lineRule="exact"/>
        <w:ind w:firstLine="504"/>
        <w:rPr>
          <w:rFonts w:hint="eastAsia" w:ascii="仿宋" w:hAnsi="仿宋" w:eastAsia="仿宋" w:cs="仿宋"/>
          <w:color w:val="auto"/>
          <w:spacing w:val="6"/>
          <w:sz w:val="24"/>
          <w:highlight w:val="none"/>
        </w:rPr>
      </w:pPr>
    </w:p>
    <w:p w14:paraId="101CC5E7">
      <w:pPr>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单位名称：XXXX（盖单位公章）</w:t>
      </w:r>
    </w:p>
    <w:p w14:paraId="5F09AF74">
      <w:pPr>
        <w:ind w:firstLine="480" w:firstLineChars="200"/>
        <w:jc w:val="left"/>
        <w:rPr>
          <w:rFonts w:hint="eastAsia" w:ascii="仿宋" w:hAnsi="仿宋" w:eastAsia="仿宋" w:cs="仿宋"/>
          <w:color w:val="auto"/>
          <w:sz w:val="24"/>
          <w:highlight w:val="none"/>
        </w:rPr>
      </w:pPr>
    </w:p>
    <w:p w14:paraId="0C774209">
      <w:pPr>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日期：XXXX</w:t>
      </w:r>
    </w:p>
    <w:p w14:paraId="3975E897">
      <w:pPr>
        <w:spacing w:line="360" w:lineRule="auto"/>
        <w:rPr>
          <w:rFonts w:hint="eastAsia" w:ascii="仿宋" w:hAnsi="仿宋" w:eastAsia="仿宋" w:cs="仿宋"/>
          <w:color w:val="auto"/>
          <w:sz w:val="24"/>
          <w:highlight w:val="none"/>
        </w:rPr>
      </w:pPr>
    </w:p>
    <w:p w14:paraId="25FED2C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778A8071">
      <w:pPr>
        <w:numPr>
          <w:ilvl w:val="0"/>
          <w:numId w:val="7"/>
        </w:numPr>
        <w:spacing w:after="16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残疾人福利性单位视同小型、微型企业，享受预留份额、评审中价格扣除等促进中小企业发展的政府采购政策。残疾人福利性单位属于小型、微型企业的，不重复享受政策。</w:t>
      </w:r>
    </w:p>
    <w:p w14:paraId="671E32B4">
      <w:pPr>
        <w:numPr>
          <w:ilvl w:val="0"/>
          <w:numId w:val="7"/>
        </w:numPr>
        <w:spacing w:after="16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供应商为非残疾人福利性单位的，可不提供此声明。</w:t>
      </w:r>
    </w:p>
    <w:p w14:paraId="516D6849">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p>
    <w:p w14:paraId="6EF1755E">
      <w:pPr>
        <w:ind w:firstLine="643" w:firstLineChars="200"/>
        <w:jc w:val="center"/>
        <w:outlineLvl w:val="2"/>
        <w:rPr>
          <w:rFonts w:ascii="宋体" w:hAnsi="宋体" w:cs="宋体"/>
          <w:b/>
          <w:color w:val="auto"/>
          <w:sz w:val="32"/>
          <w:szCs w:val="32"/>
          <w:highlight w:val="none"/>
        </w:rPr>
      </w:pPr>
      <w:bookmarkStart w:id="26" w:name="_Toc22454"/>
      <w:bookmarkStart w:id="27" w:name="_Toc11461"/>
      <w:r>
        <w:rPr>
          <w:rFonts w:hint="eastAsia" w:ascii="宋体" w:hAnsi="宋体" w:cs="宋体"/>
          <w:b/>
          <w:color w:val="auto"/>
          <w:sz w:val="32"/>
          <w:szCs w:val="32"/>
          <w:highlight w:val="none"/>
          <w:lang w:val="en-US" w:eastAsia="zh-CN"/>
        </w:rPr>
        <w:t>七</w:t>
      </w:r>
      <w:r>
        <w:rPr>
          <w:rFonts w:hint="eastAsia" w:ascii="宋体" w:hAnsi="宋体" w:cs="宋体"/>
          <w:b/>
          <w:color w:val="auto"/>
          <w:sz w:val="32"/>
          <w:szCs w:val="32"/>
          <w:highlight w:val="none"/>
        </w:rPr>
        <w:t>、监狱企业</w:t>
      </w:r>
      <w:bookmarkEnd w:id="26"/>
      <w:r>
        <w:rPr>
          <w:rFonts w:hint="eastAsia" w:ascii="宋体" w:hAnsi="宋体" w:cs="宋体"/>
          <w:b/>
          <w:color w:val="auto"/>
          <w:sz w:val="32"/>
          <w:szCs w:val="32"/>
          <w:highlight w:val="none"/>
        </w:rPr>
        <w:t>（如涉及）</w:t>
      </w:r>
      <w:bookmarkEnd w:id="27"/>
    </w:p>
    <w:p w14:paraId="47C52217">
      <w:pPr>
        <w:spacing w:line="400" w:lineRule="exact"/>
        <w:ind w:firstLine="883"/>
        <w:jc w:val="center"/>
        <w:rPr>
          <w:rFonts w:ascii="宋体" w:hAnsi="宋体" w:cs="宋体"/>
          <w:b/>
          <w:color w:val="auto"/>
          <w:sz w:val="44"/>
          <w:highlight w:val="none"/>
        </w:rPr>
      </w:pPr>
    </w:p>
    <w:p w14:paraId="742ADA48">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根据《政府采购支持监狱企业发展有关问题的通知》（财库〔2014〕68号）的规定监狱企业参加采购活动的，应提供由省级以上监狱管理局、戒毒管理局(含新疆生产建设兵团)出具的属于监狱企业的证明文件。</w:t>
      </w:r>
    </w:p>
    <w:p w14:paraId="2CB425A9">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0FB0945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1、供应商符合《政府采购支持监狱企业发展有关问题的通知》（财库〔2014〕68号）规定的划分标准为监狱企业适用。</w:t>
      </w:r>
    </w:p>
    <w:p w14:paraId="0DBC5DD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2、在政府采购活动中，监狱企业视同小型、微型企业，享受预留份额、评审中价格扣除等政府采购促进中小企业发展的政府采购政策。</w:t>
      </w:r>
    </w:p>
    <w:p w14:paraId="7BAFEE4C">
      <w:pPr>
        <w:pStyle w:val="9"/>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right="0" w:rightChars="0"/>
        <w:jc w:val="right"/>
        <w:textAlignment w:val="auto"/>
        <w:outlineLvl w:val="9"/>
        <w:rPr>
          <w:rFonts w:hint="eastAsia" w:ascii="宋体" w:hAnsi="仿宋_GB2312" w:eastAsia="仿宋_GB2312" w:cs="仿宋_GB2312"/>
          <w:b w:val="0"/>
          <w:i w:val="0"/>
          <w:strike w:val="0"/>
          <w:dstrike w:val="0"/>
          <w:snapToGrid/>
          <w:spacing w:val="0"/>
          <w:w w:val="100"/>
          <w:kern w:val="0"/>
          <w:position w:val="0"/>
          <w:sz w:val="28"/>
          <w:szCs w:val="28"/>
          <w:highlight w:val="none"/>
          <w:u w:val="none"/>
          <w:lang w:val="en-US" w:eastAsia="zh-CN" w:bidi="ar-SA"/>
        </w:rPr>
      </w:pPr>
    </w:p>
    <w:p w14:paraId="4C80DC3E">
      <w:pPr>
        <w:spacing w:line="520" w:lineRule="exact"/>
        <w:ind w:firstLine="420" w:firstLineChars="200"/>
        <w:rPr>
          <w:rFonts w:ascii="Times New Roman" w:hAnsi="Times New Roman" w:cs="Times New Roman"/>
          <w:highlight w:val="none"/>
        </w:rPr>
      </w:pPr>
    </w:p>
    <w:bookmarkEnd w:id="16"/>
    <w:p w14:paraId="0F81149B">
      <w:pPr>
        <w:rPr>
          <w:rFonts w:hint="eastAsia" w:ascii="仿宋" w:hAnsi="仿宋" w:eastAsia="仿宋" w:cs="仿宋"/>
          <w:b/>
          <w:bCs w:val="0"/>
          <w:sz w:val="36"/>
          <w:szCs w:val="32"/>
          <w:highlight w:val="none"/>
          <w:lang w:val="en-US" w:eastAsia="zh-CN"/>
        </w:rPr>
      </w:pPr>
      <w:bookmarkStart w:id="28" w:name="_Toc20234161"/>
      <w:r>
        <w:rPr>
          <w:rFonts w:hint="eastAsia" w:ascii="仿宋" w:hAnsi="仿宋" w:eastAsia="仿宋" w:cs="仿宋"/>
          <w:b/>
          <w:bCs w:val="0"/>
          <w:sz w:val="36"/>
          <w:szCs w:val="32"/>
          <w:highlight w:val="none"/>
          <w:lang w:val="en-US" w:eastAsia="zh-CN"/>
        </w:rPr>
        <w:br w:type="page"/>
      </w:r>
    </w:p>
    <w:p w14:paraId="58D4CFEA">
      <w:pPr>
        <w:widowControl/>
        <w:numPr>
          <w:ilvl w:val="0"/>
          <w:numId w:val="0"/>
        </w:numPr>
        <w:spacing w:line="520" w:lineRule="exact"/>
        <w:jc w:val="center"/>
        <w:outlineLvl w:val="0"/>
        <w:rPr>
          <w:rFonts w:hint="default" w:ascii="仿宋" w:hAnsi="仿宋" w:eastAsia="仿宋" w:cs="仿宋"/>
          <w:b/>
          <w:bCs w:val="0"/>
          <w:sz w:val="36"/>
          <w:szCs w:val="32"/>
          <w:highlight w:val="none"/>
          <w:lang w:val="en-US" w:eastAsia="zh-CN"/>
        </w:rPr>
      </w:pPr>
      <w:bookmarkStart w:id="29" w:name="_Toc12982"/>
      <w:r>
        <w:rPr>
          <w:rFonts w:hint="eastAsia" w:ascii="仿宋" w:hAnsi="仿宋" w:eastAsia="仿宋" w:cs="仿宋"/>
          <w:b/>
          <w:bCs w:val="0"/>
          <w:sz w:val="36"/>
          <w:szCs w:val="32"/>
          <w:highlight w:val="none"/>
          <w:lang w:val="en-US" w:eastAsia="zh-CN"/>
        </w:rPr>
        <w:t xml:space="preserve">第四章 </w:t>
      </w:r>
      <w:bookmarkEnd w:id="28"/>
      <w:r>
        <w:rPr>
          <w:rFonts w:hint="eastAsia" w:ascii="仿宋" w:hAnsi="仿宋" w:eastAsia="仿宋" w:cs="仿宋"/>
          <w:b/>
          <w:bCs w:val="0"/>
          <w:sz w:val="36"/>
          <w:szCs w:val="32"/>
          <w:highlight w:val="none"/>
          <w:lang w:val="en-US" w:eastAsia="zh-CN"/>
        </w:rPr>
        <w:t>资格审查</w:t>
      </w:r>
      <w:bookmarkEnd w:id="29"/>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513"/>
        <w:gridCol w:w="5824"/>
      </w:tblGrid>
      <w:tr w14:paraId="1AE7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blHeader/>
        </w:trPr>
        <w:tc>
          <w:tcPr>
            <w:tcW w:w="456" w:type="pct"/>
            <w:vAlign w:val="center"/>
          </w:tcPr>
          <w:p w14:paraId="7B28AD7E">
            <w:pPr>
              <w:adjustRightInd w:val="0"/>
              <w:spacing w:line="300" w:lineRule="auto"/>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序号</w:t>
            </w:r>
          </w:p>
        </w:tc>
        <w:tc>
          <w:tcPr>
            <w:tcW w:w="1369" w:type="pct"/>
            <w:vAlign w:val="center"/>
          </w:tcPr>
          <w:p w14:paraId="3AF4263F">
            <w:pPr>
              <w:adjustRightInd w:val="0"/>
              <w:spacing w:line="300" w:lineRule="auto"/>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本项目的资格要求</w:t>
            </w:r>
          </w:p>
        </w:tc>
        <w:tc>
          <w:tcPr>
            <w:tcW w:w="3173" w:type="pct"/>
            <w:vAlign w:val="center"/>
          </w:tcPr>
          <w:p w14:paraId="39509184">
            <w:pPr>
              <w:adjustRightInd w:val="0"/>
              <w:spacing w:line="300" w:lineRule="auto"/>
              <w:jc w:val="center"/>
              <w:rPr>
                <w:rFonts w:hint="default"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通过条件</w:t>
            </w:r>
          </w:p>
        </w:tc>
      </w:tr>
      <w:tr w14:paraId="3F62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5" w:hRule="atLeast"/>
        </w:trPr>
        <w:tc>
          <w:tcPr>
            <w:tcW w:w="456" w:type="pct"/>
            <w:vAlign w:val="center"/>
          </w:tcPr>
          <w:p w14:paraId="31B707BC">
            <w:pPr>
              <w:spacing w:line="360" w:lineRule="auto"/>
              <w:jc w:val="center"/>
              <w:rPr>
                <w:rFonts w:ascii="Times New Roman" w:hAnsi="Times New Roman" w:eastAsia="仿宋" w:cs="Times New Roman"/>
                <w:bCs/>
                <w:sz w:val="24"/>
                <w:szCs w:val="24"/>
                <w:highlight w:val="none"/>
              </w:rPr>
            </w:pPr>
            <w:r>
              <w:rPr>
                <w:rFonts w:ascii="仿宋" w:hAnsi="仿宋" w:eastAsia="仿宋"/>
                <w:b/>
                <w:color w:val="000000" w:themeColor="text1"/>
                <w:sz w:val="22"/>
                <w:szCs w:val="22"/>
                <w:highlight w:val="none"/>
                <w14:textFill>
                  <w14:solidFill>
                    <w14:schemeClr w14:val="tx1"/>
                  </w14:solidFill>
                </w14:textFill>
              </w:rPr>
              <w:t>1</w:t>
            </w:r>
          </w:p>
        </w:tc>
        <w:tc>
          <w:tcPr>
            <w:tcW w:w="1369" w:type="pct"/>
            <w:vAlign w:val="center"/>
          </w:tcPr>
          <w:p w14:paraId="5031A29D">
            <w:pPr>
              <w:spacing w:line="360" w:lineRule="auto"/>
              <w:jc w:val="center"/>
              <w:rPr>
                <w:rFonts w:ascii="Times New Roman" w:hAnsi="Times New Roman" w:eastAsia="仿宋" w:cs="Times New Roman"/>
                <w:bCs/>
                <w:sz w:val="24"/>
                <w:szCs w:val="24"/>
                <w:highlight w:val="none"/>
              </w:rPr>
            </w:pPr>
            <w:r>
              <w:rPr>
                <w:rFonts w:ascii="等线" w:hAnsi="等线" w:eastAsia="仿宋"/>
                <w:b/>
                <w:color w:val="000000" w:themeColor="text1"/>
                <w:sz w:val="22"/>
                <w:szCs w:val="22"/>
                <w:highlight w:val="none"/>
                <w14:textFill>
                  <w14:solidFill>
                    <w14:schemeClr w14:val="tx1"/>
                  </w14:solidFill>
                </w14:textFill>
              </w:rPr>
              <w:t>具有独立承担民事责任的能力</w:t>
            </w:r>
          </w:p>
        </w:tc>
        <w:tc>
          <w:tcPr>
            <w:tcW w:w="3173" w:type="pct"/>
            <w:vAlign w:val="center"/>
          </w:tcPr>
          <w:p w14:paraId="35C6FD29">
            <w:pPr>
              <w:adjustRightInd w:val="0"/>
              <w:spacing w:line="500" w:lineRule="exact"/>
              <w:jc w:val="left"/>
              <w:rPr>
                <w:rFonts w:hint="eastAsia" w:ascii="仿宋" w:hAnsi="仿宋" w:eastAsia="仿宋"/>
                <w:bCs/>
                <w:sz w:val="24"/>
                <w:highlight w:val="none"/>
                <w:lang w:val="en-US" w:eastAsia="zh-CN"/>
              </w:rPr>
            </w:pPr>
            <w:r>
              <w:rPr>
                <w:rFonts w:hint="eastAsia" w:ascii="仿宋" w:hAnsi="仿宋" w:eastAsia="仿宋"/>
                <w:bCs/>
                <w:sz w:val="24"/>
                <w:highlight w:val="none"/>
                <w:lang w:val="en-US" w:eastAsia="zh-CN"/>
              </w:rPr>
              <w:t>（1）供应商若为企业法人：提供“统一社会信用代码营业执照”；未换证的提供“营业执照、税务登记证、组织机构代码证或三证合一的营业执照”；</w:t>
            </w:r>
          </w:p>
          <w:p w14:paraId="6A84D3C8">
            <w:pPr>
              <w:adjustRightInd w:val="0"/>
              <w:spacing w:line="500" w:lineRule="exact"/>
              <w:jc w:val="left"/>
              <w:rPr>
                <w:rFonts w:hint="eastAsia" w:ascii="仿宋" w:hAnsi="仿宋" w:eastAsia="仿宋"/>
                <w:bCs/>
                <w:sz w:val="24"/>
                <w:highlight w:val="none"/>
                <w:lang w:val="en-US" w:eastAsia="zh-CN"/>
              </w:rPr>
            </w:pPr>
            <w:r>
              <w:rPr>
                <w:rFonts w:hint="eastAsia" w:ascii="仿宋" w:hAnsi="仿宋" w:eastAsia="仿宋"/>
                <w:bCs/>
                <w:sz w:val="24"/>
                <w:highlight w:val="none"/>
                <w:lang w:val="en-US" w:eastAsia="zh-CN"/>
              </w:rPr>
              <w:t>（2）若为事业法人：提供“统一社会信用代码法人登记证书”；未换证的提交“事业法人登记证书、组织机构代码证”；</w:t>
            </w:r>
          </w:p>
          <w:p w14:paraId="2BBA796A">
            <w:pPr>
              <w:adjustRightInd w:val="0"/>
              <w:spacing w:line="500" w:lineRule="exact"/>
              <w:jc w:val="left"/>
              <w:rPr>
                <w:rFonts w:hint="eastAsia" w:ascii="仿宋" w:hAnsi="仿宋" w:eastAsia="仿宋"/>
                <w:bCs/>
                <w:sz w:val="24"/>
                <w:highlight w:val="none"/>
                <w:lang w:val="en-US" w:eastAsia="zh-CN"/>
              </w:rPr>
            </w:pPr>
            <w:r>
              <w:rPr>
                <w:rFonts w:hint="eastAsia" w:ascii="仿宋" w:hAnsi="仿宋" w:eastAsia="仿宋"/>
                <w:bCs/>
                <w:sz w:val="24"/>
                <w:highlight w:val="none"/>
                <w:lang w:val="en-US" w:eastAsia="zh-CN"/>
              </w:rPr>
              <w:t>（3）若为其他组织：提供“对应主管部门颁发的准许执业证明文件或营业执照”；</w:t>
            </w:r>
          </w:p>
          <w:p w14:paraId="1BA6BBA2">
            <w:pPr>
              <w:adjustRightInd w:val="0"/>
              <w:spacing w:line="500" w:lineRule="exact"/>
              <w:jc w:val="left"/>
              <w:rPr>
                <w:rFonts w:hint="eastAsia" w:eastAsia="仿宋"/>
                <w:highlight w:val="none"/>
                <w:lang w:val="en-US" w:eastAsia="zh-CN"/>
              </w:rPr>
            </w:pPr>
            <w:r>
              <w:rPr>
                <w:rFonts w:hint="eastAsia" w:ascii="仿宋" w:hAnsi="仿宋" w:eastAsia="仿宋"/>
                <w:bCs/>
                <w:sz w:val="24"/>
                <w:highlight w:val="none"/>
                <w:lang w:val="en-US" w:eastAsia="zh-CN"/>
              </w:rPr>
              <w:t>（4）若为自然人：提供“身份证明材料”</w:t>
            </w:r>
          </w:p>
        </w:tc>
      </w:tr>
      <w:tr w14:paraId="5A62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5" w:hRule="atLeast"/>
        </w:trPr>
        <w:tc>
          <w:tcPr>
            <w:tcW w:w="456" w:type="pct"/>
            <w:vAlign w:val="center"/>
          </w:tcPr>
          <w:p w14:paraId="5FA0D603">
            <w:pPr>
              <w:spacing w:line="360" w:lineRule="auto"/>
              <w:jc w:val="center"/>
              <w:rPr>
                <w:rFonts w:ascii="仿宋" w:hAnsi="仿宋" w:eastAsia="仿宋"/>
                <w:b/>
                <w:color w:val="000000" w:themeColor="text1"/>
                <w:sz w:val="22"/>
                <w:szCs w:val="22"/>
                <w:highlight w:val="none"/>
                <w14:textFill>
                  <w14:solidFill>
                    <w14:schemeClr w14:val="tx1"/>
                  </w14:solidFill>
                </w14:textFill>
              </w:rPr>
            </w:pPr>
            <w:r>
              <w:rPr>
                <w:rFonts w:ascii="仿宋" w:hAnsi="仿宋" w:eastAsia="仿宋"/>
                <w:b/>
                <w:color w:val="000000" w:themeColor="text1"/>
                <w:sz w:val="22"/>
                <w:szCs w:val="22"/>
                <w:highlight w:val="none"/>
                <w14:textFill>
                  <w14:solidFill>
                    <w14:schemeClr w14:val="tx1"/>
                  </w14:solidFill>
                </w14:textFill>
              </w:rPr>
              <w:t>2</w:t>
            </w:r>
          </w:p>
        </w:tc>
        <w:tc>
          <w:tcPr>
            <w:tcW w:w="1369" w:type="pct"/>
            <w:vAlign w:val="center"/>
          </w:tcPr>
          <w:p w14:paraId="64E2A756">
            <w:pPr>
              <w:spacing w:line="360" w:lineRule="auto"/>
              <w:jc w:val="center"/>
              <w:rPr>
                <w:rFonts w:ascii="仿宋" w:hAnsi="仿宋" w:eastAsia="仿宋"/>
                <w:b/>
                <w:color w:val="000000" w:themeColor="text1"/>
                <w:sz w:val="22"/>
                <w:szCs w:val="22"/>
                <w:highlight w:val="none"/>
                <w14:textFill>
                  <w14:solidFill>
                    <w14:schemeClr w14:val="tx1"/>
                  </w14:solidFill>
                </w14:textFill>
              </w:rPr>
            </w:pPr>
            <w:r>
              <w:rPr>
                <w:rFonts w:ascii="仿宋" w:hAnsi="仿宋" w:eastAsia="仿宋"/>
                <w:b/>
                <w:color w:val="000000" w:themeColor="text1"/>
                <w:sz w:val="22"/>
                <w:szCs w:val="22"/>
                <w:highlight w:val="none"/>
                <w14:textFill>
                  <w14:solidFill>
                    <w14:schemeClr w14:val="tx1"/>
                  </w14:solidFill>
                </w14:textFill>
              </w:rPr>
              <w:t>具有健全的财务会计制度</w:t>
            </w:r>
          </w:p>
        </w:tc>
        <w:tc>
          <w:tcPr>
            <w:tcW w:w="3173" w:type="pct"/>
            <w:vAlign w:val="center"/>
          </w:tcPr>
          <w:p w14:paraId="76E62B3B">
            <w:pPr>
              <w:adjustRightInd w:val="0"/>
              <w:spacing w:line="500" w:lineRule="exact"/>
              <w:jc w:val="left"/>
              <w:rPr>
                <w:rFonts w:hint="default" w:ascii="仿宋" w:hAnsi="仿宋" w:eastAsia="仿宋"/>
                <w:bCs/>
                <w:sz w:val="24"/>
                <w:szCs w:val="24"/>
                <w:highlight w:val="none"/>
                <w:lang w:val="en-US" w:eastAsia="zh-CN"/>
              </w:rPr>
            </w:pPr>
            <w:r>
              <w:rPr>
                <w:rFonts w:hint="eastAsia" w:ascii="仿宋" w:hAnsi="仿宋" w:eastAsia="仿宋"/>
                <w:bCs/>
                <w:sz w:val="24"/>
                <w:szCs w:val="24"/>
                <w:highlight w:val="none"/>
                <w:lang w:val="en-US" w:eastAsia="zh-CN"/>
              </w:rPr>
              <w:t>供应商根据自身情况选择提供其中任意一项：</w:t>
            </w:r>
          </w:p>
          <w:p w14:paraId="6C1EDFEB">
            <w:pPr>
              <w:adjustRightInd w:val="0"/>
              <w:spacing w:line="500" w:lineRule="exact"/>
              <w:jc w:val="left"/>
              <w:rPr>
                <w:rFonts w:hint="eastAsia" w:ascii="仿宋" w:hAnsi="仿宋" w:eastAsia="仿宋" w:cs="Times New Roman"/>
                <w:bCs/>
                <w:sz w:val="24"/>
                <w:highlight w:val="none"/>
                <w:lang w:val="en-US" w:eastAsia="zh-CN"/>
              </w:rPr>
            </w:pPr>
            <w:r>
              <w:rPr>
                <w:rFonts w:hint="eastAsia" w:ascii="仿宋" w:hAnsi="仿宋" w:eastAsia="仿宋" w:cs="Times New Roman"/>
                <w:bCs/>
                <w:sz w:val="24"/>
                <w:highlight w:val="none"/>
                <w:lang w:val="en-US" w:eastAsia="zh-CN"/>
              </w:rPr>
              <w:t>（1）可提供2022</w:t>
            </w:r>
            <w:r>
              <w:rPr>
                <w:rFonts w:hint="eastAsia" w:ascii="仿宋" w:hAnsi="仿宋" w:eastAsia="仿宋" w:cs="Times New Roman"/>
                <w:bCs/>
                <w:sz w:val="24"/>
                <w:szCs w:val="24"/>
                <w:highlight w:val="none"/>
                <w:lang w:val="en-US" w:eastAsia="zh-CN"/>
              </w:rPr>
              <w:t>或2023</w:t>
            </w:r>
            <w:r>
              <w:rPr>
                <w:rFonts w:hint="eastAsia" w:ascii="仿宋" w:hAnsi="仿宋" w:eastAsia="仿宋" w:cs="Times New Roman"/>
                <w:bCs/>
                <w:sz w:val="24"/>
                <w:highlight w:val="none"/>
                <w:lang w:val="en-US" w:eastAsia="zh-CN"/>
              </w:rPr>
              <w:t>年度经审计的财务报告复印件（包含审计报告和审计报告中所涉及的财务报表和报表附注）；</w:t>
            </w:r>
          </w:p>
          <w:p w14:paraId="3F23DA5A">
            <w:pPr>
              <w:adjustRightInd w:val="0"/>
              <w:spacing w:line="500" w:lineRule="exact"/>
              <w:jc w:val="left"/>
              <w:rPr>
                <w:rFonts w:hint="eastAsia" w:ascii="仿宋" w:hAnsi="仿宋" w:eastAsia="仿宋" w:cs="Times New Roman"/>
                <w:bCs/>
                <w:sz w:val="24"/>
                <w:highlight w:val="none"/>
                <w:lang w:val="en-US" w:eastAsia="zh-CN"/>
              </w:rPr>
            </w:pPr>
            <w:r>
              <w:rPr>
                <w:rFonts w:hint="eastAsia" w:ascii="仿宋" w:hAnsi="仿宋" w:eastAsia="仿宋" w:cs="Times New Roman"/>
                <w:bCs/>
                <w:sz w:val="24"/>
                <w:highlight w:val="none"/>
                <w:lang w:val="en-US" w:eastAsia="zh-CN"/>
              </w:rPr>
              <w:t>（2）也可提供截至提交投标文件截止日一年内银行出具的资信证明（复印件）；</w:t>
            </w:r>
          </w:p>
          <w:p w14:paraId="17C578D0">
            <w:pPr>
              <w:adjustRightInd w:val="0"/>
              <w:spacing w:line="500" w:lineRule="exact"/>
              <w:jc w:val="left"/>
              <w:rPr>
                <w:rFonts w:hint="eastAsia" w:ascii="仿宋" w:hAnsi="仿宋" w:eastAsia="仿宋" w:cs="Times New Roman"/>
                <w:bCs/>
                <w:sz w:val="24"/>
                <w:highlight w:val="none"/>
                <w:lang w:val="en-US" w:eastAsia="zh-CN"/>
              </w:rPr>
            </w:pPr>
            <w:r>
              <w:rPr>
                <w:rFonts w:hint="eastAsia" w:ascii="仿宋" w:hAnsi="仿宋" w:eastAsia="仿宋" w:cs="Times New Roman"/>
                <w:bCs/>
                <w:sz w:val="24"/>
                <w:highlight w:val="none"/>
                <w:lang w:val="en-US" w:eastAsia="zh-CN"/>
              </w:rPr>
              <w:t>（3）供应商注册时间截至提交投标文件截止日不足一年的，也可提供工商管理部门备案的公司章程（复印件）；</w:t>
            </w:r>
          </w:p>
          <w:p w14:paraId="5C608626">
            <w:pPr>
              <w:adjustRightInd w:val="0"/>
              <w:spacing w:line="500" w:lineRule="exact"/>
              <w:jc w:val="left"/>
              <w:rPr>
                <w:rFonts w:hint="eastAsia" w:eastAsiaTheme="minorEastAsia"/>
                <w:highlight w:val="none"/>
                <w:lang w:eastAsia="zh-CN"/>
              </w:rPr>
            </w:pPr>
            <w:r>
              <w:rPr>
                <w:rFonts w:hint="eastAsia" w:ascii="仿宋" w:hAnsi="仿宋" w:eastAsia="仿宋"/>
                <w:bCs/>
                <w:sz w:val="24"/>
                <w:szCs w:val="24"/>
                <w:highlight w:val="none"/>
                <w:lang w:val="en-US" w:eastAsia="zh-CN"/>
              </w:rPr>
              <w:t>（4）供应商也可提供承诺函</w:t>
            </w:r>
          </w:p>
        </w:tc>
      </w:tr>
      <w:tr w14:paraId="6BBB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vAlign w:val="center"/>
          </w:tcPr>
          <w:p w14:paraId="29E2FBED">
            <w:pPr>
              <w:spacing w:line="360" w:lineRule="auto"/>
              <w:jc w:val="center"/>
              <w:rPr>
                <w:rFonts w:ascii="仿宋" w:hAnsi="仿宋" w:eastAsia="仿宋"/>
                <w:b/>
                <w:color w:val="000000" w:themeColor="text1"/>
                <w:sz w:val="22"/>
                <w:szCs w:val="22"/>
                <w:highlight w:val="none"/>
                <w14:textFill>
                  <w14:solidFill>
                    <w14:schemeClr w14:val="tx1"/>
                  </w14:solidFill>
                </w14:textFill>
              </w:rPr>
            </w:pPr>
            <w:r>
              <w:rPr>
                <w:rFonts w:ascii="仿宋" w:hAnsi="仿宋" w:eastAsia="仿宋"/>
                <w:b/>
                <w:color w:val="000000" w:themeColor="text1"/>
                <w:sz w:val="22"/>
                <w:szCs w:val="22"/>
                <w:highlight w:val="none"/>
                <w14:textFill>
                  <w14:solidFill>
                    <w14:schemeClr w14:val="tx1"/>
                  </w14:solidFill>
                </w14:textFill>
              </w:rPr>
              <w:t>3</w:t>
            </w:r>
          </w:p>
        </w:tc>
        <w:tc>
          <w:tcPr>
            <w:tcW w:w="1369" w:type="pct"/>
            <w:vAlign w:val="center"/>
          </w:tcPr>
          <w:p w14:paraId="40636A04">
            <w:pPr>
              <w:spacing w:line="360" w:lineRule="auto"/>
              <w:jc w:val="center"/>
              <w:rPr>
                <w:rFonts w:ascii="仿宋" w:hAnsi="仿宋" w:eastAsia="仿宋"/>
                <w:b/>
                <w:color w:val="000000" w:themeColor="text1"/>
                <w:sz w:val="22"/>
                <w:szCs w:val="22"/>
                <w:highlight w:val="none"/>
                <w14:textFill>
                  <w14:solidFill>
                    <w14:schemeClr w14:val="tx1"/>
                  </w14:solidFill>
                </w14:textFill>
              </w:rPr>
            </w:pPr>
            <w:r>
              <w:rPr>
                <w:rFonts w:ascii="仿宋" w:hAnsi="仿宋" w:eastAsia="仿宋"/>
                <w:b/>
                <w:color w:val="000000" w:themeColor="text1"/>
                <w:sz w:val="22"/>
                <w:szCs w:val="22"/>
                <w:highlight w:val="none"/>
                <w14:textFill>
                  <w14:solidFill>
                    <w14:schemeClr w14:val="tx1"/>
                  </w14:solidFill>
                </w14:textFill>
              </w:rPr>
              <w:t>具有良好的商业信誉和履行合同所必需的设备和专业技术能力</w:t>
            </w:r>
          </w:p>
        </w:tc>
        <w:tc>
          <w:tcPr>
            <w:tcW w:w="3173" w:type="pct"/>
            <w:vMerge w:val="restart"/>
            <w:vAlign w:val="center"/>
          </w:tcPr>
          <w:p w14:paraId="262D2A64">
            <w:pPr>
              <w:adjustRightInd w:val="0"/>
              <w:spacing w:line="300" w:lineRule="auto"/>
              <w:jc w:val="center"/>
              <w:rPr>
                <w:rFonts w:ascii="Times New Roman" w:hAnsi="Times New Roman" w:eastAsia="仿宋" w:cs="Times New Roman"/>
                <w:b w:val="0"/>
                <w:bCs/>
                <w:sz w:val="24"/>
                <w:szCs w:val="24"/>
                <w:highlight w:val="none"/>
              </w:rPr>
            </w:pPr>
            <w:r>
              <w:rPr>
                <w:rFonts w:hint="eastAsia" w:ascii="Times New Roman" w:hAnsi="Times New Roman" w:eastAsia="仿宋" w:cs="Times New Roman"/>
                <w:b w:val="0"/>
                <w:bCs/>
                <w:sz w:val="24"/>
                <w:szCs w:val="24"/>
                <w:highlight w:val="none"/>
                <w:lang w:val="en-US" w:eastAsia="zh-CN"/>
              </w:rPr>
              <w:t>统一</w:t>
            </w:r>
            <w:r>
              <w:rPr>
                <w:rFonts w:ascii="Times New Roman" w:hAnsi="Times New Roman" w:eastAsia="仿宋" w:cs="Times New Roman"/>
                <w:b w:val="0"/>
                <w:bCs/>
                <w:sz w:val="24"/>
                <w:szCs w:val="24"/>
                <w:highlight w:val="none"/>
              </w:rPr>
              <w:t>提供承诺函</w:t>
            </w:r>
          </w:p>
          <w:p w14:paraId="472ADA84">
            <w:pPr>
              <w:adjustRightInd w:val="0"/>
              <w:spacing w:line="300" w:lineRule="auto"/>
              <w:jc w:val="center"/>
              <w:rPr>
                <w:rFonts w:hint="eastAsia" w:ascii="Times New Roman" w:hAnsi="Times New Roman" w:eastAsia="仿宋" w:cs="Times New Roman"/>
                <w:bCs/>
                <w:sz w:val="24"/>
                <w:szCs w:val="24"/>
                <w:highlight w:val="none"/>
                <w:lang w:eastAsia="zh-CN"/>
              </w:rPr>
            </w:pPr>
          </w:p>
          <w:p w14:paraId="2BE00164">
            <w:pPr>
              <w:adjustRightInd w:val="0"/>
              <w:spacing w:line="300" w:lineRule="auto"/>
              <w:jc w:val="both"/>
              <w:rPr>
                <w:rFonts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lang w:eastAsia="zh-CN"/>
              </w:rPr>
              <w:t>（</w:t>
            </w:r>
            <w:r>
              <w:rPr>
                <w:rFonts w:hint="eastAsia" w:ascii="Times New Roman" w:hAnsi="Times New Roman" w:eastAsia="仿宋" w:cs="Times New Roman"/>
                <w:bCs/>
                <w:sz w:val="24"/>
                <w:szCs w:val="24"/>
                <w:highlight w:val="none"/>
                <w:lang w:val="en-US" w:eastAsia="zh-CN"/>
              </w:rPr>
              <w:t>格式详见第三章“资格性投标文件”中“承诺函”</w:t>
            </w:r>
            <w:r>
              <w:rPr>
                <w:rFonts w:hint="eastAsia" w:ascii="Times New Roman" w:hAnsi="Times New Roman" w:eastAsia="仿宋" w:cs="Times New Roman"/>
                <w:bCs/>
                <w:sz w:val="24"/>
                <w:szCs w:val="24"/>
                <w:highlight w:val="none"/>
                <w:lang w:eastAsia="zh-CN"/>
              </w:rPr>
              <w:t>）</w:t>
            </w:r>
          </w:p>
        </w:tc>
      </w:tr>
      <w:tr w14:paraId="40C6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vAlign w:val="center"/>
          </w:tcPr>
          <w:p w14:paraId="2FCB4310">
            <w:pPr>
              <w:spacing w:line="360" w:lineRule="auto"/>
              <w:jc w:val="center"/>
              <w:rPr>
                <w:rFonts w:ascii="仿宋" w:hAnsi="仿宋" w:eastAsia="仿宋"/>
                <w:b/>
                <w:color w:val="000000" w:themeColor="text1"/>
                <w:sz w:val="22"/>
                <w:szCs w:val="22"/>
                <w:highlight w:val="none"/>
                <w14:textFill>
                  <w14:solidFill>
                    <w14:schemeClr w14:val="tx1"/>
                  </w14:solidFill>
                </w14:textFill>
              </w:rPr>
            </w:pPr>
            <w:r>
              <w:rPr>
                <w:rFonts w:ascii="仿宋" w:hAnsi="仿宋" w:eastAsia="仿宋"/>
                <w:b/>
                <w:color w:val="000000" w:themeColor="text1"/>
                <w:sz w:val="22"/>
                <w:szCs w:val="22"/>
                <w:highlight w:val="none"/>
                <w14:textFill>
                  <w14:solidFill>
                    <w14:schemeClr w14:val="tx1"/>
                  </w14:solidFill>
                </w14:textFill>
              </w:rPr>
              <w:t>4</w:t>
            </w:r>
          </w:p>
        </w:tc>
        <w:tc>
          <w:tcPr>
            <w:tcW w:w="1369" w:type="pct"/>
            <w:vAlign w:val="center"/>
          </w:tcPr>
          <w:p w14:paraId="76D3F6C2">
            <w:pPr>
              <w:spacing w:line="360" w:lineRule="auto"/>
              <w:jc w:val="center"/>
              <w:rPr>
                <w:rFonts w:ascii="仿宋" w:hAnsi="仿宋" w:eastAsia="仿宋"/>
                <w:b/>
                <w:color w:val="000000" w:themeColor="text1"/>
                <w:sz w:val="22"/>
                <w:szCs w:val="22"/>
                <w:highlight w:val="none"/>
                <w14:textFill>
                  <w14:solidFill>
                    <w14:schemeClr w14:val="tx1"/>
                  </w14:solidFill>
                </w14:textFill>
              </w:rPr>
            </w:pPr>
            <w:r>
              <w:rPr>
                <w:rFonts w:ascii="仿宋" w:hAnsi="仿宋" w:eastAsia="仿宋"/>
                <w:b/>
                <w:color w:val="000000" w:themeColor="text1"/>
                <w:sz w:val="22"/>
                <w:szCs w:val="22"/>
                <w:highlight w:val="none"/>
                <w14:textFill>
                  <w14:solidFill>
                    <w14:schemeClr w14:val="tx1"/>
                  </w14:solidFill>
                </w14:textFill>
              </w:rPr>
              <w:t>有依法缴纳税收和社会保障资金的良好记录</w:t>
            </w:r>
          </w:p>
        </w:tc>
        <w:tc>
          <w:tcPr>
            <w:tcW w:w="3173" w:type="pct"/>
            <w:vMerge w:val="continue"/>
            <w:vAlign w:val="center"/>
          </w:tcPr>
          <w:p w14:paraId="31317FEE">
            <w:pPr>
              <w:adjustRightInd w:val="0"/>
              <w:spacing w:line="300" w:lineRule="auto"/>
              <w:rPr>
                <w:rFonts w:ascii="Times New Roman" w:hAnsi="Times New Roman" w:eastAsia="仿宋" w:cs="Times New Roman"/>
                <w:bCs/>
                <w:sz w:val="24"/>
                <w:szCs w:val="24"/>
                <w:highlight w:val="none"/>
              </w:rPr>
            </w:pPr>
          </w:p>
        </w:tc>
      </w:tr>
      <w:tr w14:paraId="20B5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vAlign w:val="center"/>
          </w:tcPr>
          <w:p w14:paraId="03C46847">
            <w:pPr>
              <w:spacing w:line="360" w:lineRule="auto"/>
              <w:jc w:val="center"/>
              <w:rPr>
                <w:rFonts w:ascii="仿宋" w:hAnsi="仿宋" w:eastAsia="仿宋"/>
                <w:b/>
                <w:color w:val="000000" w:themeColor="text1"/>
                <w:sz w:val="22"/>
                <w:szCs w:val="22"/>
                <w:highlight w:val="none"/>
                <w14:textFill>
                  <w14:solidFill>
                    <w14:schemeClr w14:val="tx1"/>
                  </w14:solidFill>
                </w14:textFill>
              </w:rPr>
            </w:pPr>
            <w:r>
              <w:rPr>
                <w:rFonts w:ascii="仿宋" w:hAnsi="仿宋" w:eastAsia="仿宋"/>
                <w:b/>
                <w:color w:val="000000" w:themeColor="text1"/>
                <w:sz w:val="22"/>
                <w:szCs w:val="22"/>
                <w:highlight w:val="none"/>
                <w14:textFill>
                  <w14:solidFill>
                    <w14:schemeClr w14:val="tx1"/>
                  </w14:solidFill>
                </w14:textFill>
              </w:rPr>
              <w:t>5</w:t>
            </w:r>
          </w:p>
        </w:tc>
        <w:tc>
          <w:tcPr>
            <w:tcW w:w="1369" w:type="pct"/>
            <w:vAlign w:val="center"/>
          </w:tcPr>
          <w:p w14:paraId="1297F7C1">
            <w:pPr>
              <w:spacing w:line="360" w:lineRule="auto"/>
              <w:jc w:val="center"/>
              <w:rPr>
                <w:rFonts w:ascii="仿宋" w:hAnsi="仿宋" w:eastAsia="仿宋"/>
                <w:b/>
                <w:color w:val="000000" w:themeColor="text1"/>
                <w:sz w:val="22"/>
                <w:szCs w:val="22"/>
                <w:highlight w:val="none"/>
                <w14:textFill>
                  <w14:solidFill>
                    <w14:schemeClr w14:val="tx1"/>
                  </w14:solidFill>
                </w14:textFill>
              </w:rPr>
            </w:pPr>
            <w:r>
              <w:rPr>
                <w:rFonts w:hint="eastAsia" w:ascii="仿宋" w:hAnsi="仿宋" w:eastAsia="仿宋"/>
                <w:b/>
                <w:color w:val="000000" w:themeColor="text1"/>
                <w:sz w:val="22"/>
                <w:szCs w:val="22"/>
                <w:highlight w:val="none"/>
                <w14:textFill>
                  <w14:solidFill>
                    <w14:schemeClr w14:val="tx1"/>
                  </w14:solidFill>
                </w14:textFill>
              </w:rPr>
              <w:t>参加本次采购活动前三年内，在经营活动中没有重大违法记录</w:t>
            </w:r>
          </w:p>
        </w:tc>
        <w:tc>
          <w:tcPr>
            <w:tcW w:w="3173" w:type="pct"/>
            <w:vMerge w:val="continue"/>
            <w:vAlign w:val="center"/>
          </w:tcPr>
          <w:p w14:paraId="0B2A2871">
            <w:pPr>
              <w:adjustRightInd w:val="0"/>
              <w:spacing w:line="300" w:lineRule="auto"/>
              <w:rPr>
                <w:rFonts w:ascii="Times New Roman" w:hAnsi="Times New Roman" w:eastAsia="仿宋" w:cs="Times New Roman"/>
                <w:bCs/>
                <w:sz w:val="24"/>
                <w:szCs w:val="24"/>
                <w:highlight w:val="none"/>
              </w:rPr>
            </w:pPr>
          </w:p>
        </w:tc>
      </w:tr>
      <w:tr w14:paraId="0580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vAlign w:val="center"/>
          </w:tcPr>
          <w:p w14:paraId="673BE2D5">
            <w:pPr>
              <w:spacing w:line="360" w:lineRule="auto"/>
              <w:jc w:val="center"/>
              <w:rPr>
                <w:rFonts w:ascii="仿宋" w:hAnsi="仿宋" w:eastAsia="仿宋"/>
                <w:b/>
                <w:color w:val="000000" w:themeColor="text1"/>
                <w:sz w:val="22"/>
                <w:szCs w:val="22"/>
                <w:highlight w:val="none"/>
                <w14:textFill>
                  <w14:solidFill>
                    <w14:schemeClr w14:val="tx1"/>
                  </w14:solidFill>
                </w14:textFill>
              </w:rPr>
            </w:pPr>
            <w:r>
              <w:rPr>
                <w:rFonts w:ascii="仿宋" w:hAnsi="仿宋" w:eastAsia="仿宋"/>
                <w:b/>
                <w:color w:val="000000" w:themeColor="text1"/>
                <w:sz w:val="22"/>
                <w:szCs w:val="22"/>
                <w:highlight w:val="none"/>
                <w14:textFill>
                  <w14:solidFill>
                    <w14:schemeClr w14:val="tx1"/>
                  </w14:solidFill>
                </w14:textFill>
              </w:rPr>
              <w:t>6</w:t>
            </w:r>
          </w:p>
        </w:tc>
        <w:tc>
          <w:tcPr>
            <w:tcW w:w="1369" w:type="pct"/>
            <w:vAlign w:val="center"/>
          </w:tcPr>
          <w:p w14:paraId="6ABD28DB">
            <w:pPr>
              <w:spacing w:line="360" w:lineRule="auto"/>
              <w:jc w:val="center"/>
              <w:rPr>
                <w:rFonts w:ascii="仿宋" w:hAnsi="仿宋" w:eastAsia="仿宋"/>
                <w:b/>
                <w:color w:val="000000" w:themeColor="text1"/>
                <w:sz w:val="22"/>
                <w:szCs w:val="22"/>
                <w:highlight w:val="none"/>
                <w14:textFill>
                  <w14:solidFill>
                    <w14:schemeClr w14:val="tx1"/>
                  </w14:solidFill>
                </w14:textFill>
              </w:rPr>
            </w:pPr>
            <w:r>
              <w:rPr>
                <w:rFonts w:ascii="仿宋" w:hAnsi="仿宋" w:eastAsia="仿宋"/>
                <w:b/>
                <w:color w:val="000000" w:themeColor="text1"/>
                <w:sz w:val="22"/>
                <w:szCs w:val="22"/>
                <w:highlight w:val="none"/>
                <w14:textFill>
                  <w14:solidFill>
                    <w14:schemeClr w14:val="tx1"/>
                  </w14:solidFill>
                </w14:textFill>
              </w:rPr>
              <w:t>法律、行政法规规定的其他条件</w:t>
            </w:r>
          </w:p>
        </w:tc>
        <w:tc>
          <w:tcPr>
            <w:tcW w:w="3173" w:type="pct"/>
            <w:vMerge w:val="continue"/>
            <w:vAlign w:val="center"/>
          </w:tcPr>
          <w:p w14:paraId="7CCEBFBE">
            <w:pPr>
              <w:adjustRightInd w:val="0"/>
              <w:spacing w:line="300" w:lineRule="auto"/>
              <w:rPr>
                <w:rFonts w:ascii="Times New Roman" w:hAnsi="Times New Roman" w:eastAsia="仿宋" w:cs="Times New Roman"/>
                <w:bCs/>
                <w:sz w:val="24"/>
                <w:szCs w:val="24"/>
                <w:highlight w:val="none"/>
              </w:rPr>
            </w:pPr>
          </w:p>
        </w:tc>
      </w:tr>
      <w:tr w14:paraId="7BD9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4E8B87EA">
            <w:pPr>
              <w:spacing w:line="360" w:lineRule="auto"/>
              <w:jc w:val="center"/>
              <w:rPr>
                <w:rFonts w:ascii="仿宋" w:hAnsi="仿宋" w:eastAsia="仿宋"/>
                <w:b/>
                <w:color w:val="000000" w:themeColor="text1"/>
                <w:sz w:val="22"/>
                <w:szCs w:val="22"/>
                <w:highlight w:val="none"/>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7</w:t>
            </w:r>
          </w:p>
        </w:tc>
        <w:tc>
          <w:tcPr>
            <w:tcW w:w="2513" w:type="dxa"/>
            <w:vAlign w:val="center"/>
          </w:tcPr>
          <w:p w14:paraId="0B019F78">
            <w:pPr>
              <w:spacing w:line="360" w:lineRule="auto"/>
              <w:jc w:val="left"/>
              <w:rPr>
                <w:rFonts w:hint="eastAsia" w:ascii="仿宋" w:hAnsi="仿宋" w:eastAsia="仿宋"/>
                <w:b/>
                <w:color w:val="000000" w:themeColor="text1"/>
                <w:sz w:val="22"/>
                <w:szCs w:val="22"/>
                <w:highlight w:val="none"/>
                <w14:textFill>
                  <w14:solidFill>
                    <w14:schemeClr w14:val="tx1"/>
                  </w14:solidFill>
                </w14:textFill>
              </w:rPr>
            </w:pPr>
            <w:r>
              <w:rPr>
                <w:rFonts w:hint="eastAsia" w:ascii="仿宋" w:hAnsi="仿宋" w:eastAsia="仿宋"/>
                <w:b/>
                <w:color w:val="000000" w:themeColor="text1"/>
                <w:sz w:val="22"/>
                <w:szCs w:val="22"/>
                <w:highlight w:val="none"/>
                <w14:textFill>
                  <w14:solidFill>
                    <w14:schemeClr w14:val="tx1"/>
                  </w14:solidFill>
                </w14:textFill>
              </w:rPr>
              <w:t>其他类似效力要求：</w:t>
            </w:r>
          </w:p>
          <w:p w14:paraId="28D0EC9E">
            <w:pPr>
              <w:spacing w:line="360" w:lineRule="auto"/>
              <w:jc w:val="left"/>
              <w:rPr>
                <w:rFonts w:hint="eastAsia" w:ascii="仿宋" w:hAnsi="仿宋" w:eastAsia="仿宋"/>
                <w:b/>
                <w:color w:val="000000" w:themeColor="text1"/>
                <w:sz w:val="22"/>
                <w:szCs w:val="22"/>
                <w:highlight w:val="none"/>
                <w14:textFill>
                  <w14:solidFill>
                    <w14:schemeClr w14:val="tx1"/>
                  </w14:solidFill>
                </w14:textFill>
              </w:rPr>
            </w:pPr>
            <w:r>
              <w:rPr>
                <w:rFonts w:hint="eastAsia" w:ascii="仿宋" w:hAnsi="仿宋" w:eastAsia="仿宋"/>
                <w:b/>
                <w:color w:val="000000" w:themeColor="text1"/>
                <w:sz w:val="22"/>
                <w:szCs w:val="22"/>
                <w:highlight w:val="none"/>
                <w14:textFill>
                  <w14:solidFill>
                    <w14:schemeClr w14:val="tx1"/>
                  </w14:solidFill>
                </w14:textFill>
              </w:rPr>
              <w:t>1.授权参加本次采购活动的供应商代表证明；</w:t>
            </w:r>
          </w:p>
          <w:p w14:paraId="1D05E81B">
            <w:pPr>
              <w:spacing w:line="360" w:lineRule="auto"/>
              <w:jc w:val="left"/>
              <w:rPr>
                <w:rFonts w:hint="eastAsia" w:ascii="仿宋" w:hAnsi="仿宋" w:eastAsia="仿宋"/>
                <w:b/>
                <w:color w:val="000000" w:themeColor="text1"/>
                <w:sz w:val="22"/>
                <w:szCs w:val="22"/>
                <w:highlight w:val="none"/>
                <w14:textFill>
                  <w14:solidFill>
                    <w14:schemeClr w14:val="tx1"/>
                  </w14:solidFill>
                </w14:textFill>
              </w:rPr>
            </w:pPr>
            <w:r>
              <w:rPr>
                <w:rFonts w:hint="eastAsia" w:ascii="仿宋" w:hAnsi="仿宋" w:eastAsia="仿宋"/>
                <w:b/>
                <w:color w:val="000000" w:themeColor="text1"/>
                <w:sz w:val="22"/>
                <w:szCs w:val="22"/>
                <w:highlight w:val="none"/>
                <w14:textFill>
                  <w14:solidFill>
                    <w14:schemeClr w14:val="tx1"/>
                  </w14:solidFill>
                </w14:textFill>
              </w:rPr>
              <w:t>2.交纳投标保证金；</w:t>
            </w:r>
          </w:p>
          <w:p w14:paraId="7B73255E">
            <w:pPr>
              <w:spacing w:line="360" w:lineRule="auto"/>
              <w:jc w:val="left"/>
              <w:rPr>
                <w:rFonts w:hint="eastAsia" w:ascii="仿宋" w:hAnsi="仿宋" w:eastAsia="仿宋"/>
                <w:b/>
                <w:color w:val="000000" w:themeColor="text1"/>
                <w:sz w:val="21"/>
                <w:szCs w:val="21"/>
                <w:highlight w:val="none"/>
                <w14:textFill>
                  <w14:solidFill>
                    <w14:schemeClr w14:val="tx1"/>
                  </w14:solidFill>
                </w14:textFill>
              </w:rPr>
            </w:pPr>
            <w:r>
              <w:rPr>
                <w:rFonts w:hint="eastAsia" w:ascii="仿宋" w:hAnsi="仿宋" w:eastAsia="仿宋"/>
                <w:b/>
                <w:color w:val="000000" w:themeColor="text1"/>
                <w:sz w:val="22"/>
                <w:szCs w:val="22"/>
                <w:highlight w:val="none"/>
                <w14:textFill>
                  <w14:solidFill>
                    <w14:schemeClr w14:val="tx1"/>
                  </w14:solidFill>
                </w14:textFill>
              </w:rPr>
              <w:t>3.按照规定获取了采购文件</w:t>
            </w:r>
          </w:p>
        </w:tc>
        <w:tc>
          <w:tcPr>
            <w:tcW w:w="5824" w:type="dxa"/>
            <w:vAlign w:val="center"/>
          </w:tcPr>
          <w:p w14:paraId="002BEBE8">
            <w:pPr>
              <w:adjustRightInd w:val="0"/>
              <w:spacing w:line="500" w:lineRule="exact"/>
              <w:jc w:val="left"/>
              <w:rPr>
                <w:rFonts w:hint="eastAsia" w:ascii="仿宋" w:hAnsi="仿宋" w:eastAsia="仿宋"/>
                <w:bCs/>
                <w:sz w:val="24"/>
                <w:szCs w:val="24"/>
                <w:highlight w:val="none"/>
                <w:lang w:val="en-US" w:eastAsia="zh-CN"/>
              </w:rPr>
            </w:pPr>
            <w:r>
              <w:rPr>
                <w:rFonts w:hint="eastAsia" w:ascii="仿宋" w:hAnsi="仿宋" w:eastAsia="仿宋"/>
                <w:bCs/>
                <w:sz w:val="24"/>
                <w:szCs w:val="24"/>
                <w:highlight w:val="none"/>
                <w:lang w:val="en-US" w:eastAsia="zh-CN"/>
              </w:rPr>
              <w:t>1.授权参加本次采购活动的供应商代表证明：供应商根据自身情况选择提供其中任意一项</w:t>
            </w:r>
          </w:p>
          <w:p w14:paraId="2E13950C">
            <w:pPr>
              <w:adjustRightInd w:val="0"/>
              <w:spacing w:line="500" w:lineRule="exact"/>
              <w:jc w:val="left"/>
              <w:rPr>
                <w:rFonts w:hint="eastAsia" w:ascii="仿宋" w:hAnsi="仿宋" w:eastAsia="仿宋"/>
                <w:bCs/>
                <w:sz w:val="24"/>
                <w:szCs w:val="24"/>
                <w:highlight w:val="none"/>
                <w:lang w:val="en-US" w:eastAsia="zh-CN"/>
              </w:rPr>
            </w:pPr>
            <w:r>
              <w:rPr>
                <w:rFonts w:hint="eastAsia" w:ascii="仿宋" w:hAnsi="仿宋" w:eastAsia="仿宋"/>
                <w:bCs/>
                <w:sz w:val="24"/>
                <w:szCs w:val="24"/>
                <w:highlight w:val="none"/>
                <w:lang w:val="en-US" w:eastAsia="zh-CN"/>
              </w:rPr>
              <w:t>（1）投标人代表为“授权代表”时，提供授权委托书；</w:t>
            </w:r>
          </w:p>
          <w:p w14:paraId="0F1CECFA">
            <w:pPr>
              <w:adjustRightInd w:val="0"/>
              <w:spacing w:line="500" w:lineRule="exact"/>
              <w:jc w:val="left"/>
              <w:rPr>
                <w:rFonts w:hint="eastAsia" w:ascii="仿宋" w:hAnsi="仿宋" w:eastAsia="仿宋"/>
                <w:bCs/>
                <w:sz w:val="24"/>
                <w:szCs w:val="24"/>
                <w:highlight w:val="none"/>
                <w:lang w:val="en-US" w:eastAsia="zh-CN"/>
              </w:rPr>
            </w:pPr>
            <w:r>
              <w:rPr>
                <w:rFonts w:hint="eastAsia" w:ascii="仿宋" w:hAnsi="仿宋" w:eastAsia="仿宋"/>
                <w:bCs/>
                <w:sz w:val="24"/>
                <w:szCs w:val="24"/>
                <w:highlight w:val="none"/>
                <w:lang w:val="en-US" w:eastAsia="zh-CN"/>
              </w:rPr>
              <w:t>（2）投标人代表为“法定代表人（单位负责人）”时，提供法定代表人（单位负责人）身份证明；</w:t>
            </w:r>
          </w:p>
          <w:p w14:paraId="56B4127E">
            <w:pPr>
              <w:adjustRightInd w:val="0"/>
              <w:spacing w:line="500" w:lineRule="exact"/>
              <w:jc w:val="left"/>
              <w:rPr>
                <w:rFonts w:hint="eastAsia" w:ascii="仿宋" w:hAnsi="仿宋" w:eastAsia="仿宋"/>
                <w:bCs/>
                <w:sz w:val="24"/>
                <w:szCs w:val="24"/>
                <w:highlight w:val="none"/>
                <w:lang w:val="en-US" w:eastAsia="zh-CN"/>
              </w:rPr>
            </w:pPr>
            <w:r>
              <w:rPr>
                <w:rFonts w:hint="eastAsia" w:ascii="仿宋" w:hAnsi="仿宋" w:eastAsia="仿宋"/>
                <w:bCs/>
                <w:sz w:val="24"/>
                <w:szCs w:val="24"/>
                <w:highlight w:val="none"/>
                <w:lang w:val="en-US" w:eastAsia="zh-CN"/>
              </w:rPr>
              <w:t>（格式详见第三章“资格性投标文件”）</w:t>
            </w:r>
          </w:p>
          <w:p w14:paraId="798841B2">
            <w:pPr>
              <w:numPr>
                <w:ilvl w:val="0"/>
                <w:numId w:val="0"/>
              </w:numPr>
              <w:adjustRightInd w:val="0"/>
              <w:spacing w:line="500" w:lineRule="exact"/>
              <w:jc w:val="left"/>
              <w:rPr>
                <w:rFonts w:hint="eastAsia" w:ascii="仿宋" w:hAnsi="仿宋" w:eastAsia="仿宋"/>
                <w:bCs/>
                <w:sz w:val="24"/>
                <w:szCs w:val="24"/>
                <w:highlight w:val="none"/>
                <w:lang w:val="en-US" w:eastAsia="zh-CN"/>
              </w:rPr>
            </w:pPr>
            <w:r>
              <w:rPr>
                <w:rFonts w:hint="eastAsia" w:ascii="仿宋" w:hAnsi="仿宋" w:eastAsia="仿宋"/>
                <w:bCs/>
                <w:sz w:val="24"/>
                <w:szCs w:val="24"/>
                <w:highlight w:val="none"/>
                <w:lang w:val="en-US" w:eastAsia="zh-CN"/>
              </w:rPr>
              <w:t>2.交纳投标保证金：供应商已交纳投标保证金的凭证（如涉及）</w:t>
            </w:r>
          </w:p>
          <w:p w14:paraId="6AD4955E">
            <w:pPr>
              <w:adjustRightInd w:val="0"/>
              <w:spacing w:line="300" w:lineRule="auto"/>
              <w:rPr>
                <w:rFonts w:hint="eastAsia" w:ascii="Times New Roman" w:hAnsi="Times New Roman" w:eastAsia="仿宋" w:cs="Times New Roman"/>
                <w:bCs/>
                <w:sz w:val="24"/>
                <w:szCs w:val="24"/>
                <w:highlight w:val="none"/>
                <w:lang w:val="en-US" w:eastAsia="zh-CN"/>
              </w:rPr>
            </w:pPr>
            <w:r>
              <w:rPr>
                <w:rFonts w:hint="eastAsia" w:ascii="仿宋" w:hAnsi="仿宋" w:eastAsia="仿宋"/>
                <w:b/>
                <w:bCs w:val="0"/>
                <w:sz w:val="24"/>
                <w:szCs w:val="24"/>
                <w:highlight w:val="none"/>
                <w:lang w:val="en-US" w:eastAsia="zh-CN"/>
              </w:rPr>
              <w:t>3.按照规定获取了采购文件：本项由采购代理机构提供材料，供应商无需提供证明材料</w:t>
            </w:r>
          </w:p>
        </w:tc>
      </w:tr>
      <w:tr w14:paraId="62A2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504C2D13">
            <w:pPr>
              <w:spacing w:line="360" w:lineRule="auto"/>
              <w:jc w:val="center"/>
              <w:rPr>
                <w:rFonts w:hint="default" w:ascii="仿宋" w:hAnsi="仿宋" w:eastAsia="仿宋"/>
                <w:b/>
                <w:color w:val="000000" w:themeColor="text1"/>
                <w:sz w:val="24"/>
                <w:szCs w:val="24"/>
                <w:highlight w:val="none"/>
                <w:lang w:val="en-US" w:eastAsia="zh-CN"/>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8</w:t>
            </w:r>
          </w:p>
        </w:tc>
        <w:tc>
          <w:tcPr>
            <w:tcW w:w="2513" w:type="dxa"/>
            <w:vAlign w:val="center"/>
          </w:tcPr>
          <w:p w14:paraId="2626522F">
            <w:pPr>
              <w:spacing w:line="360" w:lineRule="auto"/>
              <w:jc w:val="left"/>
              <w:rPr>
                <w:rFonts w:hint="eastAsia" w:ascii="仿宋" w:hAnsi="仿宋" w:eastAsia="仿宋"/>
                <w:b/>
                <w:color w:val="000000" w:themeColor="text1"/>
                <w:sz w:val="22"/>
                <w:szCs w:val="22"/>
                <w:highlight w:val="none"/>
                <w14:textFill>
                  <w14:solidFill>
                    <w14:schemeClr w14:val="tx1"/>
                  </w14:solidFill>
                </w14:textFill>
              </w:rPr>
            </w:pPr>
            <w:r>
              <w:rPr>
                <w:rFonts w:hint="eastAsia" w:ascii="仿宋" w:hAnsi="仿宋" w:eastAsia="仿宋"/>
                <w:b/>
                <w:color w:val="000000" w:themeColor="text1"/>
                <w:sz w:val="22"/>
                <w:szCs w:val="22"/>
                <w:highlight w:val="none"/>
                <w:lang w:eastAsia="zh-CN"/>
                <w14:textFill>
                  <w14:solidFill>
                    <w14:schemeClr w14:val="tx1"/>
                  </w14:solidFill>
                </w14:textFill>
              </w:rPr>
              <w:t>是否属于禁止参加本次采购活动的供应商</w:t>
            </w:r>
          </w:p>
        </w:tc>
        <w:tc>
          <w:tcPr>
            <w:tcW w:w="5824" w:type="dxa"/>
            <w:vAlign w:val="center"/>
          </w:tcPr>
          <w:p w14:paraId="58DAC5E2">
            <w:pPr>
              <w:adjustRightInd w:val="0"/>
              <w:spacing w:line="500" w:lineRule="exact"/>
              <w:jc w:val="left"/>
              <w:rPr>
                <w:rFonts w:hint="eastAsia" w:ascii="仿宋" w:hAnsi="仿宋" w:eastAsia="仿宋"/>
                <w:b/>
                <w:bCs w:val="0"/>
                <w:sz w:val="24"/>
                <w:szCs w:val="22"/>
                <w:highlight w:val="none"/>
                <w:lang w:val="en-US" w:eastAsia="zh-CN"/>
              </w:rPr>
            </w:pPr>
            <w:r>
              <w:rPr>
                <w:rFonts w:hint="eastAsia" w:ascii="仿宋" w:hAnsi="仿宋" w:eastAsia="仿宋"/>
                <w:b/>
                <w:bCs w:val="0"/>
                <w:sz w:val="24"/>
                <w:szCs w:val="22"/>
                <w:highlight w:val="none"/>
                <w:lang w:val="en-US" w:eastAsia="zh-CN"/>
              </w:rPr>
              <w:t>1.信用查询：</w:t>
            </w:r>
          </w:p>
          <w:p w14:paraId="42472B1A">
            <w:pPr>
              <w:adjustRightInd w:val="0"/>
              <w:spacing w:line="500" w:lineRule="exact"/>
              <w:jc w:val="left"/>
              <w:rPr>
                <w:rFonts w:hint="eastAsia" w:ascii="仿宋" w:hAnsi="仿宋" w:eastAsia="仿宋"/>
                <w:bCs/>
                <w:sz w:val="24"/>
                <w:szCs w:val="22"/>
                <w:highlight w:val="none"/>
                <w:lang w:val="en-US" w:eastAsia="zh-CN"/>
              </w:rPr>
            </w:pPr>
            <w:r>
              <w:rPr>
                <w:rFonts w:hint="eastAsia" w:ascii="仿宋" w:hAnsi="仿宋" w:eastAsia="仿宋"/>
                <w:bCs/>
                <w:sz w:val="24"/>
                <w:szCs w:val="22"/>
                <w:highlight w:val="none"/>
                <w:lang w:val="en-US" w:eastAsia="zh-CN"/>
              </w:rPr>
              <w:t>（1）本项目资格审查时，采购代理机构将通过信用中国（www.creditchina.gov.cn）和中国政府采购网（www.ccgp.gov.cn）对供应商进行信用记录查询；</w:t>
            </w:r>
          </w:p>
          <w:p w14:paraId="288AE9D5">
            <w:pPr>
              <w:adjustRightInd w:val="0"/>
              <w:spacing w:line="500" w:lineRule="exact"/>
              <w:jc w:val="left"/>
              <w:rPr>
                <w:rFonts w:hint="eastAsia" w:ascii="仿宋" w:hAnsi="仿宋" w:eastAsia="仿宋"/>
                <w:bCs/>
                <w:sz w:val="24"/>
                <w:szCs w:val="22"/>
                <w:highlight w:val="none"/>
                <w:lang w:val="en-US" w:eastAsia="zh-CN"/>
              </w:rPr>
            </w:pPr>
            <w:r>
              <w:rPr>
                <w:rFonts w:hint="eastAsia" w:ascii="仿宋" w:hAnsi="仿宋" w:eastAsia="仿宋"/>
                <w:bCs/>
                <w:sz w:val="24"/>
                <w:szCs w:val="22"/>
                <w:highlight w:val="none"/>
                <w:lang w:val="en-US" w:eastAsia="zh-CN"/>
              </w:rPr>
              <w:t>（2）查询记录和证据留存的具体方式：与采购文件一并保存；</w:t>
            </w:r>
          </w:p>
          <w:p w14:paraId="286BA21A">
            <w:pPr>
              <w:adjustRightInd w:val="0"/>
              <w:spacing w:line="500" w:lineRule="exact"/>
              <w:jc w:val="left"/>
              <w:rPr>
                <w:rFonts w:hint="eastAsia" w:ascii="仿宋" w:hAnsi="仿宋" w:eastAsia="仿宋"/>
                <w:bCs/>
                <w:sz w:val="24"/>
                <w:szCs w:val="22"/>
                <w:highlight w:val="none"/>
                <w:lang w:val="en-US" w:eastAsia="zh-CN"/>
              </w:rPr>
            </w:pPr>
            <w:r>
              <w:rPr>
                <w:rFonts w:hint="eastAsia" w:ascii="仿宋" w:hAnsi="仿宋" w:eastAsia="仿宋"/>
                <w:bCs/>
                <w:sz w:val="24"/>
                <w:szCs w:val="22"/>
                <w:highlight w:val="none"/>
                <w:lang w:val="en-US" w:eastAsia="zh-CN"/>
              </w:rPr>
              <w:t>（3）使用规则：对列入失信被执行人、重大税收违法案件当事人名单、政府采购严重违法失信行为记录名单的供应商，资格审查不予通过</w:t>
            </w:r>
          </w:p>
          <w:p w14:paraId="73F42CEA">
            <w:pPr>
              <w:adjustRightInd w:val="0"/>
              <w:spacing w:line="500" w:lineRule="exact"/>
              <w:jc w:val="left"/>
              <w:rPr>
                <w:rFonts w:hint="eastAsia" w:ascii="仿宋" w:hAnsi="仿宋" w:eastAsia="仿宋"/>
                <w:b/>
                <w:bCs w:val="0"/>
                <w:sz w:val="24"/>
                <w:szCs w:val="24"/>
                <w:highlight w:val="none"/>
                <w:lang w:val="en-US" w:eastAsia="zh-CN"/>
              </w:rPr>
            </w:pPr>
            <w:r>
              <w:rPr>
                <w:rFonts w:hint="eastAsia" w:ascii="仿宋" w:hAnsi="仿宋" w:eastAsia="仿宋"/>
                <w:b/>
                <w:bCs w:val="0"/>
                <w:sz w:val="24"/>
                <w:szCs w:val="24"/>
                <w:highlight w:val="none"/>
                <w:lang w:val="en-US" w:eastAsia="zh-CN"/>
              </w:rPr>
              <w:t>注：本项由采购代理机构提供查询材料，供应商无需提供证明材料</w:t>
            </w:r>
          </w:p>
          <w:p w14:paraId="699EC48A">
            <w:pPr>
              <w:adjustRightInd w:val="0"/>
              <w:spacing w:line="500" w:lineRule="exact"/>
              <w:jc w:val="left"/>
              <w:rPr>
                <w:rFonts w:hint="eastAsia" w:ascii="仿宋" w:hAnsi="仿宋" w:eastAsia="仿宋"/>
                <w:b/>
                <w:bCs w:val="0"/>
                <w:sz w:val="24"/>
                <w:szCs w:val="24"/>
                <w:highlight w:val="none"/>
                <w:lang w:val="en-US" w:eastAsia="zh-CN"/>
              </w:rPr>
            </w:pPr>
            <w:r>
              <w:rPr>
                <w:rFonts w:hint="eastAsia" w:ascii="仿宋" w:hAnsi="仿宋" w:eastAsia="仿宋"/>
                <w:b/>
                <w:bCs w:val="0"/>
                <w:sz w:val="24"/>
                <w:szCs w:val="24"/>
                <w:highlight w:val="none"/>
                <w:lang w:val="en-US" w:eastAsia="zh-CN"/>
              </w:rPr>
              <w:t>2.单位负责人为同一人或者存在直接控股、管理关系的不同供应商不得参加同一合同项下的采购活动</w:t>
            </w:r>
          </w:p>
          <w:p w14:paraId="27FC737C">
            <w:pPr>
              <w:adjustRightInd w:val="0"/>
              <w:spacing w:line="500" w:lineRule="exact"/>
              <w:jc w:val="left"/>
              <w:rPr>
                <w:rFonts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lang w:eastAsia="zh-CN"/>
              </w:rPr>
              <w:t>统一</w:t>
            </w:r>
            <w:r>
              <w:rPr>
                <w:rFonts w:ascii="Times New Roman" w:hAnsi="Times New Roman" w:eastAsia="仿宋" w:cs="Times New Roman"/>
                <w:bCs/>
                <w:sz w:val="24"/>
                <w:szCs w:val="24"/>
                <w:highlight w:val="none"/>
              </w:rPr>
              <w:t>提供承诺函</w:t>
            </w:r>
          </w:p>
          <w:p w14:paraId="067225CF">
            <w:pPr>
              <w:adjustRightInd w:val="0"/>
              <w:spacing w:line="500" w:lineRule="exact"/>
              <w:jc w:val="left"/>
              <w:rPr>
                <w:rFonts w:hint="eastAsia" w:ascii="Times New Roman" w:hAnsi="Times New Roman" w:eastAsia="仿宋" w:cs="Times New Roman"/>
                <w:bCs/>
                <w:sz w:val="24"/>
                <w:szCs w:val="24"/>
                <w:highlight w:val="none"/>
                <w:lang w:val="en-US" w:eastAsia="zh-CN"/>
              </w:rPr>
            </w:pPr>
            <w:r>
              <w:rPr>
                <w:rFonts w:hint="eastAsia" w:ascii="Times New Roman" w:hAnsi="Times New Roman" w:eastAsia="仿宋" w:cs="Times New Roman"/>
                <w:bCs/>
                <w:sz w:val="24"/>
                <w:szCs w:val="24"/>
                <w:highlight w:val="none"/>
                <w:lang w:eastAsia="zh-CN"/>
              </w:rPr>
              <w:t>（</w:t>
            </w:r>
            <w:r>
              <w:rPr>
                <w:rFonts w:hint="eastAsia" w:ascii="Times New Roman" w:hAnsi="Times New Roman" w:eastAsia="仿宋" w:cs="Times New Roman"/>
                <w:bCs/>
                <w:sz w:val="24"/>
                <w:szCs w:val="24"/>
                <w:highlight w:val="none"/>
                <w:lang w:val="en-US" w:eastAsia="zh-CN"/>
              </w:rPr>
              <w:t>格式详见第三章“资格性投标文件”中“承诺函”）</w:t>
            </w:r>
          </w:p>
          <w:p w14:paraId="169F0A69">
            <w:pPr>
              <w:adjustRightInd w:val="0"/>
              <w:spacing w:line="500" w:lineRule="exact"/>
              <w:jc w:val="left"/>
              <w:rPr>
                <w:rFonts w:hint="eastAsia" w:ascii="仿宋" w:hAnsi="仿宋" w:eastAsia="仿宋"/>
                <w:b/>
                <w:bCs w:val="0"/>
                <w:sz w:val="24"/>
                <w:szCs w:val="24"/>
                <w:highlight w:val="none"/>
                <w:lang w:val="en-US" w:eastAsia="zh-CN"/>
              </w:rPr>
            </w:pPr>
            <w:r>
              <w:rPr>
                <w:rFonts w:hint="eastAsia" w:ascii="仿宋" w:hAnsi="仿宋" w:eastAsia="仿宋"/>
                <w:b/>
                <w:bCs w:val="0"/>
                <w:sz w:val="24"/>
                <w:szCs w:val="24"/>
                <w:highlight w:val="none"/>
                <w:lang w:val="en-US" w:eastAsia="zh-CN"/>
              </w:rPr>
              <w:t>3.为采购项目提供整体设计、规范编制或者项目管理、监理、检测等服务的供应商，不得再参加该采购项目的其他采购活动</w:t>
            </w:r>
          </w:p>
          <w:p w14:paraId="2C9819DD">
            <w:pPr>
              <w:adjustRightInd w:val="0"/>
              <w:spacing w:line="500" w:lineRule="exact"/>
              <w:jc w:val="left"/>
              <w:rPr>
                <w:rFonts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lang w:eastAsia="zh-CN"/>
              </w:rPr>
              <w:t>统一</w:t>
            </w:r>
            <w:r>
              <w:rPr>
                <w:rFonts w:ascii="Times New Roman" w:hAnsi="Times New Roman" w:eastAsia="仿宋" w:cs="Times New Roman"/>
                <w:bCs/>
                <w:sz w:val="24"/>
                <w:szCs w:val="24"/>
                <w:highlight w:val="none"/>
              </w:rPr>
              <w:t>提供承诺函</w:t>
            </w:r>
          </w:p>
          <w:p w14:paraId="710BAAB9">
            <w:pPr>
              <w:adjustRightInd w:val="0"/>
              <w:spacing w:line="500" w:lineRule="exact"/>
              <w:jc w:val="left"/>
              <w:rPr>
                <w:rFonts w:hint="eastAsia" w:ascii="仿宋" w:hAnsi="仿宋" w:eastAsia="仿宋"/>
                <w:bCs/>
                <w:sz w:val="24"/>
                <w:szCs w:val="24"/>
                <w:highlight w:val="none"/>
                <w:lang w:val="en-US" w:eastAsia="zh-CN"/>
              </w:rPr>
            </w:pPr>
            <w:r>
              <w:rPr>
                <w:rFonts w:hint="eastAsia" w:ascii="Times New Roman" w:hAnsi="Times New Roman" w:eastAsia="仿宋" w:cs="Times New Roman"/>
                <w:bCs/>
                <w:sz w:val="24"/>
                <w:szCs w:val="24"/>
                <w:highlight w:val="none"/>
                <w:lang w:eastAsia="zh-CN"/>
              </w:rPr>
              <w:t>（</w:t>
            </w:r>
            <w:r>
              <w:rPr>
                <w:rFonts w:hint="eastAsia" w:ascii="Times New Roman" w:hAnsi="Times New Roman" w:eastAsia="仿宋" w:cs="Times New Roman"/>
                <w:bCs/>
                <w:sz w:val="24"/>
                <w:szCs w:val="24"/>
                <w:highlight w:val="none"/>
                <w:lang w:val="en-US" w:eastAsia="zh-CN"/>
              </w:rPr>
              <w:t>格式详见第三章“资格性投标文件”中“承诺函”）</w:t>
            </w:r>
          </w:p>
        </w:tc>
      </w:tr>
      <w:tr w14:paraId="0C43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56" w:type="pct"/>
            <w:vAlign w:val="center"/>
          </w:tcPr>
          <w:p w14:paraId="67FC409E">
            <w:pPr>
              <w:adjustRightInd w:val="0"/>
              <w:spacing w:line="300" w:lineRule="auto"/>
              <w:jc w:val="center"/>
              <w:rPr>
                <w:rFonts w:hint="eastAsia" w:ascii="Times New Roman" w:hAnsi="Times New Roman" w:eastAsia="仿宋" w:cs="Times New Roman"/>
                <w:bCs/>
                <w:sz w:val="24"/>
                <w:szCs w:val="24"/>
                <w:highlight w:val="none"/>
                <w:lang w:eastAsia="zh-CN"/>
              </w:rPr>
            </w:pPr>
            <w:r>
              <w:rPr>
                <w:rFonts w:hint="eastAsia" w:ascii="Times New Roman" w:hAnsi="Times New Roman" w:eastAsia="仿宋" w:cs="Times New Roman"/>
                <w:bCs/>
                <w:sz w:val="24"/>
                <w:szCs w:val="24"/>
                <w:highlight w:val="none"/>
                <w:lang w:val="en-US" w:eastAsia="zh-CN"/>
              </w:rPr>
              <w:t>9</w:t>
            </w:r>
          </w:p>
        </w:tc>
        <w:tc>
          <w:tcPr>
            <w:tcW w:w="1369" w:type="pct"/>
            <w:vAlign w:val="center"/>
          </w:tcPr>
          <w:p w14:paraId="502B3B3F">
            <w:pPr>
              <w:spacing w:line="360" w:lineRule="auto"/>
              <w:jc w:val="center"/>
              <w:rPr>
                <w:rFonts w:hint="default" w:ascii="仿宋" w:hAnsi="仿宋" w:eastAsia="仿宋"/>
                <w:b/>
                <w:color w:val="000000" w:themeColor="text1"/>
                <w:sz w:val="22"/>
                <w:szCs w:val="22"/>
                <w:highlight w:val="none"/>
                <w:lang w:val="en-US" w:eastAsia="zh-CN"/>
                <w14:textFill>
                  <w14:solidFill>
                    <w14:schemeClr w14:val="tx1"/>
                  </w14:solidFill>
                </w14:textFill>
              </w:rPr>
            </w:pPr>
            <w:r>
              <w:rPr>
                <w:rFonts w:hint="eastAsia" w:ascii="仿宋" w:hAnsi="仿宋" w:eastAsia="仿宋"/>
                <w:b/>
                <w:color w:val="000000" w:themeColor="text1"/>
                <w:sz w:val="22"/>
                <w:szCs w:val="22"/>
                <w:highlight w:val="none"/>
                <w14:textFill>
                  <w14:solidFill>
                    <w14:schemeClr w14:val="tx1"/>
                  </w14:solidFill>
                </w14:textFill>
              </w:rPr>
              <w:t>本项目的特定资格要求</w:t>
            </w:r>
          </w:p>
        </w:tc>
        <w:tc>
          <w:tcPr>
            <w:tcW w:w="3173" w:type="pct"/>
            <w:vAlign w:val="center"/>
          </w:tcPr>
          <w:p w14:paraId="271DC419">
            <w:pPr>
              <w:adjustRightInd w:val="0"/>
              <w:spacing w:line="300" w:lineRule="auto"/>
              <w:rPr>
                <w:rFonts w:hint="default" w:ascii="Times New Roman" w:hAnsi="Times New Roman" w:eastAsia="仿宋" w:cs="Times New Roman"/>
                <w:bCs/>
                <w:sz w:val="24"/>
                <w:szCs w:val="24"/>
                <w:highlight w:val="none"/>
                <w:lang w:val="en-US" w:eastAsia="zh-CN"/>
              </w:rPr>
            </w:pPr>
            <w:r>
              <w:rPr>
                <w:rFonts w:hint="eastAsia" w:eastAsia="仿宋" w:cs="Times New Roman"/>
                <w:bCs/>
                <w:sz w:val="24"/>
                <w:szCs w:val="24"/>
                <w:highlight w:val="none"/>
                <w:lang w:val="en-US" w:eastAsia="zh-CN"/>
              </w:rPr>
              <w:t>无</w:t>
            </w:r>
          </w:p>
        </w:tc>
      </w:tr>
    </w:tbl>
    <w:p w14:paraId="0F3EFE7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仿宋" w:cs="Times New Roman"/>
          <w:b w:val="0"/>
          <w:bCs w:val="0"/>
          <w:sz w:val="24"/>
          <w:szCs w:val="24"/>
          <w:highlight w:val="none"/>
          <w:lang w:val="en-US" w:eastAsia="zh-CN"/>
        </w:rPr>
      </w:pPr>
      <w:r>
        <w:rPr>
          <w:rFonts w:hint="eastAsia" w:ascii="Times New Roman" w:hAnsi="Times New Roman" w:eastAsia="仿宋" w:cs="Times New Roman"/>
          <w:b w:val="0"/>
          <w:bCs w:val="0"/>
          <w:sz w:val="24"/>
          <w:szCs w:val="24"/>
          <w:highlight w:val="none"/>
          <w:lang w:val="en-US" w:eastAsia="zh-CN"/>
        </w:rPr>
        <w:t>注：1.本项目所称重大违法记录，是指供应商因违法经营受到刑事处罚或者责令停产停业、吊销许可证或者执照、较大数额罚款等行政处罚；供应商在参加采购活动前3年内因违法经营被禁止在一定期限内参加采购活动，期限届满的，可以参加采购活动。</w:t>
      </w:r>
    </w:p>
    <w:p w14:paraId="0EA0EDE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imes New Roman" w:hAnsi="Times New Roman" w:eastAsia="仿宋" w:cs="Times New Roman"/>
          <w:b w:val="0"/>
          <w:bCs w:val="0"/>
          <w:sz w:val="24"/>
          <w:szCs w:val="24"/>
          <w:highlight w:val="none"/>
          <w:lang w:val="en-US" w:eastAsia="zh-CN"/>
        </w:rPr>
      </w:pPr>
      <w:r>
        <w:rPr>
          <w:rFonts w:hint="eastAsia" w:ascii="Times New Roman" w:hAnsi="Times New Roman" w:eastAsia="仿宋" w:cs="Times New Roman"/>
          <w:b w:val="0"/>
          <w:bCs w:val="0"/>
          <w:sz w:val="24"/>
          <w:szCs w:val="24"/>
          <w:highlight w:val="none"/>
          <w:lang w:val="en-US" w:eastAsia="zh-CN"/>
        </w:rPr>
        <w:t>2.本项目所称重大违法记录中的“较大数额罚款”金额标准认定为200万元以上的罚款，法律、行政法规以及国务院有关部门明确规定相关领域“较大数额罚款”标准高于200万元的，从其规定。</w:t>
      </w:r>
    </w:p>
    <w:p w14:paraId="2960E802">
      <w:pPr>
        <w:rPr>
          <w:highlight w:val="none"/>
        </w:rPr>
      </w:pPr>
      <w:r>
        <w:rPr>
          <w:highlight w:val="none"/>
        </w:rPr>
        <w:br w:type="page"/>
      </w:r>
    </w:p>
    <w:p w14:paraId="4E227750">
      <w:pPr>
        <w:pStyle w:val="9"/>
        <w:rPr>
          <w:highlight w:val="none"/>
        </w:rPr>
      </w:pPr>
    </w:p>
    <w:p w14:paraId="31C6A8DA">
      <w:pPr>
        <w:widowControl/>
        <w:numPr>
          <w:ilvl w:val="0"/>
          <w:numId w:val="0"/>
        </w:numPr>
        <w:spacing w:line="520" w:lineRule="exact"/>
        <w:jc w:val="center"/>
        <w:outlineLvl w:val="0"/>
        <w:rPr>
          <w:rFonts w:hint="eastAsia" w:ascii="仿宋" w:hAnsi="仿宋" w:eastAsia="仿宋" w:cs="仿宋"/>
          <w:b/>
          <w:bCs w:val="0"/>
          <w:sz w:val="36"/>
          <w:szCs w:val="32"/>
          <w:highlight w:val="none"/>
        </w:rPr>
      </w:pPr>
      <w:bookmarkStart w:id="30" w:name="_Toc615"/>
      <w:bookmarkStart w:id="31" w:name="_Toc20234162"/>
      <w:r>
        <w:rPr>
          <w:rFonts w:hint="eastAsia" w:ascii="仿宋" w:hAnsi="仿宋" w:eastAsia="仿宋" w:cs="仿宋"/>
          <w:b/>
          <w:bCs w:val="0"/>
          <w:sz w:val="36"/>
          <w:szCs w:val="32"/>
          <w:highlight w:val="none"/>
          <w:lang w:val="en-US" w:eastAsia="zh-CN"/>
        </w:rPr>
        <w:t xml:space="preserve">第五章 </w:t>
      </w:r>
      <w:r>
        <w:rPr>
          <w:rFonts w:hint="eastAsia" w:ascii="仿宋" w:hAnsi="仿宋" w:eastAsia="仿宋" w:cs="仿宋"/>
          <w:b/>
          <w:bCs w:val="0"/>
          <w:sz w:val="36"/>
          <w:szCs w:val="32"/>
          <w:highlight w:val="none"/>
        </w:rPr>
        <w:t>技术、</w:t>
      </w:r>
      <w:r>
        <w:rPr>
          <w:rFonts w:hint="eastAsia" w:ascii="仿宋" w:hAnsi="仿宋" w:eastAsia="仿宋" w:cs="仿宋"/>
          <w:b/>
          <w:bCs w:val="0"/>
          <w:sz w:val="36"/>
          <w:szCs w:val="32"/>
          <w:highlight w:val="none"/>
          <w:lang w:eastAsia="zh-CN"/>
        </w:rPr>
        <w:t>商务</w:t>
      </w:r>
      <w:r>
        <w:rPr>
          <w:rFonts w:hint="eastAsia" w:ascii="仿宋" w:hAnsi="仿宋" w:eastAsia="仿宋" w:cs="仿宋"/>
          <w:b/>
          <w:bCs w:val="0"/>
          <w:sz w:val="36"/>
          <w:szCs w:val="32"/>
          <w:highlight w:val="none"/>
          <w:lang w:val="en-US" w:eastAsia="zh-CN"/>
        </w:rPr>
        <w:t>及</w:t>
      </w:r>
      <w:r>
        <w:rPr>
          <w:rFonts w:hint="eastAsia" w:ascii="仿宋" w:hAnsi="仿宋" w:eastAsia="仿宋" w:cs="仿宋"/>
          <w:b/>
          <w:bCs w:val="0"/>
          <w:sz w:val="36"/>
          <w:szCs w:val="32"/>
          <w:highlight w:val="none"/>
        </w:rPr>
        <w:t>其他要求</w:t>
      </w:r>
      <w:bookmarkEnd w:id="30"/>
      <w:bookmarkEnd w:id="31"/>
    </w:p>
    <w:p w14:paraId="050EEC30">
      <w:pPr>
        <w:pStyle w:val="7"/>
        <w:snapToGrid w:val="0"/>
        <w:spacing w:line="276" w:lineRule="auto"/>
        <w:ind w:firstLine="480"/>
        <w:rPr>
          <w:rFonts w:hint="eastAsia" w:ascii="仿宋" w:hAnsi="仿宋" w:eastAsia="仿宋" w:cs="仿宋"/>
          <w:b/>
          <w:bCs/>
          <w:kern w:val="44"/>
          <w:sz w:val="24"/>
          <w:highlight w:val="none"/>
        </w:rPr>
      </w:pPr>
    </w:p>
    <w:p w14:paraId="51326287">
      <w:pPr>
        <w:pStyle w:val="29"/>
        <w:keepNext w:val="0"/>
        <w:keepLines w:val="0"/>
        <w:pageBreakBefore w:val="0"/>
        <w:widowControl/>
        <w:kinsoku/>
        <w:wordWrap/>
        <w:overflowPunct/>
        <w:topLinePunct w:val="0"/>
        <w:autoSpaceDE/>
        <w:autoSpaceDN/>
        <w:bidi w:val="0"/>
        <w:adjustRightInd/>
        <w:snapToGrid/>
        <w:spacing w:line="520" w:lineRule="exact"/>
        <w:ind w:firstLine="442" w:firstLineChars="200"/>
        <w:textAlignment w:val="auto"/>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前提：本章中标注“</w:t>
      </w:r>
      <w:r>
        <w:rPr>
          <w:rFonts w:hint="eastAsia" w:ascii="仿宋" w:hAnsi="仿宋" w:eastAsia="仿宋" w:cs="仿宋"/>
          <w:b/>
          <w:bCs/>
          <w:color w:val="auto"/>
          <w:sz w:val="22"/>
          <w:szCs w:val="22"/>
          <w:highlight w:val="none"/>
          <w:lang w:val="en-US" w:eastAsia="zh-CN"/>
        </w:rPr>
        <w:t>★</w:t>
      </w:r>
      <w:r>
        <w:rPr>
          <w:rFonts w:hint="eastAsia" w:ascii="仿宋" w:hAnsi="仿宋" w:eastAsia="仿宋" w:cs="仿宋"/>
          <w:b/>
          <w:bCs/>
          <w:color w:val="auto"/>
          <w:sz w:val="22"/>
          <w:szCs w:val="22"/>
          <w:highlight w:val="none"/>
          <w:lang w:eastAsia="zh-CN"/>
        </w:rPr>
        <w:t>”的条款为实质性</w:t>
      </w:r>
      <w:r>
        <w:rPr>
          <w:rFonts w:hint="eastAsia" w:ascii="仿宋" w:hAnsi="仿宋" w:eastAsia="仿宋" w:cs="仿宋"/>
          <w:b/>
          <w:bCs/>
          <w:color w:val="auto"/>
          <w:sz w:val="22"/>
          <w:szCs w:val="22"/>
          <w:highlight w:val="none"/>
          <w:lang w:val="en-US" w:eastAsia="zh-CN"/>
        </w:rPr>
        <w:t>要求</w:t>
      </w:r>
      <w:r>
        <w:rPr>
          <w:rFonts w:hint="eastAsia" w:ascii="仿宋" w:hAnsi="仿宋" w:eastAsia="仿宋" w:cs="仿宋"/>
          <w:b/>
          <w:bCs/>
          <w:color w:val="auto"/>
          <w:sz w:val="22"/>
          <w:szCs w:val="22"/>
          <w:highlight w:val="none"/>
          <w:lang w:eastAsia="zh-CN"/>
        </w:rPr>
        <w:t>，投标人</w:t>
      </w:r>
      <w:r>
        <w:rPr>
          <w:rFonts w:hint="eastAsia" w:ascii="仿宋" w:hAnsi="仿宋" w:eastAsia="仿宋" w:cs="仿宋"/>
          <w:b/>
          <w:bCs/>
          <w:color w:val="auto"/>
          <w:sz w:val="22"/>
          <w:szCs w:val="22"/>
          <w:highlight w:val="none"/>
          <w:lang w:val="en-US" w:eastAsia="zh-CN"/>
        </w:rPr>
        <w:t>应完全满足，未响应或不满足按无效投标处理。</w:t>
      </w:r>
    </w:p>
    <w:p w14:paraId="11BACEDA">
      <w:pPr>
        <w:autoSpaceDE w:val="0"/>
        <w:autoSpaceDN w:val="0"/>
        <w:spacing w:line="520" w:lineRule="exact"/>
        <w:ind w:firstLine="551" w:firstLineChars="196"/>
        <w:outlineLvl w:val="1"/>
        <w:rPr>
          <w:rFonts w:hint="eastAsia" w:ascii="Times New Roman" w:hAnsi="Times New Roman" w:eastAsia="仿宋" w:cs="Times New Roman"/>
          <w:b/>
          <w:bCs/>
          <w:color w:val="auto"/>
          <w:sz w:val="28"/>
          <w:szCs w:val="24"/>
          <w:highlight w:val="none"/>
          <w:lang w:val="en-US" w:eastAsia="zh-CN"/>
        </w:rPr>
      </w:pPr>
      <w:r>
        <w:rPr>
          <w:rFonts w:hint="eastAsia" w:ascii="Times New Roman" w:hAnsi="Times New Roman" w:eastAsia="仿宋" w:cs="Times New Roman"/>
          <w:b/>
          <w:bCs/>
          <w:color w:val="auto"/>
          <w:sz w:val="28"/>
          <w:szCs w:val="24"/>
          <w:highlight w:val="none"/>
          <w:lang w:val="en-US" w:eastAsia="zh-CN"/>
        </w:rPr>
        <w:t>一、项目概述</w:t>
      </w:r>
    </w:p>
    <w:p w14:paraId="45854F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本项目</w:t>
      </w:r>
      <w:r>
        <w:rPr>
          <w:rFonts w:hint="eastAsia" w:ascii="Times New Roman" w:hAnsi="Times New Roman" w:eastAsia="仿宋" w:cs="Times New Roman"/>
          <w:color w:val="auto"/>
          <w:sz w:val="24"/>
          <w:szCs w:val="24"/>
          <w:highlight w:val="none"/>
          <w:lang w:val="en-US" w:eastAsia="zh-CN"/>
        </w:rPr>
        <w:t>共计1个采购包，拟确定中标人1名</w:t>
      </w:r>
      <w:r>
        <w:rPr>
          <w:rFonts w:hint="eastAsia" w:ascii="Times New Roman" w:hAnsi="Times New Roman" w:eastAsia="仿宋" w:cs="Times New Roman"/>
          <w:color w:val="auto"/>
          <w:sz w:val="24"/>
          <w:szCs w:val="24"/>
          <w:highlight w:val="none"/>
          <w:lang w:eastAsia="zh-CN"/>
        </w:rPr>
        <w:t>。</w:t>
      </w:r>
    </w:p>
    <w:p w14:paraId="6DF266B8">
      <w:pPr>
        <w:autoSpaceDE w:val="0"/>
        <w:autoSpaceDN w:val="0"/>
        <w:spacing w:line="520" w:lineRule="exact"/>
        <w:ind w:firstLine="551" w:firstLineChars="196"/>
        <w:outlineLvl w:val="1"/>
        <w:rPr>
          <w:rFonts w:hint="eastAsia" w:ascii="Times New Roman" w:hAnsi="Times New Roman" w:eastAsia="仿宋" w:cs="Times New Roman"/>
          <w:b/>
          <w:bCs/>
          <w:sz w:val="28"/>
          <w:szCs w:val="24"/>
          <w:highlight w:val="none"/>
          <w:lang w:val="en-US" w:eastAsia="zh-CN"/>
        </w:rPr>
      </w:pPr>
      <w:r>
        <w:rPr>
          <w:rFonts w:hint="eastAsia" w:ascii="Times New Roman" w:hAnsi="Times New Roman" w:eastAsia="仿宋" w:cs="Times New Roman"/>
          <w:b/>
          <w:bCs/>
          <w:sz w:val="28"/>
          <w:szCs w:val="24"/>
          <w:highlight w:val="none"/>
          <w:lang w:val="en-US" w:eastAsia="zh-CN"/>
        </w:rPr>
        <w:t>二</w:t>
      </w:r>
      <w:r>
        <w:rPr>
          <w:rFonts w:hint="eastAsia" w:ascii="Times New Roman" w:hAnsi="Times New Roman" w:eastAsia="仿宋" w:cs="Times New Roman"/>
          <w:b/>
          <w:bCs/>
          <w:sz w:val="28"/>
          <w:szCs w:val="24"/>
          <w:highlight w:val="none"/>
          <w:lang w:val="zh-CN" w:eastAsia="zh-CN"/>
        </w:rPr>
        <w:t>、服务内容</w:t>
      </w:r>
    </w:p>
    <w:tbl>
      <w:tblPr>
        <w:tblStyle w:val="21"/>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353"/>
        <w:gridCol w:w="6907"/>
      </w:tblGrid>
      <w:tr w14:paraId="45B0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389" w:type="pct"/>
            <w:tcBorders>
              <w:top w:val="single" w:color="auto" w:sz="4" w:space="0"/>
              <w:left w:val="single" w:color="auto" w:sz="4" w:space="0"/>
              <w:bottom w:val="single" w:color="auto" w:sz="4" w:space="0"/>
              <w:right w:val="single" w:color="auto" w:sz="4" w:space="0"/>
            </w:tcBorders>
            <w:noWrap w:val="0"/>
            <w:vAlign w:val="center"/>
          </w:tcPr>
          <w:p w14:paraId="01E691C8">
            <w:pPr>
              <w:tabs>
                <w:tab w:val="left" w:pos="0"/>
              </w:tabs>
              <w:adjustRightInd w:val="0"/>
              <w:snapToGrid w:val="0"/>
              <w:spacing w:line="360" w:lineRule="exact"/>
              <w:jc w:val="center"/>
              <w:rPr>
                <w:rFonts w:hint="eastAsia" w:ascii="仿宋" w:hAnsi="仿宋" w:eastAsia="仿宋" w:cs="仿宋"/>
                <w:b/>
                <w:bCs/>
                <w:color w:val="auto"/>
                <w:sz w:val="21"/>
                <w:szCs w:val="21"/>
                <w:highlight w:val="none"/>
              </w:rPr>
            </w:pPr>
            <w:bookmarkStart w:id="32" w:name="_Hlk115440739"/>
            <w:r>
              <w:rPr>
                <w:rFonts w:hint="eastAsia" w:ascii="仿宋" w:hAnsi="仿宋" w:eastAsia="仿宋" w:cs="仿宋"/>
                <w:b/>
                <w:bCs/>
                <w:color w:val="auto"/>
                <w:sz w:val="21"/>
                <w:szCs w:val="21"/>
                <w:highlight w:val="none"/>
              </w:rPr>
              <w:t>序号</w:t>
            </w:r>
          </w:p>
        </w:tc>
        <w:tc>
          <w:tcPr>
            <w:tcW w:w="755" w:type="pct"/>
            <w:tcBorders>
              <w:top w:val="single" w:color="auto" w:sz="4" w:space="0"/>
              <w:left w:val="single" w:color="auto" w:sz="4" w:space="0"/>
              <w:bottom w:val="single" w:color="auto" w:sz="4" w:space="0"/>
              <w:right w:val="single" w:color="auto" w:sz="4" w:space="0"/>
            </w:tcBorders>
            <w:noWrap w:val="0"/>
            <w:vAlign w:val="center"/>
          </w:tcPr>
          <w:p w14:paraId="2CFA414E">
            <w:pPr>
              <w:tabs>
                <w:tab w:val="left" w:pos="0"/>
              </w:tabs>
              <w:adjustRightInd w:val="0"/>
              <w:snapToGrid w:val="0"/>
              <w:spacing w:line="360" w:lineRule="exact"/>
              <w:jc w:val="center"/>
              <w:rPr>
                <w:rFonts w:hint="eastAsia" w:ascii="仿宋" w:hAnsi="仿宋" w:eastAsia="仿宋" w:cs="仿宋"/>
                <w:b/>
                <w:bCs/>
                <w:color w:val="auto"/>
                <w:sz w:val="21"/>
                <w:szCs w:val="21"/>
                <w:highlight w:val="none"/>
              </w:rPr>
            </w:pPr>
            <w:r>
              <w:rPr>
                <w:rFonts w:hint="eastAsia" w:ascii="仿宋" w:hAnsi="仿宋" w:eastAsia="仿宋" w:cs="仿宋"/>
                <w:b/>
                <w:color w:val="auto"/>
                <w:sz w:val="21"/>
                <w:szCs w:val="21"/>
                <w:highlight w:val="none"/>
              </w:rPr>
              <w:t>标的名称</w:t>
            </w:r>
          </w:p>
        </w:tc>
        <w:tc>
          <w:tcPr>
            <w:tcW w:w="3855" w:type="pct"/>
            <w:tcBorders>
              <w:top w:val="single" w:color="auto" w:sz="4" w:space="0"/>
              <w:left w:val="single" w:color="auto" w:sz="4" w:space="0"/>
              <w:bottom w:val="single" w:color="auto" w:sz="4" w:space="0"/>
              <w:right w:val="single" w:color="auto" w:sz="4" w:space="0"/>
            </w:tcBorders>
            <w:noWrap w:val="0"/>
            <w:vAlign w:val="center"/>
          </w:tcPr>
          <w:p w14:paraId="764E0F63">
            <w:pPr>
              <w:tabs>
                <w:tab w:val="left" w:pos="0"/>
              </w:tabs>
              <w:adjustRightInd w:val="0"/>
              <w:snapToGrid w:val="0"/>
              <w:spacing w:line="36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技术参数及功能要求</w:t>
            </w:r>
          </w:p>
        </w:tc>
      </w:tr>
      <w:tr w14:paraId="5C86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9" w:hRule="atLeast"/>
          <w:jc w:val="center"/>
        </w:trPr>
        <w:tc>
          <w:tcPr>
            <w:tcW w:w="389" w:type="pct"/>
            <w:tcBorders>
              <w:top w:val="single" w:color="auto" w:sz="4" w:space="0"/>
              <w:left w:val="single" w:color="auto" w:sz="4" w:space="0"/>
              <w:bottom w:val="single" w:color="auto" w:sz="4" w:space="0"/>
              <w:right w:val="single" w:color="auto" w:sz="4" w:space="0"/>
            </w:tcBorders>
            <w:noWrap w:val="0"/>
            <w:vAlign w:val="center"/>
          </w:tcPr>
          <w:p w14:paraId="4008DEAC">
            <w:pPr>
              <w:tabs>
                <w:tab w:val="left" w:pos="0"/>
              </w:tabs>
              <w:adjustRightInd w:val="0"/>
              <w:snapToGrid w:val="0"/>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755" w:type="pct"/>
            <w:tcBorders>
              <w:top w:val="single" w:color="auto" w:sz="4" w:space="0"/>
              <w:left w:val="single" w:color="auto" w:sz="4" w:space="0"/>
              <w:bottom w:val="single" w:color="auto" w:sz="4" w:space="0"/>
              <w:right w:val="single" w:color="auto" w:sz="4" w:space="0"/>
            </w:tcBorders>
            <w:noWrap w:val="0"/>
            <w:vAlign w:val="center"/>
          </w:tcPr>
          <w:p w14:paraId="480EE8F0">
            <w:pPr>
              <w:tabs>
                <w:tab w:val="left" w:pos="0"/>
              </w:tabs>
              <w:adjustRightInd w:val="0"/>
              <w:snapToGrid w:val="0"/>
              <w:spacing w:line="36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成都市技师学院（成都工贸职业技术学院）高端装备制造生产性实训基地教学资源开发项目</w:t>
            </w:r>
          </w:p>
        </w:tc>
        <w:tc>
          <w:tcPr>
            <w:tcW w:w="3855" w:type="pct"/>
            <w:tcBorders>
              <w:top w:val="single" w:color="auto" w:sz="4" w:space="0"/>
              <w:left w:val="single" w:color="auto" w:sz="4" w:space="0"/>
              <w:bottom w:val="single" w:color="auto" w:sz="4" w:space="0"/>
              <w:right w:val="single" w:color="auto" w:sz="4" w:space="0"/>
            </w:tcBorders>
            <w:noWrap w:val="0"/>
            <w:vAlign w:val="center"/>
          </w:tcPr>
          <w:p w14:paraId="243348D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bCs w:val="0"/>
                <w:i w:val="0"/>
                <w:iCs w:val="0"/>
                <w:color w:val="auto"/>
                <w:sz w:val="21"/>
                <w:szCs w:val="21"/>
                <w:highlight w:val="none"/>
                <w:lang w:val="en-US" w:eastAsia="zh-CN"/>
              </w:rPr>
            </w:pPr>
            <w:r>
              <w:rPr>
                <w:rFonts w:hint="eastAsia" w:ascii="仿宋" w:hAnsi="仿宋" w:eastAsia="仿宋" w:cs="仿宋"/>
                <w:b/>
                <w:bCs w:val="0"/>
                <w:i w:val="0"/>
                <w:iCs w:val="0"/>
                <w:color w:val="auto"/>
                <w:sz w:val="21"/>
                <w:szCs w:val="21"/>
                <w:highlight w:val="none"/>
                <w:lang w:val="en-US" w:eastAsia="zh-CN"/>
              </w:rPr>
              <w:t>数控车铣实训指导教学资源电子文档</w:t>
            </w:r>
          </w:p>
          <w:p w14:paraId="0F9D63F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kern w:val="2"/>
                <w:sz w:val="21"/>
                <w:szCs w:val="21"/>
                <w:highlight w:val="none"/>
                <w:lang w:val="en-US" w:eastAsia="zh-CN" w:bidi="ar-SA"/>
              </w:rPr>
              <w:t>1.</w:t>
            </w:r>
            <w:r>
              <w:rPr>
                <w:rFonts w:hint="eastAsia" w:ascii="仿宋" w:hAnsi="仿宋" w:eastAsia="仿宋" w:cs="仿宋"/>
                <w:b w:val="0"/>
                <w:bCs/>
                <w:i w:val="0"/>
                <w:iCs w:val="0"/>
                <w:color w:val="auto"/>
                <w:sz w:val="21"/>
                <w:szCs w:val="21"/>
                <w:highlight w:val="none"/>
                <w:lang w:val="en-US" w:eastAsia="zh-CN"/>
              </w:rPr>
              <w:t>提供≥21个项目的实训指导书电子文档，包括项目名称、实训目的、设备和工具、学习内容、实训步骤等内容。</w:t>
            </w:r>
          </w:p>
          <w:p w14:paraId="35E12699">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2.提供≥3项教学课件，包含数控车削与数控铣削基础知识、数控车削与数控铣削零件的工艺设计和编程加工案例。</w:t>
            </w:r>
          </w:p>
          <w:p w14:paraId="545DB6B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3.提供≥1项数控车铣人才培养方案，包含职业分析、能力导向、国家职业标准、数控加工技能训练、典型零件加工、双证书制度、教学指导思想等7个具体内容，支持数控加工技术课程教学使用。</w:t>
            </w:r>
          </w:p>
          <w:p w14:paraId="5E26106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 xml:space="preserve">4.提供≥1项数控机床零件加工图纸电子文档，包括平面的编程加工、圆弧槽的编程与加工、外轮廓的编程与加工、型腔的编程加工、通孔的编程加工等6类加工图纸。 </w:t>
            </w:r>
          </w:p>
          <w:p w14:paraId="53E77C6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 xml:space="preserve">5.提供1套生产劳动纪律及安全生产教育培训方案电子文档。 </w:t>
            </w:r>
          </w:p>
          <w:p w14:paraId="621C859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6.提供≥9项的数控车削加工的实训指导书教学资源电子文档</w:t>
            </w:r>
            <w:r>
              <w:rPr>
                <w:rFonts w:hint="eastAsia" w:ascii="仿宋" w:hAnsi="仿宋" w:eastAsia="仿宋" w:cs="仿宋"/>
                <w:b w:val="0"/>
                <w:bCs/>
                <w:i w:val="0"/>
                <w:iCs w:val="0"/>
                <w:color w:val="auto"/>
                <w:sz w:val="21"/>
                <w:szCs w:val="21"/>
                <w:highlight w:val="none"/>
                <w:lang w:val="en-US" w:eastAsia="zh-CN"/>
              </w:rPr>
              <w:tab/>
            </w:r>
          </w:p>
          <w:p w14:paraId="6ECDD66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7.提供≥10项数控铣削加工的实训指导书教学资源电子文档</w:t>
            </w:r>
          </w:p>
          <w:p w14:paraId="13A6D35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 w:hAnsi="仿宋" w:eastAsia="仿宋" w:cs="仿宋"/>
                <w:b/>
                <w:bCs w:val="0"/>
                <w:i w:val="0"/>
                <w:iCs w:val="0"/>
                <w:color w:val="auto"/>
                <w:sz w:val="21"/>
                <w:szCs w:val="21"/>
                <w:highlight w:val="none"/>
                <w:lang w:val="en-US" w:eastAsia="zh-CN"/>
              </w:rPr>
            </w:pPr>
            <w:r>
              <w:rPr>
                <w:rFonts w:hint="eastAsia" w:ascii="仿宋" w:hAnsi="仿宋" w:eastAsia="仿宋" w:cs="仿宋"/>
                <w:b/>
                <w:bCs w:val="0"/>
                <w:i w:val="0"/>
                <w:iCs w:val="0"/>
                <w:color w:val="auto"/>
                <w:sz w:val="21"/>
                <w:szCs w:val="21"/>
                <w:highlight w:val="none"/>
                <w:lang w:val="en-US" w:eastAsia="zh-CN"/>
              </w:rPr>
              <w:t>自动化生产工位教学资源课件培训</w:t>
            </w:r>
          </w:p>
          <w:p w14:paraId="707A778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8.提供1项仿真平台培训课件：使用虚拟仿真软件平台开发时提供语言简便、通俗易懂编辑界面，表格中填写的功能语言全部汉化，整个表格所需填写的列数不超过9列，并且区分对象列、触发列、状态列、响应列等4个类型。（提供功能截图）</w:t>
            </w:r>
          </w:p>
          <w:p w14:paraId="7C20B58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▲9.提供1项自动化生产工位的知识训练培训方案：每个试验在操作过程中，具有“教”、“练”、“考”3个功能，可支持对学生操作痕迹及考核成绩进行记录并上传至仿真平台。（提供功能截图）</w:t>
            </w:r>
          </w:p>
          <w:p w14:paraId="5DBBF1A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10.提供1项交互微课制作的热点拓展功能培训方案：给场景中出现的道具或者涉及到的知识点增加知识拓展功能，学生可以学习与此相关的知识；也可拓展与该知识点相关的全媒体素材，如3D模型、360全景、视频、图片等4个全媒体素材。（提供功能截图）</w:t>
            </w:r>
          </w:p>
          <w:p w14:paraId="33A8014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▲11.提供1项交互微课制作的知识考核功能培训方案：在剧情/事件切换时出现知识考核，选择包含单选、多选两种题型。（提供功能截图）</w:t>
            </w:r>
          </w:p>
          <w:p w14:paraId="7DCB42F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●12.提供1项交互微课制作的添加分支功能培训，即在上一段剧情媒体播放完后，提供编辑界面，用户可在编辑界面内输入剧情分支提问，及相应的可供用户选择的选项；（提供现场功能演示）</w:t>
            </w:r>
          </w:p>
          <w:p w14:paraId="06F3785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▲13.提供1项设备模型库的编辑显示界面功能培训方案，包括但不限于：我的草稿箱、场景、模型3个模块；支持平移、旋转、缩放等3个画面交互设置，控制场景中三维模型的查看。（提供功能截图）</w:t>
            </w:r>
          </w:p>
          <w:p w14:paraId="097ECBE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14.提供1项实训项目的学习数据大数据面板培训方案，提供近七天学习人次折线图、总学习人数、今日学习人数、当前在线人数、累计学习人次、平均在线时长以及最高同时在线人数等7个累计学习人次功能。（提供功能证明截图）</w:t>
            </w:r>
          </w:p>
          <w:p w14:paraId="2AEC6AB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●15.提供1项交互微课制作的项目管理-编辑项目功能培训方案：提供包括更换封面、项目名称、项目描述、项目标签、分享到作品指定发布平台及保存项目信息等6个教学功能。（提供现场功能演示）</w:t>
            </w:r>
          </w:p>
          <w:p w14:paraId="6C83355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★16.设备介绍:提供≥7类设备模型拓展资源，包含但不限于串联机器人、RV减速机、并联机器人、谐波减速机、加工中心、主轴、数控车床等7个设备简介；且附有图片、文字、语音等拓展资源信息。</w:t>
            </w:r>
          </w:p>
          <w:p w14:paraId="550130F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●17.提供1项串联机器人虚拟仿真实训模块。</w:t>
            </w:r>
          </w:p>
          <w:p w14:paraId="4E02682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通过点击设备拆解进入串联机器人零部件拆解界面，根据提示将部件放于室内固定位置；通过点击设备组装进入串联机器人零部件组装界面，根据提示将部件从室内位置放于设备刚亮显示处进行组装操作。（提供现场功能演示）</w:t>
            </w:r>
          </w:p>
          <w:p w14:paraId="02D05E7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●18.提供1项数控车床虚拟仿真实训模块。</w:t>
            </w:r>
          </w:p>
          <w:p w14:paraId="3CF685A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通过点击一键爆炸进入数控车床零部件爆炸图界面，支持设备自动拆装并悬浮于三维空间；提供包含设备介绍、隐藏、隐藏其他、透视、透视其他等5个功能；三维界面支持平移、旋转、缩放等3个功能。（提供现场功能演示）</w:t>
            </w:r>
          </w:p>
          <w:p w14:paraId="23434F4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 w:hAnsi="仿宋" w:eastAsia="仿宋" w:cs="仿宋"/>
                <w:b/>
                <w:bCs w:val="0"/>
                <w:i w:val="0"/>
                <w:iCs w:val="0"/>
                <w:color w:val="auto"/>
                <w:sz w:val="21"/>
                <w:szCs w:val="21"/>
                <w:highlight w:val="none"/>
                <w:lang w:val="en-US" w:eastAsia="zh-CN"/>
              </w:rPr>
            </w:pPr>
            <w:r>
              <w:rPr>
                <w:rFonts w:hint="eastAsia" w:ascii="仿宋" w:hAnsi="仿宋" w:eastAsia="仿宋" w:cs="仿宋"/>
                <w:b/>
                <w:bCs w:val="0"/>
                <w:i w:val="0"/>
                <w:iCs w:val="0"/>
                <w:color w:val="auto"/>
                <w:sz w:val="21"/>
                <w:szCs w:val="21"/>
                <w:highlight w:val="none"/>
                <w:lang w:val="en-US" w:eastAsia="zh-CN"/>
              </w:rPr>
              <w:t>方程式赛车、玩具设计竞赛训练实训项目培训</w:t>
            </w:r>
          </w:p>
          <w:p w14:paraId="4531048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19.开发方程式赛车、玩具设计竞赛训练实训教学方案2个</w:t>
            </w:r>
          </w:p>
          <w:p w14:paraId="6EDEEE2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20.提供1项分享功能培训方案：支持将项目发布为普通产品链接，提供通过链接进入制作完成的交互式媒体产品；支持将项目发布为接入指定项目管理学习平台链接，提供通过指定项目管理学习平台启动产品。（提供现场功能演示）</w:t>
            </w:r>
          </w:p>
          <w:p w14:paraId="27CFB4C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21.提供≥10项实训资源教学方案，主要包括熟悉犀牛软件的功能命令；犀牛软件的基本界面方法；能熟练安装犀牛软件；能明确软件的功能用途；熟悉犀牛软件的旋转拉伸命令，通过命令简单设计出苹果外形；熟悉掌握犀牛软件的曲线控制，通过命令简单设计出鸭梨的外形；熟悉掌握犀牛软件的曲线控制旋转和布尔命令，通过命令简单设计日常生活用品。</w:t>
            </w:r>
          </w:p>
          <w:p w14:paraId="6137736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22.提供≥10项竞赛训练实训内容培训方案：犀牛软件的安装与基本操作、水果造型设计、儿童玩具水果造型设计与渲染、日常生活用品设计、儿童玩具设计与创意、艺术品的简单设计、艺术品的创意设计、办公用品水瓶、笔筒的设计与创意、家居的创意设计等。</w:t>
            </w:r>
          </w:p>
          <w:p w14:paraId="4A154FB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 w:hAnsi="仿宋" w:eastAsia="仿宋" w:cs="仿宋"/>
                <w:b/>
                <w:bCs w:val="0"/>
                <w:i w:val="0"/>
                <w:iCs w:val="0"/>
                <w:color w:val="auto"/>
                <w:sz w:val="21"/>
                <w:szCs w:val="21"/>
                <w:highlight w:val="none"/>
                <w:lang w:val="en-US" w:eastAsia="zh-CN"/>
              </w:rPr>
            </w:pPr>
            <w:r>
              <w:rPr>
                <w:rFonts w:hint="eastAsia" w:ascii="仿宋" w:hAnsi="仿宋" w:eastAsia="仿宋" w:cs="仿宋"/>
                <w:b/>
                <w:bCs w:val="0"/>
                <w:i w:val="0"/>
                <w:iCs w:val="0"/>
                <w:color w:val="auto"/>
                <w:sz w:val="21"/>
                <w:szCs w:val="21"/>
                <w:highlight w:val="none"/>
                <w:lang w:val="en-US" w:eastAsia="zh-CN"/>
              </w:rPr>
              <w:t>本科高校职业技能培训</w:t>
            </w:r>
          </w:p>
          <w:p w14:paraId="167CB87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23.提供职业技能现场培训</w:t>
            </w:r>
          </w:p>
          <w:p w14:paraId="07ABAE1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培训需要进行学时制培训，每个学时为45分钟，每天不超过8个学时，其中实际操作技能训练不得少于总学时的60%。每个培训时间段分别考勤，做好考勤记录。</w:t>
            </w:r>
          </w:p>
          <w:p w14:paraId="324C03E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培训天数：根据实际培训内容进行根据学员的掌握情况和反馈进行灵活调整，确保每位学员都能充分吸收知识，培训时间≥三天。</w:t>
            </w:r>
          </w:p>
          <w:p w14:paraId="5E91AE6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24.制定≥1套培训安全应急预案，确保学生在校期间学习、生活安全。负责学生培训结束后结业考试组织与实施。</w:t>
            </w:r>
          </w:p>
          <w:p w14:paraId="38583E6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25.培训内容根据培训学生的专业背景确定，提供≥8类工种技能培训，包括数控车，数控铣，加工中心，焊接，3D打印，钳工，数控机床电气装调维修、中望软件培训等工种技能现场培训。</w:t>
            </w:r>
          </w:p>
          <w:p w14:paraId="2A761AD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26.培训考核：培训结业时进行考核，合格率要保证在90%以上，并给予考试合格的学生颁发技能证书。</w:t>
            </w:r>
          </w:p>
          <w:p w14:paraId="7139719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27.配备讲师基本情况</w:t>
            </w:r>
          </w:p>
          <w:p w14:paraId="6B2678C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学历背景：讲师应具备机械工程、车辆工程或相关领域博士及以上的高等学位。</w:t>
            </w:r>
          </w:p>
          <w:p w14:paraId="090DFBA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sz w:val="21"/>
                <w:szCs w:val="21"/>
                <w:highlight w:val="none"/>
                <w:lang w:val="en-US" w:eastAsia="zh-CN"/>
              </w:rPr>
            </w:pPr>
            <w:r>
              <w:rPr>
                <w:rFonts w:hint="eastAsia" w:ascii="仿宋" w:hAnsi="仿宋" w:eastAsia="仿宋" w:cs="仿宋"/>
                <w:b w:val="0"/>
                <w:bCs/>
                <w:i w:val="0"/>
                <w:iCs w:val="0"/>
                <w:color w:val="auto"/>
                <w:sz w:val="21"/>
                <w:szCs w:val="21"/>
                <w:highlight w:val="none"/>
                <w:lang w:val="en-US" w:eastAsia="zh-CN"/>
              </w:rPr>
              <w:t>行业经验：具有至少三年以上的相关行业实践经验，能够结合实际工作案例进行教学。</w:t>
            </w:r>
          </w:p>
          <w:p w14:paraId="1E9DE3A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i w:val="0"/>
                <w:iCs w:val="0"/>
                <w:color w:val="auto"/>
                <w:kern w:val="2"/>
                <w:sz w:val="21"/>
                <w:szCs w:val="21"/>
                <w:highlight w:val="none"/>
                <w:lang w:val="en-US" w:eastAsia="zh-CN" w:bidi="ar-SA"/>
              </w:rPr>
            </w:pPr>
            <w:r>
              <w:rPr>
                <w:rFonts w:hint="eastAsia" w:ascii="仿宋" w:hAnsi="仿宋" w:eastAsia="仿宋" w:cs="仿宋"/>
                <w:b w:val="0"/>
                <w:bCs/>
                <w:i w:val="0"/>
                <w:iCs w:val="0"/>
                <w:color w:val="auto"/>
                <w:sz w:val="21"/>
                <w:szCs w:val="21"/>
                <w:highlight w:val="none"/>
                <w:lang w:val="en-US" w:eastAsia="zh-CN"/>
              </w:rPr>
              <w:t>★28.协助甲方为本科高校开展职业技能培训≥130人次。</w:t>
            </w:r>
          </w:p>
        </w:tc>
      </w:tr>
      <w:bookmarkEnd w:id="32"/>
    </w:tbl>
    <w:p w14:paraId="1AEE8C42">
      <w:pPr>
        <w:autoSpaceDE w:val="0"/>
        <w:autoSpaceDN w:val="0"/>
        <w:spacing w:line="520" w:lineRule="exact"/>
        <w:ind w:firstLine="551" w:firstLineChars="196"/>
        <w:outlineLvl w:val="1"/>
        <w:rPr>
          <w:rFonts w:hint="default" w:ascii="Times New Roman" w:hAnsi="Times New Roman" w:eastAsia="仿宋" w:cs="Times New Roman"/>
          <w:b/>
          <w:bCs/>
          <w:sz w:val="28"/>
          <w:szCs w:val="24"/>
          <w:highlight w:val="none"/>
          <w:lang w:val="en-US" w:eastAsia="zh-CN"/>
        </w:rPr>
      </w:pPr>
      <w:r>
        <w:rPr>
          <w:rFonts w:hint="eastAsia" w:eastAsia="仿宋" w:cs="Times New Roman"/>
          <w:b/>
          <w:bCs/>
          <w:sz w:val="28"/>
          <w:szCs w:val="24"/>
          <w:highlight w:val="none"/>
          <w:lang w:val="en-US" w:eastAsia="zh-CN"/>
        </w:rPr>
        <w:t>三</w:t>
      </w:r>
      <w:r>
        <w:rPr>
          <w:rFonts w:hint="eastAsia" w:ascii="Times New Roman" w:hAnsi="Times New Roman" w:eastAsia="仿宋" w:cs="Times New Roman"/>
          <w:b/>
          <w:bCs/>
          <w:sz w:val="28"/>
          <w:szCs w:val="24"/>
          <w:highlight w:val="none"/>
          <w:lang w:val="zh-CN" w:eastAsia="zh-CN"/>
        </w:rPr>
        <w:t>、商务要求（</w:t>
      </w:r>
      <w:r>
        <w:rPr>
          <w:rFonts w:hint="eastAsia" w:ascii="Times New Roman" w:hAnsi="Times New Roman" w:eastAsia="仿宋" w:cs="Times New Roman"/>
          <w:b/>
          <w:bCs/>
          <w:sz w:val="28"/>
          <w:szCs w:val="24"/>
          <w:highlight w:val="none"/>
          <w:lang w:val="en-US" w:eastAsia="zh-CN"/>
        </w:rPr>
        <w:t>实质性要求）</w:t>
      </w:r>
    </w:p>
    <w:tbl>
      <w:tblPr>
        <w:tblStyle w:val="21"/>
        <w:tblW w:w="495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556"/>
        <w:gridCol w:w="1787"/>
        <w:gridCol w:w="6563"/>
      </w:tblGrid>
      <w:tr w14:paraId="099D0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8" w:hRule="atLeast"/>
          <w:jc w:val="center"/>
        </w:trPr>
        <w:tc>
          <w:tcPr>
            <w:tcW w:w="312" w:type="pct"/>
            <w:vAlign w:val="center"/>
          </w:tcPr>
          <w:p w14:paraId="72FE4E6F">
            <w:pPr>
              <w:pStyle w:val="39"/>
              <w:spacing w:line="300" w:lineRule="auto"/>
              <w:jc w:val="center"/>
              <w:rPr>
                <w:rFonts w:ascii="Times New Roman" w:hAnsi="Times New Roman" w:eastAsia="仿宋" w:cs="Times New Roman"/>
                <w:b/>
                <w:sz w:val="22"/>
                <w:szCs w:val="22"/>
                <w:highlight w:val="none"/>
                <w:lang w:val="zh-CN"/>
              </w:rPr>
            </w:pPr>
            <w:r>
              <w:rPr>
                <w:rFonts w:ascii="Times New Roman" w:hAnsi="Times New Roman" w:eastAsia="仿宋" w:cs="Times New Roman"/>
                <w:b/>
                <w:sz w:val="22"/>
                <w:szCs w:val="22"/>
                <w:highlight w:val="none"/>
                <w:lang w:val="zh-CN"/>
              </w:rPr>
              <w:t>序号</w:t>
            </w:r>
          </w:p>
        </w:tc>
        <w:tc>
          <w:tcPr>
            <w:tcW w:w="1003" w:type="pct"/>
            <w:vAlign w:val="center"/>
          </w:tcPr>
          <w:p w14:paraId="4D0A5C03">
            <w:pPr>
              <w:pStyle w:val="39"/>
              <w:spacing w:line="300" w:lineRule="auto"/>
              <w:jc w:val="center"/>
              <w:rPr>
                <w:rFonts w:ascii="Times New Roman" w:hAnsi="Times New Roman" w:eastAsia="仿宋" w:cs="Times New Roman"/>
                <w:b/>
                <w:sz w:val="22"/>
                <w:szCs w:val="22"/>
                <w:highlight w:val="none"/>
                <w:lang w:val="zh-CN"/>
              </w:rPr>
            </w:pPr>
            <w:r>
              <w:rPr>
                <w:rFonts w:ascii="Times New Roman" w:hAnsi="Times New Roman" w:eastAsia="仿宋" w:cs="Times New Roman"/>
                <w:b/>
                <w:sz w:val="22"/>
                <w:szCs w:val="22"/>
                <w:highlight w:val="none"/>
                <w:lang w:val="zh-CN"/>
              </w:rPr>
              <w:t>内容</w:t>
            </w:r>
          </w:p>
        </w:tc>
        <w:tc>
          <w:tcPr>
            <w:tcW w:w="3684" w:type="pct"/>
            <w:vAlign w:val="center"/>
          </w:tcPr>
          <w:p w14:paraId="0B967799">
            <w:pPr>
              <w:pStyle w:val="39"/>
              <w:spacing w:line="300" w:lineRule="auto"/>
              <w:ind w:left="210" w:leftChars="100"/>
              <w:jc w:val="center"/>
              <w:rPr>
                <w:rFonts w:ascii="Times New Roman" w:hAnsi="Times New Roman" w:eastAsia="仿宋" w:cs="Times New Roman"/>
                <w:b/>
                <w:sz w:val="22"/>
                <w:szCs w:val="22"/>
                <w:highlight w:val="none"/>
                <w:lang w:val="zh-CN"/>
              </w:rPr>
            </w:pPr>
            <w:r>
              <w:rPr>
                <w:rFonts w:ascii="Times New Roman" w:hAnsi="Times New Roman" w:eastAsia="仿宋" w:cs="Times New Roman"/>
                <w:b/>
                <w:sz w:val="22"/>
                <w:szCs w:val="22"/>
                <w:highlight w:val="none"/>
                <w:lang w:val="zh-CN"/>
              </w:rPr>
              <w:t>要求</w:t>
            </w:r>
          </w:p>
        </w:tc>
      </w:tr>
      <w:tr w14:paraId="0CAC0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83" w:hRule="atLeast"/>
          <w:jc w:val="center"/>
        </w:trPr>
        <w:tc>
          <w:tcPr>
            <w:tcW w:w="312" w:type="pct"/>
            <w:vAlign w:val="center"/>
          </w:tcPr>
          <w:p w14:paraId="2BDD8B82">
            <w:pPr>
              <w:pStyle w:val="39"/>
              <w:spacing w:line="300" w:lineRule="auto"/>
              <w:jc w:val="center"/>
              <w:rPr>
                <w:rFonts w:ascii="Times New Roman" w:hAnsi="Times New Roman" w:eastAsia="仿宋" w:cs="Times New Roman"/>
                <w:b w:val="0"/>
                <w:bCs w:val="0"/>
                <w:sz w:val="22"/>
                <w:szCs w:val="22"/>
                <w:highlight w:val="none"/>
                <w:lang w:val="zh-CN"/>
              </w:rPr>
            </w:pPr>
            <w:r>
              <w:rPr>
                <w:rFonts w:ascii="Times New Roman" w:hAnsi="Times New Roman" w:eastAsia="仿宋" w:cs="Times New Roman"/>
                <w:b w:val="0"/>
                <w:bCs w:val="0"/>
                <w:sz w:val="22"/>
                <w:szCs w:val="22"/>
                <w:highlight w:val="none"/>
                <w:lang w:val="zh-CN"/>
              </w:rPr>
              <w:t>1</w:t>
            </w:r>
          </w:p>
        </w:tc>
        <w:tc>
          <w:tcPr>
            <w:tcW w:w="1003" w:type="pct"/>
            <w:vAlign w:val="center"/>
          </w:tcPr>
          <w:p w14:paraId="0A19C170">
            <w:pPr>
              <w:pStyle w:val="39"/>
              <w:spacing w:line="300" w:lineRule="auto"/>
              <w:jc w:val="center"/>
              <w:rPr>
                <w:rFonts w:hint="default" w:ascii="Times New Roman" w:hAnsi="Times New Roman" w:eastAsia="仿宋" w:cs="Times New Roman"/>
                <w:b w:val="0"/>
                <w:bCs w:val="0"/>
                <w:sz w:val="22"/>
                <w:szCs w:val="22"/>
                <w:highlight w:val="none"/>
                <w:lang w:val="en-US" w:eastAsia="zh-CN"/>
              </w:rPr>
            </w:pPr>
            <w:r>
              <w:rPr>
                <w:rFonts w:hint="eastAsia" w:ascii="Times New Roman" w:hAnsi="Times New Roman" w:eastAsia="仿宋" w:cs="Times New Roman"/>
                <w:b w:val="0"/>
                <w:bCs w:val="0"/>
                <w:sz w:val="22"/>
                <w:szCs w:val="22"/>
                <w:highlight w:val="none"/>
                <w:lang w:val="en-US" w:eastAsia="zh-CN"/>
              </w:rPr>
              <w:t>服务期限</w:t>
            </w:r>
          </w:p>
        </w:tc>
        <w:tc>
          <w:tcPr>
            <w:tcW w:w="3684" w:type="pct"/>
            <w:vAlign w:val="center"/>
          </w:tcPr>
          <w:p w14:paraId="6FB0EBD9">
            <w:pPr>
              <w:adjustRightInd w:val="0"/>
              <w:snapToGrid w:val="0"/>
              <w:spacing w:line="280" w:lineRule="exact"/>
              <w:jc w:val="left"/>
              <w:rPr>
                <w:rFonts w:hint="eastAsia" w:ascii="Times New Roman" w:hAnsi="Times New Roman" w:eastAsia="仿宋" w:cs="Times New Roman"/>
                <w:kern w:val="0"/>
                <w:sz w:val="22"/>
                <w:szCs w:val="22"/>
                <w:highlight w:val="none"/>
                <w:lang w:val="zh-CN" w:eastAsia="zh-CN" w:bidi="ar-SA"/>
              </w:rPr>
            </w:pPr>
            <w:r>
              <w:rPr>
                <w:rFonts w:hint="eastAsia" w:ascii="Times New Roman" w:hAnsi="Times New Roman" w:eastAsia="仿宋" w:cs="Times New Roman"/>
                <w:kern w:val="0"/>
                <w:sz w:val="22"/>
                <w:szCs w:val="22"/>
                <w:highlight w:val="none"/>
                <w:lang w:val="zh-CN" w:eastAsia="zh-CN" w:bidi="ar-SA"/>
              </w:rPr>
              <w:t>1.供货时间：自采购合同签订生效之日起30日内完成本项目所述全部内容。</w:t>
            </w:r>
          </w:p>
          <w:p w14:paraId="38172E63">
            <w:pPr>
              <w:pStyle w:val="39"/>
              <w:spacing w:line="300" w:lineRule="auto"/>
              <w:jc w:val="both"/>
              <w:rPr>
                <w:rFonts w:ascii="Times New Roman" w:hAnsi="Times New Roman" w:eastAsia="仿宋" w:cs="Times New Roman"/>
                <w:sz w:val="22"/>
                <w:szCs w:val="22"/>
                <w:highlight w:val="none"/>
                <w:lang w:val="zh-CN"/>
              </w:rPr>
            </w:pPr>
            <w:r>
              <w:rPr>
                <w:rFonts w:hint="eastAsia" w:ascii="Times New Roman" w:hAnsi="Times New Roman" w:eastAsia="仿宋" w:cs="Times New Roman"/>
                <w:kern w:val="0"/>
                <w:sz w:val="22"/>
                <w:szCs w:val="22"/>
                <w:highlight w:val="none"/>
                <w:lang w:val="zh-CN" w:eastAsia="zh-CN" w:bidi="ar-SA"/>
              </w:rPr>
              <w:t>2.售后服务时间：投标人提供365个日历天的售后服务，售后服务期的起始日期为招标人现场设备验收合格之日起开始计算。</w:t>
            </w:r>
          </w:p>
        </w:tc>
      </w:tr>
      <w:tr w14:paraId="1DC24F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3" w:hRule="atLeast"/>
          <w:jc w:val="center"/>
        </w:trPr>
        <w:tc>
          <w:tcPr>
            <w:tcW w:w="312" w:type="pct"/>
            <w:vAlign w:val="center"/>
          </w:tcPr>
          <w:p w14:paraId="7A5BA853">
            <w:pPr>
              <w:pStyle w:val="39"/>
              <w:spacing w:line="300" w:lineRule="auto"/>
              <w:jc w:val="center"/>
              <w:rPr>
                <w:rFonts w:ascii="Times New Roman" w:hAnsi="Times New Roman" w:eastAsia="仿宋" w:cs="Times New Roman"/>
                <w:b w:val="0"/>
                <w:bCs w:val="0"/>
                <w:sz w:val="22"/>
                <w:szCs w:val="22"/>
                <w:highlight w:val="none"/>
                <w:lang w:val="zh-CN"/>
              </w:rPr>
            </w:pPr>
            <w:r>
              <w:rPr>
                <w:rFonts w:ascii="Times New Roman" w:hAnsi="Times New Roman" w:eastAsia="仿宋" w:cs="Times New Roman"/>
                <w:b w:val="0"/>
                <w:bCs w:val="0"/>
                <w:sz w:val="22"/>
                <w:szCs w:val="22"/>
                <w:highlight w:val="none"/>
                <w:lang w:val="zh-CN"/>
              </w:rPr>
              <w:t>2</w:t>
            </w:r>
          </w:p>
        </w:tc>
        <w:tc>
          <w:tcPr>
            <w:tcW w:w="1003" w:type="pct"/>
            <w:vAlign w:val="center"/>
          </w:tcPr>
          <w:p w14:paraId="56857CCE">
            <w:pPr>
              <w:pStyle w:val="39"/>
              <w:spacing w:line="300" w:lineRule="auto"/>
              <w:jc w:val="center"/>
              <w:rPr>
                <w:rFonts w:ascii="Times New Roman" w:hAnsi="Times New Roman" w:eastAsia="仿宋" w:cs="Times New Roman"/>
                <w:b w:val="0"/>
                <w:bCs w:val="0"/>
                <w:sz w:val="22"/>
                <w:szCs w:val="22"/>
                <w:highlight w:val="none"/>
                <w:lang w:val="zh-CN"/>
              </w:rPr>
            </w:pPr>
            <w:r>
              <w:rPr>
                <w:rFonts w:hint="eastAsia" w:ascii="Times New Roman" w:hAnsi="Times New Roman" w:eastAsia="仿宋" w:cs="Times New Roman"/>
                <w:b w:val="0"/>
                <w:bCs w:val="0"/>
                <w:sz w:val="22"/>
                <w:szCs w:val="22"/>
                <w:highlight w:val="none"/>
                <w:lang w:val="zh-CN"/>
              </w:rPr>
              <w:t>服务</w:t>
            </w:r>
            <w:r>
              <w:rPr>
                <w:rFonts w:ascii="Times New Roman" w:hAnsi="Times New Roman" w:eastAsia="仿宋" w:cs="Times New Roman"/>
                <w:b w:val="0"/>
                <w:bCs w:val="0"/>
                <w:sz w:val="22"/>
                <w:szCs w:val="22"/>
                <w:highlight w:val="none"/>
                <w:lang w:val="zh-CN"/>
              </w:rPr>
              <w:t>地点</w:t>
            </w:r>
          </w:p>
        </w:tc>
        <w:tc>
          <w:tcPr>
            <w:tcW w:w="3684" w:type="pct"/>
            <w:vAlign w:val="center"/>
          </w:tcPr>
          <w:p w14:paraId="68BF0597">
            <w:pPr>
              <w:pStyle w:val="39"/>
              <w:spacing w:line="300" w:lineRule="auto"/>
              <w:ind w:left="210" w:leftChars="100"/>
              <w:jc w:val="both"/>
              <w:rPr>
                <w:rFonts w:ascii="Times New Roman" w:hAnsi="Times New Roman" w:eastAsia="仿宋" w:cs="Times New Roman"/>
                <w:sz w:val="22"/>
                <w:szCs w:val="22"/>
                <w:highlight w:val="none"/>
                <w:lang w:val="zh-CN"/>
              </w:rPr>
            </w:pPr>
            <w:r>
              <w:rPr>
                <w:rFonts w:hint="eastAsia" w:ascii="仿宋" w:hAnsi="仿宋" w:eastAsia="仿宋" w:cs="仿宋"/>
                <w:color w:val="auto"/>
                <w:sz w:val="21"/>
                <w:szCs w:val="21"/>
                <w:highlight w:val="none"/>
              </w:rPr>
              <w:t>成都市郫都区红光街道港通北三路1899号</w:t>
            </w:r>
          </w:p>
        </w:tc>
      </w:tr>
      <w:tr w14:paraId="721C9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81" w:hRule="atLeast"/>
          <w:jc w:val="center"/>
        </w:trPr>
        <w:tc>
          <w:tcPr>
            <w:tcW w:w="312" w:type="pct"/>
            <w:vAlign w:val="center"/>
          </w:tcPr>
          <w:p w14:paraId="1C270A02">
            <w:pPr>
              <w:pStyle w:val="39"/>
              <w:spacing w:line="300" w:lineRule="auto"/>
              <w:jc w:val="center"/>
              <w:rPr>
                <w:rFonts w:hint="default" w:ascii="Times New Roman" w:hAnsi="Times New Roman" w:eastAsia="仿宋" w:cs="Times New Roman"/>
                <w:b w:val="0"/>
                <w:bCs w:val="0"/>
                <w:sz w:val="22"/>
                <w:szCs w:val="22"/>
                <w:highlight w:val="none"/>
                <w:lang w:val="en-US" w:eastAsia="zh-CN"/>
              </w:rPr>
            </w:pPr>
            <w:r>
              <w:rPr>
                <w:rFonts w:hint="eastAsia" w:ascii="Times New Roman" w:hAnsi="Times New Roman" w:eastAsia="仿宋" w:cs="Times New Roman"/>
                <w:b w:val="0"/>
                <w:bCs w:val="0"/>
                <w:sz w:val="22"/>
                <w:szCs w:val="22"/>
                <w:highlight w:val="none"/>
                <w:lang w:val="en-US" w:eastAsia="zh-CN"/>
              </w:rPr>
              <w:t>3</w:t>
            </w:r>
          </w:p>
        </w:tc>
        <w:tc>
          <w:tcPr>
            <w:tcW w:w="1003" w:type="pct"/>
            <w:vAlign w:val="center"/>
          </w:tcPr>
          <w:p w14:paraId="3A0857BE">
            <w:pPr>
              <w:pStyle w:val="39"/>
              <w:spacing w:line="300" w:lineRule="auto"/>
              <w:jc w:val="center"/>
              <w:rPr>
                <w:rFonts w:ascii="Times New Roman" w:hAnsi="Times New Roman" w:eastAsia="仿宋" w:cs="Times New Roman"/>
                <w:b w:val="0"/>
                <w:bCs w:val="0"/>
                <w:sz w:val="22"/>
                <w:szCs w:val="22"/>
                <w:highlight w:val="none"/>
                <w:lang w:val="zh-CN"/>
              </w:rPr>
            </w:pPr>
            <w:r>
              <w:rPr>
                <w:rFonts w:ascii="Times New Roman" w:hAnsi="Times New Roman" w:eastAsia="仿宋" w:cs="Times New Roman"/>
                <w:b w:val="0"/>
                <w:bCs w:val="0"/>
                <w:sz w:val="22"/>
                <w:szCs w:val="22"/>
                <w:highlight w:val="none"/>
                <w:lang w:val="zh-CN"/>
              </w:rPr>
              <w:t>合同价款支付</w:t>
            </w:r>
          </w:p>
        </w:tc>
        <w:tc>
          <w:tcPr>
            <w:tcW w:w="3684" w:type="pct"/>
            <w:vAlign w:val="center"/>
          </w:tcPr>
          <w:p w14:paraId="29C2CFA6">
            <w:pPr>
              <w:pStyle w:val="39"/>
              <w:spacing w:line="300" w:lineRule="auto"/>
              <w:ind w:left="210" w:leftChars="100"/>
              <w:jc w:val="both"/>
              <w:rPr>
                <w:rFonts w:hint="default" w:ascii="Times New Roman" w:hAnsi="Times New Roman" w:eastAsia="仿宋" w:cs="Times New Roman"/>
                <w:sz w:val="22"/>
                <w:szCs w:val="22"/>
                <w:highlight w:val="none"/>
                <w:lang w:val="en-US" w:eastAsia="zh-CN"/>
              </w:rPr>
            </w:pPr>
            <w:r>
              <w:rPr>
                <w:rFonts w:hint="default" w:ascii="Times New Roman" w:hAnsi="Times New Roman" w:eastAsia="仿宋" w:cs="Times New Roman"/>
                <w:sz w:val="22"/>
                <w:szCs w:val="22"/>
                <w:highlight w:val="none"/>
                <w:lang w:val="en-US" w:eastAsia="zh-CN"/>
              </w:rPr>
              <w:t>1.中标价为固定包干价格，包括但不限于服务的建设、设计、开发、利润、保险、售后服务、税费等与完成本项目有关的所有费用。</w:t>
            </w:r>
          </w:p>
          <w:p w14:paraId="2ADCB890">
            <w:pPr>
              <w:pStyle w:val="39"/>
              <w:spacing w:line="300" w:lineRule="auto"/>
              <w:ind w:left="210" w:leftChars="100"/>
              <w:jc w:val="both"/>
              <w:rPr>
                <w:rFonts w:hint="default" w:ascii="Times New Roman" w:hAnsi="Times New Roman" w:eastAsia="仿宋" w:cs="Times New Roman"/>
                <w:sz w:val="22"/>
                <w:szCs w:val="22"/>
                <w:highlight w:val="none"/>
                <w:lang w:val="en-US" w:eastAsia="zh-CN"/>
              </w:rPr>
            </w:pPr>
            <w:r>
              <w:rPr>
                <w:rFonts w:hint="default" w:ascii="Times New Roman" w:hAnsi="Times New Roman" w:eastAsia="仿宋" w:cs="Times New Roman"/>
                <w:sz w:val="22"/>
                <w:szCs w:val="22"/>
                <w:highlight w:val="none"/>
                <w:lang w:val="en-US" w:eastAsia="zh-CN"/>
              </w:rPr>
              <w:t>2.一次性银行转账付款。投标人服务完成且经采购人验收合格后，自采购人收到投标人提供的符合采购人财务要求且合法有效完整的等额完税发票之日起10个工作日内支付合同总金额百分之百的合同款；若收到投标人发票之日早于服务验收合格之日，则自服务验收合格之日起10个工作日内支付。</w:t>
            </w:r>
          </w:p>
          <w:p w14:paraId="37F98A3A">
            <w:pPr>
              <w:pStyle w:val="39"/>
              <w:spacing w:line="300" w:lineRule="auto"/>
              <w:ind w:left="210" w:leftChars="100"/>
              <w:jc w:val="both"/>
              <w:rPr>
                <w:rFonts w:hint="default" w:ascii="Times New Roman" w:hAnsi="Times New Roman" w:eastAsia="仿宋" w:cs="Times New Roman"/>
                <w:sz w:val="22"/>
                <w:szCs w:val="22"/>
                <w:highlight w:val="none"/>
                <w:lang w:val="en-US" w:eastAsia="zh-CN"/>
              </w:rPr>
            </w:pPr>
            <w:r>
              <w:rPr>
                <w:rFonts w:hint="default" w:ascii="Times New Roman" w:hAnsi="Times New Roman" w:eastAsia="仿宋" w:cs="Times New Roman"/>
                <w:sz w:val="22"/>
                <w:szCs w:val="22"/>
                <w:highlight w:val="none"/>
                <w:lang w:val="en-US" w:eastAsia="zh-CN"/>
              </w:rPr>
              <w:t>3.中标人未提供增值税发票（普票），或发票经国税网验审不合格的，或者中标人提供的发票不满足采购人财务要求的，采购人有权拒付且不承担任何逾期付款的责任。</w:t>
            </w:r>
          </w:p>
          <w:p w14:paraId="5C631529">
            <w:pPr>
              <w:pStyle w:val="39"/>
              <w:spacing w:line="300" w:lineRule="auto"/>
              <w:ind w:left="210" w:leftChars="100"/>
              <w:jc w:val="both"/>
              <w:rPr>
                <w:rFonts w:ascii="Times New Roman" w:hAnsi="Times New Roman" w:eastAsia="仿宋" w:cs="Times New Roman"/>
                <w:sz w:val="22"/>
                <w:szCs w:val="22"/>
                <w:highlight w:val="none"/>
                <w:lang w:val="zh-CN"/>
              </w:rPr>
            </w:pPr>
            <w:r>
              <w:rPr>
                <w:rFonts w:hint="default" w:ascii="Times New Roman" w:hAnsi="Times New Roman" w:eastAsia="仿宋" w:cs="Times New Roman"/>
                <w:sz w:val="22"/>
                <w:szCs w:val="22"/>
                <w:highlight w:val="none"/>
                <w:lang w:val="en-US" w:eastAsia="zh-CN"/>
              </w:rPr>
              <w:t>4.中标人保证提供的银行账户信息真实有效，如果中标人账户信息更改（采购人原则上不予以更换合同账户），需要在采购人付款前10个工作日内告知采购人，若因中标人原因导致采购人无法付款或错误付款，后果由中标人自行承担。</w:t>
            </w:r>
          </w:p>
        </w:tc>
      </w:tr>
      <w:tr w14:paraId="552E87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22" w:hRule="atLeast"/>
          <w:jc w:val="center"/>
        </w:trPr>
        <w:tc>
          <w:tcPr>
            <w:tcW w:w="312" w:type="pct"/>
            <w:vAlign w:val="center"/>
          </w:tcPr>
          <w:p w14:paraId="53744930">
            <w:pPr>
              <w:pStyle w:val="39"/>
              <w:spacing w:line="300" w:lineRule="auto"/>
              <w:jc w:val="center"/>
              <w:rPr>
                <w:rFonts w:hint="default" w:ascii="Times New Roman" w:hAnsi="Times New Roman" w:eastAsia="仿宋" w:cs="Times New Roman"/>
                <w:b w:val="0"/>
                <w:bCs w:val="0"/>
                <w:sz w:val="22"/>
                <w:szCs w:val="22"/>
                <w:highlight w:val="none"/>
                <w:lang w:val="en-US" w:eastAsia="zh-CN"/>
              </w:rPr>
            </w:pPr>
            <w:r>
              <w:rPr>
                <w:rFonts w:hint="eastAsia" w:ascii="Times New Roman" w:hAnsi="Times New Roman" w:eastAsia="仿宋" w:cs="Times New Roman"/>
                <w:b w:val="0"/>
                <w:bCs w:val="0"/>
                <w:sz w:val="22"/>
                <w:szCs w:val="22"/>
                <w:highlight w:val="none"/>
                <w:lang w:val="en-US" w:eastAsia="zh-CN"/>
              </w:rPr>
              <w:t>4</w:t>
            </w:r>
          </w:p>
        </w:tc>
        <w:tc>
          <w:tcPr>
            <w:tcW w:w="1003" w:type="pct"/>
            <w:vAlign w:val="center"/>
          </w:tcPr>
          <w:p w14:paraId="0BCC2602">
            <w:pPr>
              <w:pStyle w:val="39"/>
              <w:spacing w:line="300" w:lineRule="auto"/>
              <w:jc w:val="center"/>
              <w:rPr>
                <w:rFonts w:ascii="Times New Roman" w:hAnsi="Times New Roman" w:eastAsia="仿宋" w:cs="Times New Roman"/>
                <w:b w:val="0"/>
                <w:bCs w:val="0"/>
                <w:sz w:val="22"/>
                <w:szCs w:val="22"/>
                <w:highlight w:val="none"/>
                <w:lang w:val="zh-CN"/>
              </w:rPr>
            </w:pPr>
            <w:r>
              <w:rPr>
                <w:rFonts w:hint="eastAsia" w:ascii="Times New Roman" w:hAnsi="Times New Roman" w:eastAsia="仿宋" w:cs="Times New Roman"/>
                <w:b w:val="0"/>
                <w:bCs w:val="0"/>
                <w:sz w:val="22"/>
                <w:szCs w:val="22"/>
                <w:highlight w:val="none"/>
                <w:lang w:val="zh-CN"/>
              </w:rPr>
              <w:t>售后服务要求</w:t>
            </w:r>
          </w:p>
        </w:tc>
        <w:tc>
          <w:tcPr>
            <w:tcW w:w="3684" w:type="pct"/>
            <w:vAlign w:val="center"/>
          </w:tcPr>
          <w:p w14:paraId="2A8E29FB">
            <w:pPr>
              <w:pStyle w:val="39"/>
              <w:spacing w:line="300" w:lineRule="auto"/>
              <w:ind w:left="210" w:leftChars="100"/>
              <w:jc w:val="both"/>
              <w:rPr>
                <w:rFonts w:hint="default" w:ascii="Times New Roman" w:hAnsi="Times New Roman" w:eastAsia="仿宋" w:cs="Times New Roman"/>
                <w:sz w:val="22"/>
                <w:szCs w:val="22"/>
                <w:highlight w:val="none"/>
                <w:lang w:val="en-US" w:eastAsia="zh-CN"/>
              </w:rPr>
            </w:pPr>
            <w:r>
              <w:rPr>
                <w:rFonts w:hint="default" w:ascii="Times New Roman" w:hAnsi="Times New Roman" w:eastAsia="仿宋" w:cs="Times New Roman"/>
                <w:sz w:val="22"/>
                <w:szCs w:val="22"/>
                <w:highlight w:val="none"/>
                <w:lang w:val="en-US" w:eastAsia="zh-CN"/>
              </w:rPr>
              <w:t>1.投标人在投标文件中提供服务机构地址、稳定的维护人员名单及联系方式。</w:t>
            </w:r>
          </w:p>
          <w:p w14:paraId="2F02E03C">
            <w:pPr>
              <w:pStyle w:val="39"/>
              <w:spacing w:line="300" w:lineRule="auto"/>
              <w:ind w:left="210" w:leftChars="100"/>
              <w:jc w:val="both"/>
              <w:rPr>
                <w:rFonts w:hint="default" w:ascii="Times New Roman" w:hAnsi="Times New Roman" w:eastAsia="仿宋" w:cs="Times New Roman"/>
                <w:sz w:val="22"/>
                <w:szCs w:val="22"/>
                <w:highlight w:val="none"/>
                <w:lang w:val="en-US" w:eastAsia="zh-CN"/>
              </w:rPr>
            </w:pPr>
            <w:r>
              <w:rPr>
                <w:rFonts w:hint="default" w:ascii="Times New Roman" w:hAnsi="Times New Roman" w:eastAsia="仿宋" w:cs="Times New Roman"/>
                <w:sz w:val="22"/>
                <w:szCs w:val="22"/>
                <w:highlight w:val="none"/>
                <w:lang w:val="en-US" w:eastAsia="zh-CN"/>
              </w:rPr>
              <w:t>2.响应时间：接到技术问题通知后20分钟内电话答复，4小时内采取响应措施，24小时内解决问题。</w:t>
            </w:r>
          </w:p>
          <w:p w14:paraId="1838BEBD">
            <w:pPr>
              <w:pStyle w:val="39"/>
              <w:spacing w:line="300" w:lineRule="auto"/>
              <w:ind w:left="210" w:leftChars="100"/>
              <w:jc w:val="both"/>
              <w:rPr>
                <w:rFonts w:hint="default" w:ascii="Times New Roman" w:hAnsi="Times New Roman" w:eastAsia="仿宋" w:cs="Times New Roman"/>
                <w:sz w:val="22"/>
                <w:szCs w:val="22"/>
                <w:highlight w:val="none"/>
                <w:lang w:val="en-US" w:eastAsia="zh-CN"/>
              </w:rPr>
            </w:pPr>
            <w:r>
              <w:rPr>
                <w:rFonts w:hint="default" w:ascii="Times New Roman" w:hAnsi="Times New Roman" w:eastAsia="仿宋" w:cs="Times New Roman"/>
                <w:sz w:val="22"/>
                <w:szCs w:val="22"/>
                <w:highlight w:val="none"/>
                <w:lang w:val="en-US" w:eastAsia="zh-CN"/>
              </w:rPr>
              <w:t>3.质量保证期：从验收之合格日起计算，如需对项目建设内容有修改，采购人提前3天以书面形式通知，在3天内需得到回复。</w:t>
            </w:r>
          </w:p>
        </w:tc>
      </w:tr>
      <w:tr w14:paraId="40CE5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19" w:hRule="atLeast"/>
          <w:jc w:val="center"/>
        </w:trPr>
        <w:tc>
          <w:tcPr>
            <w:tcW w:w="312" w:type="pct"/>
            <w:vAlign w:val="center"/>
          </w:tcPr>
          <w:p w14:paraId="2D421BB6">
            <w:pPr>
              <w:pStyle w:val="39"/>
              <w:spacing w:line="300" w:lineRule="auto"/>
              <w:jc w:val="center"/>
              <w:rPr>
                <w:rFonts w:hint="default" w:ascii="Times New Roman" w:hAnsi="Times New Roman" w:eastAsia="仿宋" w:cs="Times New Roman"/>
                <w:b w:val="0"/>
                <w:bCs w:val="0"/>
                <w:sz w:val="22"/>
                <w:szCs w:val="22"/>
                <w:highlight w:val="none"/>
                <w:lang w:val="en-US" w:eastAsia="zh-CN"/>
              </w:rPr>
            </w:pPr>
            <w:bookmarkStart w:id="33" w:name="_Toc32743"/>
            <w:bookmarkStart w:id="34" w:name="_Toc28829"/>
            <w:r>
              <w:rPr>
                <w:rFonts w:hint="eastAsia" w:ascii="Times New Roman" w:hAnsi="Times New Roman" w:eastAsia="仿宋" w:cs="Times New Roman"/>
                <w:b w:val="0"/>
                <w:bCs w:val="0"/>
                <w:sz w:val="22"/>
                <w:szCs w:val="22"/>
                <w:highlight w:val="none"/>
                <w:lang w:val="en-US" w:eastAsia="zh-CN"/>
              </w:rPr>
              <w:t>5</w:t>
            </w:r>
          </w:p>
        </w:tc>
        <w:tc>
          <w:tcPr>
            <w:tcW w:w="1003" w:type="pct"/>
            <w:vAlign w:val="center"/>
          </w:tcPr>
          <w:p w14:paraId="76B602E7">
            <w:pPr>
              <w:pStyle w:val="39"/>
              <w:spacing w:line="300" w:lineRule="auto"/>
              <w:jc w:val="center"/>
              <w:rPr>
                <w:rFonts w:ascii="Times New Roman" w:hAnsi="Times New Roman" w:eastAsia="仿宋" w:cs="Times New Roman"/>
                <w:b w:val="0"/>
                <w:bCs w:val="0"/>
                <w:sz w:val="22"/>
                <w:szCs w:val="22"/>
                <w:highlight w:val="none"/>
                <w:lang w:val="zh-CN"/>
              </w:rPr>
            </w:pPr>
            <w:r>
              <w:rPr>
                <w:rFonts w:hint="eastAsia" w:ascii="Times New Roman" w:hAnsi="Times New Roman" w:eastAsia="仿宋" w:cs="Times New Roman"/>
                <w:b w:val="0"/>
                <w:bCs w:val="0"/>
                <w:sz w:val="22"/>
                <w:szCs w:val="22"/>
                <w:highlight w:val="none"/>
                <w:lang w:val="zh-CN"/>
              </w:rPr>
              <w:t>其他商务要求</w:t>
            </w:r>
          </w:p>
        </w:tc>
        <w:tc>
          <w:tcPr>
            <w:tcW w:w="3684" w:type="pct"/>
            <w:vAlign w:val="center"/>
          </w:tcPr>
          <w:p w14:paraId="144E2A46">
            <w:pPr>
              <w:pStyle w:val="39"/>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1.如因投标人的工作人员在履行职务过程中的疏忽、失职、过错等故意或者过失原因给</w:t>
            </w:r>
            <w:r>
              <w:rPr>
                <w:rFonts w:hint="eastAsia" w:ascii="Times New Roman" w:hAnsi="Times New Roman" w:eastAsia="仿宋" w:cs="Times New Roman"/>
                <w:sz w:val="22"/>
                <w:szCs w:val="22"/>
                <w:highlight w:val="none"/>
                <w:lang w:val="zh-CN" w:eastAsia="zh-CN"/>
              </w:rPr>
              <w:t>采购人</w:t>
            </w:r>
            <w:r>
              <w:rPr>
                <w:rFonts w:hint="eastAsia" w:ascii="Times New Roman" w:hAnsi="Times New Roman" w:eastAsia="仿宋" w:cs="Times New Roman"/>
                <w:sz w:val="22"/>
                <w:szCs w:val="22"/>
                <w:highlight w:val="none"/>
                <w:lang w:val="zh-CN"/>
              </w:rPr>
              <w:t>造成损失或侵害，包括但不限于</w:t>
            </w:r>
            <w:r>
              <w:rPr>
                <w:rFonts w:hint="eastAsia" w:ascii="Times New Roman" w:hAnsi="Times New Roman" w:eastAsia="仿宋" w:cs="Times New Roman"/>
                <w:sz w:val="22"/>
                <w:szCs w:val="22"/>
                <w:highlight w:val="none"/>
                <w:lang w:val="zh-CN" w:eastAsia="zh-CN"/>
              </w:rPr>
              <w:t>采购人</w:t>
            </w:r>
            <w:r>
              <w:rPr>
                <w:rFonts w:hint="eastAsia" w:ascii="Times New Roman" w:hAnsi="Times New Roman" w:eastAsia="仿宋" w:cs="Times New Roman"/>
                <w:sz w:val="22"/>
                <w:szCs w:val="22"/>
                <w:highlight w:val="none"/>
                <w:lang w:val="zh-CN"/>
              </w:rPr>
              <w:t>本身的财产损失、由此而导致的</w:t>
            </w:r>
            <w:r>
              <w:rPr>
                <w:rFonts w:hint="eastAsia" w:ascii="Times New Roman" w:hAnsi="Times New Roman" w:eastAsia="仿宋" w:cs="Times New Roman"/>
                <w:sz w:val="22"/>
                <w:szCs w:val="22"/>
                <w:highlight w:val="none"/>
                <w:lang w:val="zh-CN" w:eastAsia="zh-CN"/>
              </w:rPr>
              <w:t>采购人</w:t>
            </w:r>
            <w:r>
              <w:rPr>
                <w:rFonts w:hint="eastAsia" w:ascii="Times New Roman" w:hAnsi="Times New Roman" w:eastAsia="仿宋" w:cs="Times New Roman"/>
                <w:sz w:val="22"/>
                <w:szCs w:val="22"/>
                <w:highlight w:val="none"/>
                <w:lang w:val="zh-CN"/>
              </w:rPr>
              <w:t>对任何第三方的法律责任等，投标人对此均应承担全部的赔偿责任。</w:t>
            </w:r>
          </w:p>
        </w:tc>
      </w:tr>
      <w:tr w14:paraId="56B713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19" w:hRule="atLeast"/>
          <w:jc w:val="center"/>
        </w:trPr>
        <w:tc>
          <w:tcPr>
            <w:tcW w:w="312" w:type="pct"/>
            <w:vAlign w:val="center"/>
          </w:tcPr>
          <w:p w14:paraId="14694DB5">
            <w:pPr>
              <w:pStyle w:val="39"/>
              <w:spacing w:line="300" w:lineRule="auto"/>
              <w:jc w:val="center"/>
              <w:rPr>
                <w:rFonts w:hint="default" w:ascii="Times New Roman" w:hAnsi="Times New Roman" w:eastAsia="仿宋" w:cs="Times New Roman"/>
                <w:b w:val="0"/>
                <w:bCs w:val="0"/>
                <w:sz w:val="22"/>
                <w:szCs w:val="22"/>
                <w:highlight w:val="none"/>
                <w:lang w:val="en-US" w:eastAsia="zh-CN"/>
              </w:rPr>
            </w:pPr>
            <w:bookmarkStart w:id="35" w:name="_Toc19912"/>
            <w:r>
              <w:rPr>
                <w:rFonts w:hint="eastAsia" w:ascii="Times New Roman" w:hAnsi="Times New Roman" w:eastAsia="仿宋" w:cs="Times New Roman"/>
                <w:b w:val="0"/>
                <w:bCs w:val="0"/>
                <w:sz w:val="22"/>
                <w:szCs w:val="22"/>
                <w:highlight w:val="none"/>
                <w:lang w:val="en-US" w:eastAsia="zh-CN"/>
              </w:rPr>
              <w:t>6</w:t>
            </w:r>
          </w:p>
        </w:tc>
        <w:tc>
          <w:tcPr>
            <w:tcW w:w="1003" w:type="pct"/>
            <w:vAlign w:val="center"/>
          </w:tcPr>
          <w:p w14:paraId="39B3D56A">
            <w:pPr>
              <w:pStyle w:val="39"/>
              <w:spacing w:line="300" w:lineRule="auto"/>
              <w:jc w:val="center"/>
              <w:rPr>
                <w:rFonts w:hint="eastAsia" w:ascii="Times New Roman" w:hAnsi="Times New Roman" w:eastAsia="仿宋" w:cs="Times New Roman"/>
                <w:b w:val="0"/>
                <w:bCs w:val="0"/>
                <w:sz w:val="22"/>
                <w:szCs w:val="22"/>
                <w:highlight w:val="none"/>
                <w:lang w:val="zh-CN"/>
              </w:rPr>
            </w:pPr>
            <w:r>
              <w:rPr>
                <w:rFonts w:hint="eastAsia" w:ascii="仿宋" w:hAnsi="仿宋" w:eastAsia="仿宋" w:cs="仿宋"/>
                <w:color w:val="auto"/>
                <w:sz w:val="24"/>
                <w:szCs w:val="24"/>
                <w:highlight w:val="none"/>
              </w:rPr>
              <w:t>验收内容</w:t>
            </w:r>
            <w:r>
              <w:rPr>
                <w:rFonts w:hint="eastAsia" w:ascii="仿宋" w:hAnsi="仿宋" w:eastAsia="仿宋" w:cs="仿宋"/>
                <w:color w:val="auto"/>
                <w:sz w:val="24"/>
                <w:szCs w:val="24"/>
                <w:highlight w:val="none"/>
                <w:lang w:val="en-US" w:eastAsia="zh-CN"/>
              </w:rPr>
              <w:t>及标准</w:t>
            </w:r>
          </w:p>
        </w:tc>
        <w:tc>
          <w:tcPr>
            <w:tcW w:w="3684" w:type="pct"/>
            <w:vAlign w:val="center"/>
          </w:tcPr>
          <w:p w14:paraId="262E5CDA">
            <w:pPr>
              <w:pStyle w:val="39"/>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eastAsia="zh-CN"/>
              </w:rPr>
              <w:t>1</w:t>
            </w:r>
            <w:r>
              <w:rPr>
                <w:rFonts w:hint="eastAsia" w:ascii="Times New Roman" w:hAnsi="Times New Roman" w:eastAsia="仿宋" w:cs="Times New Roman"/>
                <w:sz w:val="22"/>
                <w:szCs w:val="22"/>
                <w:highlight w:val="none"/>
                <w:lang w:val="zh-CN"/>
              </w:rPr>
              <w:t>、验收的内容：</w:t>
            </w:r>
          </w:p>
          <w:p w14:paraId="179F3A41">
            <w:pPr>
              <w:pStyle w:val="39"/>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（1）</w:t>
            </w:r>
            <w:r>
              <w:rPr>
                <w:rFonts w:hint="eastAsia" w:ascii="Times New Roman" w:hAnsi="Times New Roman" w:eastAsia="仿宋" w:cs="Times New Roman"/>
                <w:sz w:val="22"/>
                <w:szCs w:val="22"/>
                <w:highlight w:val="none"/>
                <w:lang w:val="zh-CN" w:eastAsia="zh-CN"/>
              </w:rPr>
              <w:t>服务</w:t>
            </w:r>
            <w:r>
              <w:rPr>
                <w:rFonts w:hint="eastAsia" w:ascii="Times New Roman" w:hAnsi="Times New Roman" w:eastAsia="仿宋" w:cs="Times New Roman"/>
                <w:sz w:val="22"/>
                <w:szCs w:val="22"/>
                <w:highlight w:val="none"/>
                <w:lang w:val="zh-CN"/>
              </w:rPr>
              <w:t>验收内容包括</w:t>
            </w:r>
            <w:r>
              <w:rPr>
                <w:rFonts w:hint="eastAsia" w:ascii="Times New Roman" w:hAnsi="Times New Roman" w:eastAsia="仿宋" w:cs="Times New Roman"/>
                <w:sz w:val="22"/>
                <w:szCs w:val="22"/>
                <w:highlight w:val="none"/>
                <w:lang w:val="zh-CN" w:eastAsia="zh-CN"/>
              </w:rPr>
              <w:t>课程教学资源、</w:t>
            </w:r>
            <w:r>
              <w:rPr>
                <w:rFonts w:hint="eastAsia" w:ascii="Times New Roman" w:hAnsi="Times New Roman" w:eastAsia="仿宋" w:cs="Times New Roman"/>
                <w:sz w:val="22"/>
                <w:szCs w:val="22"/>
                <w:highlight w:val="none"/>
                <w:lang w:val="zh-CN"/>
              </w:rPr>
              <w:t>使用说明或手册、每一项技术和商务要求（售后服务除外）的履约情况；验收合格，则签署《验收报告单》；若验收不合格，投标人应在接到</w:t>
            </w:r>
            <w:r>
              <w:rPr>
                <w:rFonts w:hint="eastAsia" w:ascii="Times New Roman" w:hAnsi="Times New Roman" w:eastAsia="仿宋" w:cs="Times New Roman"/>
                <w:sz w:val="22"/>
                <w:szCs w:val="22"/>
                <w:highlight w:val="none"/>
                <w:lang w:val="zh-CN" w:eastAsia="zh-CN"/>
              </w:rPr>
              <w:t>采购人</w:t>
            </w:r>
            <w:r>
              <w:rPr>
                <w:rFonts w:hint="eastAsia" w:ascii="Times New Roman" w:hAnsi="Times New Roman" w:eastAsia="仿宋" w:cs="Times New Roman"/>
                <w:sz w:val="22"/>
                <w:szCs w:val="22"/>
                <w:highlight w:val="none"/>
                <w:lang w:val="zh-CN"/>
              </w:rPr>
              <w:t>整改通知之日起15个日历天内完成整改，再由</w:t>
            </w:r>
            <w:r>
              <w:rPr>
                <w:rFonts w:hint="eastAsia" w:ascii="Times New Roman" w:hAnsi="Times New Roman" w:eastAsia="仿宋" w:cs="Times New Roman"/>
                <w:sz w:val="22"/>
                <w:szCs w:val="22"/>
                <w:highlight w:val="none"/>
                <w:lang w:val="zh-CN" w:eastAsia="zh-CN"/>
              </w:rPr>
              <w:t>采购人</w:t>
            </w:r>
            <w:r>
              <w:rPr>
                <w:rFonts w:hint="eastAsia" w:ascii="Times New Roman" w:hAnsi="Times New Roman" w:eastAsia="仿宋" w:cs="Times New Roman"/>
                <w:sz w:val="22"/>
                <w:szCs w:val="22"/>
                <w:highlight w:val="none"/>
                <w:lang w:val="zh-CN"/>
              </w:rPr>
              <w:t>组织重新验收，若</w:t>
            </w:r>
            <w:r>
              <w:rPr>
                <w:rFonts w:hint="eastAsia" w:ascii="Times New Roman" w:hAnsi="Times New Roman" w:eastAsia="仿宋" w:cs="Times New Roman"/>
                <w:sz w:val="22"/>
                <w:szCs w:val="22"/>
                <w:highlight w:val="none"/>
                <w:lang w:val="zh-CN" w:eastAsia="zh-CN"/>
              </w:rPr>
              <w:t>服务</w:t>
            </w:r>
            <w:r>
              <w:rPr>
                <w:rFonts w:hint="eastAsia" w:ascii="Times New Roman" w:hAnsi="Times New Roman" w:eastAsia="仿宋" w:cs="Times New Roman"/>
                <w:sz w:val="22"/>
                <w:szCs w:val="22"/>
                <w:highlight w:val="none"/>
                <w:lang w:val="zh-CN"/>
              </w:rPr>
              <w:t>再次验收不合格则视为投标人不能履约，</w:t>
            </w:r>
            <w:r>
              <w:rPr>
                <w:rFonts w:hint="eastAsia" w:ascii="Times New Roman" w:hAnsi="Times New Roman" w:eastAsia="仿宋" w:cs="Times New Roman"/>
                <w:sz w:val="22"/>
                <w:szCs w:val="22"/>
                <w:highlight w:val="none"/>
                <w:lang w:val="zh-CN" w:eastAsia="zh-CN"/>
              </w:rPr>
              <w:t>采购人</w:t>
            </w:r>
            <w:r>
              <w:rPr>
                <w:rFonts w:hint="eastAsia" w:ascii="Times New Roman" w:hAnsi="Times New Roman" w:eastAsia="仿宋" w:cs="Times New Roman"/>
                <w:sz w:val="22"/>
                <w:szCs w:val="22"/>
                <w:highlight w:val="none"/>
                <w:lang w:val="zh-CN"/>
              </w:rPr>
              <w:t>有权终止合同，并按合同约定追究投标人的违约责任。</w:t>
            </w:r>
          </w:p>
          <w:p w14:paraId="149BCFF0">
            <w:pPr>
              <w:pStyle w:val="39"/>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（2）售后服务验收内容包括售后服务要求中每一项要求的履约情况。验收合格，则签署《验收报告单》；若售后服务验收不合格，</w:t>
            </w:r>
            <w:r>
              <w:rPr>
                <w:rFonts w:hint="eastAsia" w:ascii="Times New Roman" w:hAnsi="Times New Roman" w:eastAsia="仿宋" w:cs="Times New Roman"/>
                <w:sz w:val="22"/>
                <w:szCs w:val="22"/>
                <w:highlight w:val="none"/>
                <w:lang w:val="zh-CN" w:eastAsia="zh-CN"/>
              </w:rPr>
              <w:t>采购人</w:t>
            </w:r>
            <w:r>
              <w:rPr>
                <w:rFonts w:hint="eastAsia" w:ascii="Times New Roman" w:hAnsi="Times New Roman" w:eastAsia="仿宋" w:cs="Times New Roman"/>
                <w:sz w:val="22"/>
                <w:szCs w:val="22"/>
                <w:highlight w:val="none"/>
                <w:lang w:val="zh-CN"/>
              </w:rPr>
              <w:t>有权按合同约定追究投标人的违约责任。</w:t>
            </w:r>
          </w:p>
          <w:p w14:paraId="50850635">
            <w:pPr>
              <w:pStyle w:val="39"/>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eastAsia="zh-CN"/>
              </w:rPr>
              <w:t>2</w:t>
            </w:r>
            <w:r>
              <w:rPr>
                <w:rFonts w:hint="eastAsia" w:ascii="Times New Roman" w:hAnsi="Times New Roman" w:eastAsia="仿宋" w:cs="Times New Roman"/>
                <w:sz w:val="22"/>
                <w:szCs w:val="22"/>
                <w:highlight w:val="none"/>
                <w:lang w:val="zh-CN"/>
              </w:rPr>
              <w:t>、验收的标准：按招标文件的质量要求和技术指标、投标人的投标文件及承诺、合同约定进行验收。其他未尽事宜应按照《财政部关于进一步加强政府采购需求和履约验收管理的指导意见》(财库〔2016〕205 号)的要求进行验收。</w:t>
            </w:r>
          </w:p>
          <w:p w14:paraId="676B40FD">
            <w:pPr>
              <w:pStyle w:val="39"/>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eastAsia="zh-CN"/>
              </w:rPr>
              <w:t>3</w:t>
            </w:r>
            <w:r>
              <w:rPr>
                <w:rFonts w:hint="eastAsia" w:ascii="Times New Roman" w:hAnsi="Times New Roman" w:eastAsia="仿宋" w:cs="Times New Roman"/>
                <w:sz w:val="22"/>
                <w:szCs w:val="22"/>
                <w:highlight w:val="none"/>
                <w:lang w:val="zh-CN"/>
              </w:rPr>
              <w:t>、交付标准及方式：</w:t>
            </w:r>
          </w:p>
          <w:p w14:paraId="0947CABF">
            <w:pPr>
              <w:pStyle w:val="39"/>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（1）交货验收：中标人向</w:t>
            </w:r>
            <w:r>
              <w:rPr>
                <w:rFonts w:hint="eastAsia" w:ascii="Times New Roman" w:hAnsi="Times New Roman" w:eastAsia="仿宋" w:cs="Times New Roman"/>
                <w:sz w:val="22"/>
                <w:szCs w:val="22"/>
                <w:highlight w:val="none"/>
                <w:lang w:val="zh-CN" w:eastAsia="zh-CN"/>
              </w:rPr>
              <w:t>采购人</w:t>
            </w:r>
            <w:r>
              <w:rPr>
                <w:rFonts w:hint="eastAsia" w:ascii="Times New Roman" w:hAnsi="Times New Roman" w:eastAsia="仿宋" w:cs="Times New Roman"/>
                <w:sz w:val="22"/>
                <w:szCs w:val="22"/>
                <w:highlight w:val="none"/>
                <w:lang w:val="zh-CN"/>
              </w:rPr>
              <w:t>移交了</w:t>
            </w:r>
            <w:r>
              <w:rPr>
                <w:rFonts w:hint="eastAsia" w:ascii="Times New Roman" w:hAnsi="Times New Roman" w:eastAsia="仿宋" w:cs="Times New Roman"/>
                <w:sz w:val="22"/>
                <w:szCs w:val="22"/>
                <w:highlight w:val="none"/>
                <w:lang w:val="zh-CN" w:eastAsia="zh-CN"/>
              </w:rPr>
              <w:t>所有教学资源及培训资料等</w:t>
            </w:r>
            <w:r>
              <w:rPr>
                <w:rFonts w:hint="eastAsia" w:ascii="Times New Roman" w:hAnsi="Times New Roman" w:eastAsia="仿宋" w:cs="Times New Roman"/>
                <w:sz w:val="22"/>
                <w:szCs w:val="22"/>
                <w:highlight w:val="none"/>
                <w:lang w:val="zh-CN"/>
              </w:rPr>
              <w:t>，并在采购人指定地点完成</w:t>
            </w:r>
            <w:r>
              <w:rPr>
                <w:rFonts w:hint="eastAsia" w:ascii="Times New Roman" w:hAnsi="Times New Roman" w:eastAsia="仿宋" w:cs="Times New Roman"/>
                <w:sz w:val="22"/>
                <w:szCs w:val="22"/>
                <w:highlight w:val="none"/>
                <w:lang w:val="zh-CN" w:eastAsia="zh-CN"/>
              </w:rPr>
              <w:t>课程资源建设服务</w:t>
            </w:r>
            <w:r>
              <w:rPr>
                <w:rFonts w:hint="eastAsia" w:ascii="Times New Roman" w:hAnsi="Times New Roman" w:eastAsia="仿宋" w:cs="Times New Roman"/>
                <w:sz w:val="22"/>
                <w:szCs w:val="22"/>
                <w:highlight w:val="none"/>
                <w:lang w:val="zh-CN"/>
              </w:rPr>
              <w:t>等工作且通过</w:t>
            </w:r>
            <w:r>
              <w:rPr>
                <w:rFonts w:hint="eastAsia" w:ascii="Times New Roman" w:hAnsi="Times New Roman" w:eastAsia="仿宋" w:cs="Times New Roman"/>
                <w:sz w:val="22"/>
                <w:szCs w:val="22"/>
                <w:highlight w:val="none"/>
                <w:lang w:val="zh-CN" w:eastAsia="zh-CN"/>
              </w:rPr>
              <w:t>服务验收</w:t>
            </w:r>
            <w:r>
              <w:rPr>
                <w:rFonts w:hint="eastAsia" w:ascii="Times New Roman" w:hAnsi="Times New Roman" w:eastAsia="仿宋" w:cs="Times New Roman"/>
                <w:sz w:val="22"/>
                <w:szCs w:val="22"/>
                <w:highlight w:val="none"/>
                <w:lang w:val="zh-CN"/>
              </w:rPr>
              <w:t>为中标人</w:t>
            </w:r>
            <w:r>
              <w:rPr>
                <w:rFonts w:hint="eastAsia" w:ascii="Times New Roman" w:hAnsi="Times New Roman" w:eastAsia="仿宋" w:cs="Times New Roman"/>
                <w:sz w:val="22"/>
                <w:szCs w:val="22"/>
                <w:highlight w:val="none"/>
                <w:lang w:val="zh-CN" w:eastAsia="zh-CN"/>
              </w:rPr>
              <w:t>交付</w:t>
            </w:r>
            <w:r>
              <w:rPr>
                <w:rFonts w:hint="eastAsia" w:ascii="Times New Roman" w:hAnsi="Times New Roman" w:eastAsia="仿宋" w:cs="Times New Roman"/>
                <w:sz w:val="22"/>
                <w:szCs w:val="22"/>
                <w:highlight w:val="none"/>
                <w:lang w:val="zh-CN"/>
              </w:rPr>
              <w:t>。</w:t>
            </w:r>
          </w:p>
          <w:p w14:paraId="19103AFA">
            <w:pPr>
              <w:pStyle w:val="39"/>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（2）售后验收：售后服务验收内容包括售后服务要求中每一项要求的履约情况。</w:t>
            </w:r>
          </w:p>
          <w:p w14:paraId="6D78ABD3">
            <w:pPr>
              <w:pStyle w:val="39"/>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eastAsia="zh-CN"/>
              </w:rPr>
              <w:t>售后服务期内售后服务合格率[合格的售后服务次数/售后服务总次数]低于百分之90视为售后服务不合格）。</w:t>
            </w:r>
          </w:p>
        </w:tc>
      </w:tr>
      <w:bookmarkEnd w:id="33"/>
      <w:bookmarkEnd w:id="34"/>
    </w:tbl>
    <w:p w14:paraId="20FB5C4F">
      <w:pPr>
        <w:autoSpaceDE w:val="0"/>
        <w:autoSpaceDN w:val="0"/>
        <w:spacing w:line="520" w:lineRule="exact"/>
        <w:ind w:firstLine="551" w:firstLineChars="196"/>
        <w:outlineLvl w:val="1"/>
        <w:rPr>
          <w:rFonts w:hint="eastAsia" w:ascii="Times New Roman" w:hAnsi="Times New Roman" w:eastAsia="仿宋" w:cs="Times New Roman"/>
          <w:b/>
          <w:bCs/>
          <w:sz w:val="28"/>
          <w:szCs w:val="24"/>
          <w:highlight w:val="none"/>
          <w:lang w:val="en-US" w:eastAsia="zh-CN"/>
        </w:rPr>
      </w:pPr>
      <w:r>
        <w:rPr>
          <w:rFonts w:hint="eastAsia" w:ascii="Times New Roman" w:hAnsi="Times New Roman" w:eastAsia="仿宋" w:cs="Times New Roman"/>
          <w:b/>
          <w:bCs/>
          <w:sz w:val="28"/>
          <w:szCs w:val="24"/>
          <w:highlight w:val="none"/>
          <w:lang w:val="en-US" w:eastAsia="zh-CN"/>
        </w:rPr>
        <w:t>四、方案要求(实施方案、售后服务等)</w:t>
      </w:r>
    </w:p>
    <w:p w14:paraId="51721AB2">
      <w:pPr>
        <w:adjustRightInd w:val="0"/>
        <w:snapToGrid w:val="0"/>
        <w:spacing w:line="400" w:lineRule="exact"/>
        <w:ind w:firstLine="440" w:firstLineChars="200"/>
        <w:rPr>
          <w:rFonts w:hint="eastAsia" w:ascii="Times New Roman" w:hAnsi="Times New Roman" w:eastAsia="仿宋" w:cs="Times New Roman"/>
          <w:kern w:val="0"/>
          <w:sz w:val="22"/>
          <w:szCs w:val="22"/>
          <w:highlight w:val="none"/>
          <w:lang w:val="zh-CN" w:eastAsia="zh-CN" w:bidi="ar-SA"/>
        </w:rPr>
      </w:pPr>
      <w:r>
        <w:rPr>
          <w:rFonts w:hint="eastAsia" w:ascii="Times New Roman" w:hAnsi="Times New Roman" w:eastAsia="仿宋" w:cs="Times New Roman"/>
          <w:kern w:val="0"/>
          <w:sz w:val="22"/>
          <w:szCs w:val="22"/>
          <w:highlight w:val="none"/>
          <w:lang w:val="zh-CN" w:eastAsia="zh-CN" w:bidi="ar-SA"/>
        </w:rPr>
        <w:t>投标人针对本项目采购需求提供实施方案，方案包括：①项目团队组织架构及技术实力；②团队人员管理；③项目实施计划；④项目进度保障；⑤质量保障措施。</w:t>
      </w:r>
    </w:p>
    <w:p w14:paraId="0B1FCC4E">
      <w:pPr>
        <w:numPr>
          <w:ilvl w:val="0"/>
          <w:numId w:val="0"/>
        </w:numPr>
        <w:bidi w:val="0"/>
        <w:ind w:leftChars="0" w:firstLine="440" w:firstLineChars="200"/>
        <w:rPr>
          <w:rFonts w:hint="default" w:ascii="Times New Roman" w:hAnsi="Times New Roman" w:eastAsia="仿宋" w:cs="Times New Roman"/>
          <w:kern w:val="0"/>
          <w:sz w:val="22"/>
          <w:szCs w:val="22"/>
          <w:highlight w:val="none"/>
          <w:lang w:val="en-US" w:eastAsia="zh-CN" w:bidi="ar-SA"/>
        </w:rPr>
      </w:pPr>
      <w:r>
        <w:rPr>
          <w:rFonts w:hint="eastAsia" w:ascii="Times New Roman" w:hAnsi="Times New Roman" w:eastAsia="仿宋" w:cs="Times New Roman"/>
          <w:kern w:val="0"/>
          <w:sz w:val="22"/>
          <w:szCs w:val="22"/>
          <w:highlight w:val="none"/>
          <w:lang w:val="zh-CN" w:eastAsia="zh-CN" w:bidi="ar-SA"/>
        </w:rPr>
        <w:t>投标人针对本项目采购需求提供售后服务，方案包括：①售后服务方案；②售后服务承诺；③售后响应能力；④资源开发培训服务。</w:t>
      </w:r>
    </w:p>
    <w:p w14:paraId="4FF038C4">
      <w:pPr>
        <w:pStyle w:val="2"/>
        <w:pageBreakBefore/>
        <w:spacing w:before="120" w:after="120" w:line="360" w:lineRule="auto"/>
        <w:jc w:val="center"/>
        <w:rPr>
          <w:rFonts w:hint="eastAsia" w:ascii="仿宋" w:hAnsi="仿宋" w:eastAsia="仿宋" w:cs="仿宋"/>
          <w:color w:val="auto"/>
          <w:kern w:val="0"/>
          <w:sz w:val="36"/>
          <w:szCs w:val="36"/>
          <w:highlight w:val="none"/>
          <w:lang w:val="zh-CN"/>
        </w:rPr>
      </w:pPr>
      <w:r>
        <w:rPr>
          <w:rFonts w:hint="eastAsia" w:ascii="仿宋" w:hAnsi="仿宋" w:eastAsia="仿宋" w:cs="仿宋"/>
          <w:color w:val="auto"/>
          <w:kern w:val="0"/>
          <w:sz w:val="36"/>
          <w:szCs w:val="36"/>
          <w:highlight w:val="none"/>
          <w:lang w:val="zh-CN"/>
        </w:rPr>
        <w:t>第</w:t>
      </w:r>
      <w:r>
        <w:rPr>
          <w:rFonts w:hint="eastAsia" w:ascii="仿宋" w:hAnsi="仿宋" w:eastAsia="仿宋" w:cs="仿宋"/>
          <w:color w:val="auto"/>
          <w:kern w:val="0"/>
          <w:sz w:val="36"/>
          <w:szCs w:val="36"/>
          <w:highlight w:val="none"/>
          <w:lang w:val="en-US" w:eastAsia="zh-CN"/>
        </w:rPr>
        <w:t>六</w:t>
      </w:r>
      <w:r>
        <w:rPr>
          <w:rFonts w:hint="eastAsia" w:ascii="仿宋" w:hAnsi="仿宋" w:eastAsia="仿宋" w:cs="仿宋"/>
          <w:color w:val="auto"/>
          <w:kern w:val="0"/>
          <w:sz w:val="36"/>
          <w:szCs w:val="36"/>
          <w:highlight w:val="none"/>
          <w:lang w:val="zh-CN"/>
        </w:rPr>
        <w:t>章 评标办法</w:t>
      </w:r>
      <w:bookmarkEnd w:id="35"/>
      <w:bookmarkStart w:id="36" w:name="_Hlt101846155"/>
      <w:bookmarkEnd w:id="36"/>
      <w:bookmarkStart w:id="37" w:name="_Toc183582280"/>
      <w:bookmarkStart w:id="38" w:name="_Toc208849007"/>
      <w:bookmarkStart w:id="39" w:name="_Toc217446097"/>
      <w:bookmarkStart w:id="40" w:name="_Toc183682415"/>
    </w:p>
    <w:bookmarkEnd w:id="37"/>
    <w:bookmarkEnd w:id="38"/>
    <w:bookmarkEnd w:id="39"/>
    <w:bookmarkEnd w:id="40"/>
    <w:p w14:paraId="06B016BD">
      <w:pPr>
        <w:pStyle w:val="3"/>
        <w:pageBreakBefore w:val="0"/>
        <w:widowControl w:val="0"/>
        <w:kinsoku/>
        <w:wordWrap/>
        <w:overflowPunct/>
        <w:topLinePunct w:val="0"/>
        <w:autoSpaceDE/>
        <w:autoSpaceDN/>
        <w:bidi w:val="0"/>
        <w:adjustRightInd/>
        <w:snapToGrid w:val="0"/>
        <w:spacing w:before="0" w:after="0" w:line="360" w:lineRule="auto"/>
        <w:jc w:val="center"/>
        <w:textAlignment w:val="auto"/>
        <w:rPr>
          <w:rFonts w:hint="eastAsia" w:ascii="仿宋" w:hAnsi="仿宋" w:eastAsia="仿宋" w:cs="仿宋"/>
          <w:bCs w:val="0"/>
          <w:color w:val="auto"/>
          <w:sz w:val="28"/>
          <w:szCs w:val="28"/>
          <w:highlight w:val="none"/>
        </w:rPr>
      </w:pPr>
      <w:bookmarkStart w:id="41" w:name="_Toc10621"/>
      <w:bookmarkStart w:id="42" w:name="_Toc217446103"/>
      <w:bookmarkStart w:id="43" w:name="_Toc217446099"/>
      <w:r>
        <w:rPr>
          <w:rFonts w:hint="eastAsia" w:ascii="仿宋" w:hAnsi="仿宋" w:eastAsia="仿宋" w:cs="仿宋"/>
          <w:bCs w:val="0"/>
          <w:color w:val="auto"/>
          <w:sz w:val="28"/>
          <w:szCs w:val="28"/>
          <w:highlight w:val="none"/>
          <w:lang w:eastAsia="zh-CN"/>
        </w:rPr>
        <w:t>一、</w:t>
      </w:r>
      <w:r>
        <w:rPr>
          <w:rFonts w:hint="eastAsia" w:ascii="仿宋" w:hAnsi="仿宋" w:eastAsia="仿宋" w:cs="仿宋"/>
          <w:bCs w:val="0"/>
          <w:color w:val="auto"/>
          <w:sz w:val="28"/>
          <w:szCs w:val="28"/>
          <w:highlight w:val="none"/>
        </w:rPr>
        <w:t>总则</w:t>
      </w:r>
      <w:bookmarkEnd w:id="41"/>
      <w:bookmarkStart w:id="44" w:name="_Toc217446098"/>
    </w:p>
    <w:p w14:paraId="50A31A53">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（一）参照《中华人民共和国政府采购法》、《中华人民共和国政府采购法实施条例》和《政府采购货物和服务招标投标管理办法》等法律规章，结合采购项目特点制定本评标办法。</w:t>
      </w:r>
    </w:p>
    <w:p w14:paraId="0A2D9457">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（二）评标工作由采购代理机构负责组织，具体评标事务由采购人或采购代理机构依法组建的评标委员会负责。评标委员会由采购人代表和评审专家组成。</w:t>
      </w:r>
    </w:p>
    <w:p w14:paraId="09F6F4FF">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（三）评标工作应遵循公平、公正、科学及择优的原则，并以相同的评标程序和标准对待所有的投标人。</w:t>
      </w:r>
    </w:p>
    <w:p w14:paraId="0232CB98">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（四）评标委员会按照招标文件规定的评标程序、评标方法和标准进行独立评审，并独立履行下列职责：</w:t>
      </w:r>
    </w:p>
    <w:p w14:paraId="0A25F43A">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1.熟悉和理解招标文件；</w:t>
      </w:r>
    </w:p>
    <w:p w14:paraId="160B2AF4">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2.审查、评价已通过资格审查的投标文件是否符合招标文件的商务、技术等实质性要求；</w:t>
      </w:r>
    </w:p>
    <w:p w14:paraId="17353D34">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3.对投标文件进行比较和评价；</w:t>
      </w:r>
    </w:p>
    <w:p w14:paraId="1E6D4B7E">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4.根据需要要求采购人对招标文件作出解释；根据需要要求投标人对投标文件有关事项作出解释或者澄清；</w:t>
      </w:r>
    </w:p>
    <w:p w14:paraId="1845BB4D">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5.确定中标候选人名单，或根据采购人委托直接确定中标人；</w:t>
      </w:r>
    </w:p>
    <w:p w14:paraId="2423ED72">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6.起草评标报告并进行签署；</w:t>
      </w:r>
    </w:p>
    <w:p w14:paraId="56252222">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7.向采购人、采购代理机构监察等有关部门报告或举报非法干预评标工作的行为；</w:t>
      </w:r>
    </w:p>
    <w:p w14:paraId="19CCC4E5">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8.向采购人、采购代理机构或者有关部门报告评标中发现的违法行为。</w:t>
      </w:r>
    </w:p>
    <w:p w14:paraId="2D9EF069">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9.法律、法规和规章规定的其他职责。</w:t>
      </w:r>
    </w:p>
    <w:p w14:paraId="589BBCF2">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（五）评标过程独立、保密。投标人非法干预评标过程的行为将导致其投标文件作为无效处理。</w:t>
      </w:r>
    </w:p>
    <w:p w14:paraId="1F4079C6">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（六）评标委员会评价投标文件的响应性，对于投标人而言，除评标委员会要求其澄清、说明或者更正而提供的资料外，仅依据投标文件本身的内容，不寻求其他外部证据。</w:t>
      </w:r>
    </w:p>
    <w:p w14:paraId="652EC6AF">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（七）评标委员会发现招标文件表述不明确或需要说明的事项，可提请采购代理机构书面解释说明。</w:t>
      </w:r>
    </w:p>
    <w:p w14:paraId="24F07ACE">
      <w:pPr>
        <w:pStyle w:val="3"/>
        <w:pageBreakBefore w:val="0"/>
        <w:widowControl w:val="0"/>
        <w:kinsoku/>
        <w:wordWrap/>
        <w:overflowPunct/>
        <w:topLinePunct w:val="0"/>
        <w:autoSpaceDE/>
        <w:autoSpaceDN/>
        <w:bidi w:val="0"/>
        <w:adjustRightInd/>
        <w:snapToGrid w:val="0"/>
        <w:spacing w:before="0" w:after="0" w:line="360" w:lineRule="auto"/>
        <w:ind w:firstLine="562" w:firstLineChars="200"/>
        <w:jc w:val="center"/>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二、评标</w:t>
      </w:r>
      <w:bookmarkEnd w:id="44"/>
      <w:r>
        <w:rPr>
          <w:rFonts w:hint="eastAsia" w:ascii="仿宋" w:hAnsi="仿宋" w:eastAsia="仿宋" w:cs="仿宋"/>
          <w:bCs w:val="0"/>
          <w:color w:val="auto"/>
          <w:sz w:val="28"/>
          <w:szCs w:val="28"/>
          <w:highlight w:val="none"/>
          <w:lang w:eastAsia="zh-CN"/>
        </w:rPr>
        <w:t>方法</w:t>
      </w:r>
    </w:p>
    <w:p w14:paraId="2752232E">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本项目评标方法为：综合评分法，是指投标文件满足招标文件全部实质性要求且按照评审因素的量化指标评审得分最高的供应商为中标候选人的评标方法。</w:t>
      </w:r>
    </w:p>
    <w:p w14:paraId="6B9CEF23">
      <w:pPr>
        <w:pStyle w:val="3"/>
        <w:pageBreakBefore w:val="0"/>
        <w:widowControl w:val="0"/>
        <w:kinsoku/>
        <w:wordWrap/>
        <w:overflowPunct/>
        <w:topLinePunct w:val="0"/>
        <w:autoSpaceDE/>
        <w:autoSpaceDN/>
        <w:bidi w:val="0"/>
        <w:adjustRightInd/>
        <w:snapToGrid w:val="0"/>
        <w:spacing w:before="0" w:after="0" w:line="360" w:lineRule="auto"/>
        <w:ind w:firstLine="562" w:firstLineChars="200"/>
        <w:jc w:val="center"/>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三、评标程序</w:t>
      </w:r>
    </w:p>
    <w:p w14:paraId="40073864">
      <w:pPr>
        <w:keepNext/>
        <w:keepLines/>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outlineLvl w:val="2"/>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（一）熟悉和理解招标文件和停止评标</w:t>
      </w:r>
    </w:p>
    <w:p w14:paraId="32954A18">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1.评标委员会正式评标前，应当对招标文件进行熟悉和理解，内容主要包括招标文件中投标人资格条件要求、采购项目技术、服务和商务要求、评标方法和标准以及可能涉及签订采购合同的内容等。</w:t>
      </w:r>
    </w:p>
    <w:p w14:paraId="2323B974">
      <w:pPr>
        <w:keepNext/>
        <w:keepLines/>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outlineLvl w:val="2"/>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（二）符合性审查</w:t>
      </w:r>
    </w:p>
    <w:p w14:paraId="7A3DF3C0">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364DA668">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2.投标文件（包括单独提交的开标一览表）有下列情形的，本项目不作为实质性要求进行规定，即不作为符合性审查事项，不得作为无效投标处理：</w:t>
      </w:r>
    </w:p>
    <w:p w14:paraId="19AAD593">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（1）正、副本数量齐全、密封完好，只是未按照招标文件要求进行分装或者统装的；</w:t>
      </w:r>
    </w:p>
    <w:p w14:paraId="34188180">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（2）除法定代表人或单位负责人授权书外，存在个别地方（不超过2个）没有法定代表人或单位负责人签字，但有法定代表人或单位负责人的私人印章或者有效授权代理人签字的；</w:t>
      </w:r>
    </w:p>
    <w:p w14:paraId="01C13994">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（3）除招标文件明确要求加盖单位（法人）公章的以外，其他地方以相关专用章加盖的；</w:t>
      </w:r>
    </w:p>
    <w:p w14:paraId="6C3C9FB3">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（4）除招标文件明确要求加盖单位（法人）公章的以外，以骑缝章的形式代替投标文件内容逐页盖章的（但是骑缝章模糊不清，印章名称无法辨认的除外）；</w:t>
      </w:r>
    </w:p>
    <w:p w14:paraId="29D27577">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（5）其他不影响采购项目实质性要求的情形。</w:t>
      </w:r>
    </w:p>
    <w:p w14:paraId="0904B8B2">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3.除采购法律制度规定的情形外，本项目投标人或者其投标文件有下列情形之一的，作为无效投标处理：</w:t>
      </w:r>
    </w:p>
    <w:p w14:paraId="5DAFA20E">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（1）投标文件正副本数量不足的；</w:t>
      </w:r>
    </w:p>
    <w:p w14:paraId="694079F9">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（2）投标文件组成明显不符合招标文件的规定要求，影响评标委员会评判的；</w:t>
      </w:r>
    </w:p>
    <w:p w14:paraId="31DDE5A5">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（3）投标文件语言、计量单位、报价货币、知识产权、投标有效期等不符合招标文件的规定，影响评标委员会评判的；</w:t>
      </w:r>
    </w:p>
    <w:p w14:paraId="65A4F1BF">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（4）投标报价不符合招标文件规定的采购预算或限价或其他报价规定的；</w:t>
      </w:r>
    </w:p>
    <w:p w14:paraId="6AC5B115">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（5）商务、技术、服务应答内容没有完全响应招标文件的实质性要求的；</w:t>
      </w:r>
    </w:p>
    <w:p w14:paraId="318462EA">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（6）未载明或者载明的招标项目履约时间、方式、数量及其他采购合同实质性内容与招标文件要求不一致，且采购人无法接受的。</w:t>
      </w:r>
    </w:p>
    <w:p w14:paraId="58C8C997">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（7）投标文件未按招标文件要求签署、盖章的（本条（二）符合性审查2.规定的例外情形除外）；</w:t>
      </w:r>
    </w:p>
    <w:p w14:paraId="0D107B76">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（8）没有完全响应招标文件的其他实质性要求或属于招标文件中投标无效情形的。</w:t>
      </w:r>
    </w:p>
    <w:p w14:paraId="56D0BD78">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4.投标人有下列情形之一的,评标委员会认定为投标人串通投标，其投标无效： </w:t>
      </w:r>
    </w:p>
    <w:p w14:paraId="2CD60B21">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（1）不同投标人的投标文件由同一单位或者个人编制； </w:t>
      </w:r>
    </w:p>
    <w:p w14:paraId="7EC22A03">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（2）不同投标人委托同一单位或者个人办理投标事宜； </w:t>
      </w:r>
    </w:p>
    <w:p w14:paraId="38052898">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（3）不同投标人的投标文件载明的项目管理成员或者联系人员为同一人； </w:t>
      </w:r>
    </w:p>
    <w:p w14:paraId="1A4B9341">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（4）不同投标人的投标文件异常一致或者投标报价呈规律性差异； </w:t>
      </w:r>
    </w:p>
    <w:p w14:paraId="065D0C19">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（5）不同投标人的投标文件相互混装；</w:t>
      </w:r>
    </w:p>
    <w:p w14:paraId="1D123FA4">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（6）不同投标人的投标保证金从同一单位或者个人的账户转出。</w:t>
      </w:r>
    </w:p>
    <w:p w14:paraId="5E8FB6DC">
      <w:pPr>
        <w:keepNext/>
        <w:keepLines/>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outlineLvl w:val="2"/>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（三）</w:t>
      </w:r>
      <w:r>
        <w:rPr>
          <w:rFonts w:hint="eastAsia" w:ascii="仿宋" w:hAnsi="仿宋" w:eastAsia="仿宋" w:cs="仿宋"/>
          <w:b/>
          <w:bCs/>
          <w:sz w:val="24"/>
          <w:szCs w:val="24"/>
          <w:highlight w:val="none"/>
          <w:lang w:eastAsia="zh-CN"/>
        </w:rPr>
        <w:t>解释、澄清有关问题</w:t>
      </w:r>
    </w:p>
    <w:p w14:paraId="44AAB9E3">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评标过程中，评标委员会认为招标文件有关事项表述不明确或需要说明的，可以提请采购代理机构书面解释。采购代理机构的解释不得改变招标文件的原义或者影响公平、公正，解释事项如果涉及投标人权益的以有利于投标人的原则进行解释。</w:t>
      </w:r>
    </w:p>
    <w:p w14:paraId="666057D8">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对投标文件中含义不明确、同类问题表述不一致或者有明显文字和计算错误的内容，评标委员会应当要求投标人作出必要的澄清、说明或补正，并给予投标人必要的反馈时间。投标人应当按评标委员会的要求进行澄清、说明或者补正。投标人的澄清、说明或者补正不得超出投标文件的范围或者改变投标文件的实质性内容。澄清不影响投标文件的效力，有效的澄清材料，是投标文件的组成部分。</w:t>
      </w:r>
    </w:p>
    <w:p w14:paraId="13ED69BB">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3.澄清应当不超出投标文件的范围、不实质性改变投标文件的内容、不影响投标人的公平竞争、不导致投标文件从不响应招标文件变为响应招标文件的条件。下列内容不得澄清：</w:t>
      </w:r>
    </w:p>
    <w:p w14:paraId="452832D6">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（1）投标人投标文件中不响应招标文件规定的技术参数指标和商务应答；</w:t>
      </w:r>
    </w:p>
    <w:p w14:paraId="7BC31CEE">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（2）投标人投标文件中未提供的证明其是否符合招标文件资格性、符合性规定要求的相关材料。</w:t>
      </w:r>
    </w:p>
    <w:p w14:paraId="25D4785E">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（3）投标人投标文件中的材料因印刷、影印等不清晰而难以辨认的。</w:t>
      </w:r>
    </w:p>
    <w:p w14:paraId="14FDBE52">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4.投标文件报价出现下列情况的，不需要投标人澄清，按以下原则处理：</w:t>
      </w:r>
    </w:p>
    <w:p w14:paraId="5884B7F6">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（1）投标文件中开标一览表（报价表）内容与投标文件中相应内容不一致的，以开标一览表（报价表）为准；</w:t>
      </w:r>
    </w:p>
    <w:p w14:paraId="040B1B8B">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（2）大写金额和小写金额不一致的，以大写金额为准，但大写金额出现文字错误，导致金额无法判断的除外；</w:t>
      </w:r>
    </w:p>
    <w:p w14:paraId="1999E86F">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（3）单价金额小数点或者百分比有明显错位的，以总价为准，并修改单价；</w:t>
      </w:r>
    </w:p>
    <w:p w14:paraId="33D6A029">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（4）总价金额与按单价汇总金额不一致的，以单价金额计算结果为准。</w:t>
      </w:r>
    </w:p>
    <w:p w14:paraId="5A035AC5">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同时出现两种以上不一致的，按照前款规定的顺序修正。修正后的报价经投标人确认后产生约束力，投标人不确认的，其投标无效。评标委员会不得未经要求投标人确认，直接将投标人投标文件做无效处理。</w:t>
      </w:r>
    </w:p>
    <w:p w14:paraId="00BE8C5A">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5.对不同语言文本投标文件的解释发生异议的，以中文文本为准。</w:t>
      </w:r>
    </w:p>
    <w:p w14:paraId="5AD90248">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rPr>
        <w:t>评标委员会应当积极履行澄清、说明或者更正的职责，不得滥用权力。</w:t>
      </w:r>
    </w:p>
    <w:p w14:paraId="30AC4A6B">
      <w:pPr>
        <w:keepNext/>
        <w:keepLines/>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outlineLvl w:val="2"/>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（四）比较与评价</w:t>
      </w:r>
    </w:p>
    <w:p w14:paraId="5C894F26">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按招标文件中规定的评标细则及标准，对符合性审查合格的投标文件进行商务和技术评估，综合比较和评价。</w:t>
      </w:r>
    </w:p>
    <w:p w14:paraId="5E522BF8">
      <w:pPr>
        <w:keepNext/>
        <w:keepLines/>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outlineLvl w:val="2"/>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（五）复核</w:t>
      </w:r>
    </w:p>
    <w:p w14:paraId="1CCA3CA2">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1.评分汇总结束后，评标委员会应当进行复核，特别要对拟推荐为中标候选供应商的、报价最低的、投标文件被认定为无效的进行重点复核。</w:t>
      </w:r>
    </w:p>
    <w:p w14:paraId="68F261AC">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2.评标结果汇总完成后，评标委员会拟出具评审报告前，采购代理机构应当组织2名以上的工作人员，在采购现场监督人员的监督之下，依据有关的法律制度和采购文件对评审结果进行复核，出具复核报告。</w:t>
      </w:r>
    </w:p>
    <w:p w14:paraId="54D5DABB">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3.评标结果汇总完成后，除下列情形外，任何人不得修改评标结果：</w:t>
      </w:r>
    </w:p>
    <w:p w14:paraId="70ACE880">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（1）分值汇总计算错误的；</w:t>
      </w:r>
    </w:p>
    <w:p w14:paraId="35644FC9">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（2）分项评分超出评分标准范围的；</w:t>
      </w:r>
    </w:p>
    <w:p w14:paraId="4E25472B">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（3）评标委员会成员对客观评审因素评分不一致的；</w:t>
      </w:r>
    </w:p>
    <w:p w14:paraId="50EBDD68">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（4）经评标委员会认定评分畸高、畸低的。</w:t>
      </w:r>
    </w:p>
    <w:p w14:paraId="0B456C29">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评标报告签署前，经复核发现存在以上情形之一的，评标委员会应当当场修改评标结果，并在评标报告中记载；评标报告签署后，采购人或者采购代理机构发现存在以上情形之一的，应当组织原评标委员会进行重新评审。</w:t>
      </w:r>
    </w:p>
    <w:p w14:paraId="3B79B9EC">
      <w:pPr>
        <w:keepNext/>
        <w:keepLines/>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outlineLvl w:val="2"/>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（六）</w:t>
      </w:r>
      <w:r>
        <w:rPr>
          <w:rFonts w:hint="eastAsia" w:ascii="仿宋" w:hAnsi="仿宋" w:eastAsia="仿宋" w:cs="仿宋"/>
          <w:b/>
          <w:bCs/>
          <w:sz w:val="24"/>
          <w:szCs w:val="24"/>
          <w:highlight w:val="none"/>
          <w:lang w:val="en-US" w:eastAsia="zh-CN"/>
        </w:rPr>
        <w:t>推荐</w:t>
      </w:r>
      <w:r>
        <w:rPr>
          <w:rFonts w:hint="eastAsia" w:ascii="仿宋" w:hAnsi="仿宋" w:eastAsia="仿宋" w:cs="仿宋"/>
          <w:b/>
          <w:bCs/>
          <w:sz w:val="24"/>
          <w:szCs w:val="24"/>
          <w:highlight w:val="none"/>
          <w:lang w:eastAsia="zh-CN"/>
        </w:rPr>
        <w:t>中标候选人名单</w:t>
      </w:r>
    </w:p>
    <w:p w14:paraId="58CAE21F">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评标结果按评审后得分由高到低顺序排列。得分相同的，按投标报价由低到高顺序排列；得分且投标报价相同的，不发达地区或少数民族地区的供应商排列顺序在非不发达地区或少数民族地区的供应商之前；得分且投标报价相同的，且均为不发达地区或少数民族地区的供应商并列；得分且投标报价相同的，且不能判定为不发达地区或少数民族地区的供应商并列。（不发达地区或少数民族地区的供应商需提供属于不发达地区或少数民族地区企业的相关证明材料，或供应商注册地为少数民族地区）</w:t>
      </w:r>
    </w:p>
    <w:p w14:paraId="68E16EB7">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ascii="仿宋" w:hAnsi="仿宋" w:eastAsia="仿宋" w:cs="仿宋"/>
          <w:sz w:val="24"/>
          <w:szCs w:val="24"/>
          <w:highlight w:val="none"/>
          <w:lang w:val="en-US" w:eastAsia="zh-CN"/>
        </w:rPr>
        <w:t>（2）各采购包分别推荐中标候选人3名。</w:t>
      </w:r>
    </w:p>
    <w:p w14:paraId="7FCFE0B4">
      <w:pPr>
        <w:keepNext/>
        <w:keepLines/>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outlineLvl w:val="2"/>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（七）编写评标报告</w:t>
      </w:r>
    </w:p>
    <w:p w14:paraId="29D5BF39">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1.评标报告是评标委员会根据全体评标成员签字的原始评标记录和评标结果编写的报告，其主要内容包括：</w:t>
      </w:r>
    </w:p>
    <w:p w14:paraId="510DD33E">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（1）招标公告刊登的媒体名称、开标日期和地点；</w:t>
      </w:r>
    </w:p>
    <w:p w14:paraId="0C6473AB">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（2）投标人名单和评标委员会成员名单；</w:t>
      </w:r>
    </w:p>
    <w:p w14:paraId="53829386">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（3）评标方法和标准；</w:t>
      </w:r>
    </w:p>
    <w:p w14:paraId="41A7DBB7">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（4）开标记录和评标情况及说明，包括投标无效投标人名单及原因；</w:t>
      </w:r>
    </w:p>
    <w:p w14:paraId="29466CFE">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（5）评标结果，确定的中标候选人名单或者经采购人委托直接确定的中标人；</w:t>
      </w:r>
    </w:p>
    <w:p w14:paraId="278A6EF4">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（6）其他需要说明的情况，包括评标过程中投标人根据评标委员会要求进行的澄清、说明或者补正，评标委员会成员的更换等；</w:t>
      </w:r>
    </w:p>
    <w:p w14:paraId="69A67EDB">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（7）报价最高的投标人为中标候选人的，评标委员会应当对其报价的合理性予以特别说明。</w:t>
      </w:r>
    </w:p>
    <w:p w14:paraId="488F7466">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2.评标委员会成员应当在评标报告中签字确认，对评标过程和结果有不同意见的，应当在评标报告中写明并说明理由。签字但未写明不同意见或者未说明理由的，视同无意见</w:t>
      </w:r>
      <w:r>
        <w:rPr>
          <w:rFonts w:hint="eastAsia" w:ascii="仿宋" w:hAnsi="仿宋" w:eastAsia="仿宋" w:cs="仿宋"/>
          <w:sz w:val="24"/>
          <w:szCs w:val="24"/>
          <w:highlight w:val="none"/>
        </w:rPr>
        <w:t>。拒不签字又未另行书面说明其不同意见和理由的，视同同意评标结果。</w:t>
      </w:r>
    </w:p>
    <w:p w14:paraId="3570A63B">
      <w:pPr>
        <w:keepNext/>
        <w:keepLines/>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outlineLvl w:val="2"/>
        <w:rPr>
          <w:rFonts w:hint="eastAsia" w:ascii="仿宋" w:hAnsi="仿宋" w:eastAsia="仿宋" w:cs="仿宋"/>
          <w:b/>
          <w:bCs/>
          <w:sz w:val="24"/>
          <w:szCs w:val="24"/>
          <w:highlight w:val="none"/>
          <w:lang w:eastAsia="zh-CN"/>
        </w:rPr>
      </w:pPr>
      <w:bookmarkStart w:id="45" w:name="_Toc85122603"/>
      <w:r>
        <w:rPr>
          <w:rFonts w:hint="eastAsia" w:ascii="仿宋" w:hAnsi="仿宋" w:eastAsia="仿宋" w:cs="仿宋"/>
          <w:b/>
          <w:bCs/>
          <w:sz w:val="24"/>
          <w:szCs w:val="24"/>
          <w:highlight w:val="none"/>
          <w:lang w:eastAsia="zh-CN"/>
        </w:rPr>
        <w:t>（八）评标争议处理规则</w:t>
      </w:r>
      <w:bookmarkEnd w:id="45"/>
    </w:p>
    <w:p w14:paraId="47F3F07D">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标委员会在评审过程中，对于符合性审查、对投标人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采购代理机构书面反映。</w:t>
      </w:r>
    </w:p>
    <w:p w14:paraId="30E6BA09">
      <w:pPr>
        <w:pStyle w:val="3"/>
        <w:pageBreakBefore w:val="0"/>
        <w:widowControl w:val="0"/>
        <w:kinsoku/>
        <w:wordWrap/>
        <w:overflowPunct/>
        <w:topLinePunct w:val="0"/>
        <w:autoSpaceDE/>
        <w:autoSpaceDN/>
        <w:bidi w:val="0"/>
        <w:adjustRightInd/>
        <w:snapToGrid w:val="0"/>
        <w:spacing w:before="0" w:after="0" w:line="360" w:lineRule="auto"/>
        <w:ind w:firstLine="562" w:firstLineChars="200"/>
        <w:jc w:val="center"/>
        <w:textAlignment w:val="auto"/>
        <w:rPr>
          <w:rFonts w:hint="eastAsia" w:ascii="仿宋" w:hAnsi="仿宋" w:eastAsia="仿宋" w:cs="仿宋"/>
          <w:bCs w:val="0"/>
          <w:color w:val="auto"/>
          <w:sz w:val="28"/>
          <w:szCs w:val="28"/>
          <w:highlight w:val="none"/>
          <w:lang w:eastAsia="zh-CN"/>
        </w:rPr>
      </w:pPr>
      <w:bookmarkStart w:id="46" w:name="_Toc85122604"/>
      <w:r>
        <w:rPr>
          <w:rFonts w:hint="eastAsia" w:ascii="仿宋" w:hAnsi="仿宋" w:eastAsia="仿宋" w:cs="仿宋"/>
          <w:bCs w:val="0"/>
          <w:color w:val="auto"/>
          <w:sz w:val="28"/>
          <w:szCs w:val="28"/>
          <w:highlight w:val="none"/>
          <w:lang w:eastAsia="zh-CN"/>
        </w:rPr>
        <w:t>四、评标细则及标准</w:t>
      </w:r>
      <w:bookmarkEnd w:id="46"/>
    </w:p>
    <w:p w14:paraId="0A943E4C">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评标委员会只对通过资格</w:t>
      </w:r>
      <w:r>
        <w:rPr>
          <w:rFonts w:hint="eastAsia" w:ascii="仿宋" w:hAnsi="仿宋" w:eastAsia="仿宋" w:cs="仿宋"/>
          <w:sz w:val="24"/>
          <w:szCs w:val="24"/>
          <w:highlight w:val="none"/>
          <w:lang w:eastAsia="zh-CN"/>
        </w:rPr>
        <w:t>审查</w:t>
      </w:r>
      <w:r>
        <w:rPr>
          <w:rFonts w:hint="eastAsia" w:ascii="仿宋" w:hAnsi="仿宋" w:eastAsia="仿宋" w:cs="仿宋"/>
          <w:sz w:val="24"/>
          <w:szCs w:val="24"/>
          <w:highlight w:val="none"/>
        </w:rPr>
        <w:t>和符合性</w:t>
      </w:r>
      <w:r>
        <w:rPr>
          <w:rFonts w:hint="eastAsia" w:ascii="仿宋" w:hAnsi="仿宋" w:eastAsia="仿宋" w:cs="仿宋"/>
          <w:sz w:val="24"/>
          <w:szCs w:val="24"/>
          <w:highlight w:val="none"/>
          <w:lang w:eastAsia="zh-CN"/>
        </w:rPr>
        <w:t>审查</w:t>
      </w:r>
      <w:r>
        <w:rPr>
          <w:rFonts w:hint="eastAsia" w:ascii="仿宋" w:hAnsi="仿宋" w:eastAsia="仿宋" w:cs="仿宋"/>
          <w:sz w:val="24"/>
          <w:szCs w:val="24"/>
          <w:highlight w:val="none"/>
        </w:rPr>
        <w:t>的投标文件，根据招标文件的要求采用相同的评标程序、评分办法及标准进行评价和比较。</w:t>
      </w:r>
    </w:p>
    <w:p w14:paraId="1E518A44">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评标委员会成员应依据招标文件规定的评分标准和方法独立打分。</w:t>
      </w:r>
    </w:p>
    <w:p w14:paraId="414DC136">
      <w:pPr>
        <w:keepNext/>
        <w:keepLines/>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outlineLvl w:val="2"/>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（一）评分办法</w:t>
      </w:r>
    </w:p>
    <w:p w14:paraId="693C2560">
      <w:pPr>
        <w:keepNext/>
        <w:keepLines/>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本次评标采用综合评分法，由评标委员会各成员独立对通过资格审查和符合性审查的投标人的投标文件进行评审和打分。</w:t>
      </w:r>
    </w:p>
    <w:p w14:paraId="5C410203">
      <w:pPr>
        <w:keepNext/>
        <w:keepLines/>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outlineLvl w:val="2"/>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（二）评分标准</w:t>
      </w:r>
    </w:p>
    <w:tbl>
      <w:tblPr>
        <w:tblStyle w:val="21"/>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164"/>
        <w:gridCol w:w="1140"/>
        <w:gridCol w:w="5100"/>
        <w:gridCol w:w="1186"/>
      </w:tblGrid>
      <w:tr w14:paraId="0FC6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8" w:type="dxa"/>
            <w:noWrap w:val="0"/>
            <w:tcMar>
              <w:top w:w="0" w:type="dxa"/>
              <w:left w:w="108" w:type="dxa"/>
              <w:bottom w:w="0" w:type="dxa"/>
              <w:right w:w="108" w:type="dxa"/>
            </w:tcMar>
            <w:vAlign w:val="center"/>
          </w:tcPr>
          <w:p w14:paraId="3B98907B">
            <w:pPr>
              <w:pageBreakBefore w:val="0"/>
              <w:widowControl/>
              <w:kinsoku/>
              <w:wordWrap/>
              <w:overflowPunct/>
              <w:topLinePunct w:val="0"/>
              <w:autoSpaceDE/>
              <w:autoSpaceDN/>
              <w:bidi w:val="0"/>
              <w:adjustRightInd/>
              <w:spacing w:line="520" w:lineRule="exact"/>
              <w:jc w:val="center"/>
              <w:textAlignment w:val="auto"/>
              <w:outlineLvl w:val="9"/>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序号</w:t>
            </w:r>
          </w:p>
        </w:tc>
        <w:tc>
          <w:tcPr>
            <w:tcW w:w="1164" w:type="dxa"/>
            <w:noWrap w:val="0"/>
            <w:tcMar>
              <w:top w:w="0" w:type="dxa"/>
              <w:left w:w="108" w:type="dxa"/>
              <w:bottom w:w="0" w:type="dxa"/>
              <w:right w:w="108" w:type="dxa"/>
            </w:tcMar>
            <w:vAlign w:val="center"/>
          </w:tcPr>
          <w:p w14:paraId="20EBA868">
            <w:pPr>
              <w:pageBreakBefore w:val="0"/>
              <w:widowControl/>
              <w:kinsoku/>
              <w:wordWrap/>
              <w:overflowPunct/>
              <w:topLinePunct w:val="0"/>
              <w:autoSpaceDE/>
              <w:autoSpaceDN/>
              <w:bidi w:val="0"/>
              <w:adjustRightInd/>
              <w:spacing w:line="520" w:lineRule="exact"/>
              <w:jc w:val="center"/>
              <w:textAlignment w:val="auto"/>
              <w:outlineLvl w:val="9"/>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评</w:t>
            </w:r>
            <w:r>
              <w:rPr>
                <w:rFonts w:hint="eastAsia" w:ascii="仿宋" w:hAnsi="仿宋" w:eastAsia="仿宋" w:cs="仿宋"/>
                <w:b/>
                <w:color w:val="auto"/>
                <w:kern w:val="0"/>
                <w:sz w:val="22"/>
                <w:szCs w:val="22"/>
                <w:highlight w:val="none"/>
                <w:lang w:val="en-US" w:eastAsia="zh-CN"/>
              </w:rPr>
              <w:t>审</w:t>
            </w:r>
            <w:r>
              <w:rPr>
                <w:rFonts w:hint="eastAsia" w:ascii="仿宋" w:hAnsi="仿宋" w:eastAsia="仿宋" w:cs="仿宋"/>
                <w:b/>
                <w:color w:val="auto"/>
                <w:kern w:val="0"/>
                <w:sz w:val="22"/>
                <w:szCs w:val="22"/>
                <w:highlight w:val="none"/>
              </w:rPr>
              <w:t>因素</w:t>
            </w:r>
          </w:p>
        </w:tc>
        <w:tc>
          <w:tcPr>
            <w:tcW w:w="1140" w:type="dxa"/>
            <w:noWrap w:val="0"/>
            <w:tcMar>
              <w:top w:w="0" w:type="dxa"/>
              <w:left w:w="108" w:type="dxa"/>
              <w:bottom w:w="0" w:type="dxa"/>
              <w:right w:w="108" w:type="dxa"/>
            </w:tcMar>
            <w:vAlign w:val="center"/>
          </w:tcPr>
          <w:p w14:paraId="0AEFE329">
            <w:pPr>
              <w:pageBreakBefore w:val="0"/>
              <w:widowControl/>
              <w:kinsoku/>
              <w:wordWrap/>
              <w:overflowPunct/>
              <w:topLinePunct w:val="0"/>
              <w:autoSpaceDE/>
              <w:autoSpaceDN/>
              <w:bidi w:val="0"/>
              <w:adjustRightInd/>
              <w:spacing w:line="520" w:lineRule="exact"/>
              <w:jc w:val="center"/>
              <w:textAlignment w:val="auto"/>
              <w:outlineLvl w:val="9"/>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分值</w:t>
            </w:r>
          </w:p>
        </w:tc>
        <w:tc>
          <w:tcPr>
            <w:tcW w:w="5100" w:type="dxa"/>
            <w:noWrap w:val="0"/>
            <w:tcMar>
              <w:top w:w="0" w:type="dxa"/>
              <w:left w:w="108" w:type="dxa"/>
              <w:bottom w:w="0" w:type="dxa"/>
              <w:right w:w="108" w:type="dxa"/>
            </w:tcMar>
            <w:vAlign w:val="center"/>
          </w:tcPr>
          <w:p w14:paraId="31666306">
            <w:pPr>
              <w:pageBreakBefore w:val="0"/>
              <w:widowControl/>
              <w:kinsoku/>
              <w:wordWrap/>
              <w:overflowPunct/>
              <w:topLinePunct w:val="0"/>
              <w:autoSpaceDE/>
              <w:autoSpaceDN/>
              <w:bidi w:val="0"/>
              <w:adjustRightInd/>
              <w:spacing w:line="520" w:lineRule="exact"/>
              <w:jc w:val="center"/>
              <w:textAlignment w:val="auto"/>
              <w:outlineLvl w:val="9"/>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评分标准</w:t>
            </w:r>
          </w:p>
        </w:tc>
        <w:tc>
          <w:tcPr>
            <w:tcW w:w="1186" w:type="dxa"/>
            <w:noWrap w:val="0"/>
            <w:tcMar>
              <w:top w:w="0" w:type="dxa"/>
              <w:left w:w="108" w:type="dxa"/>
              <w:bottom w:w="0" w:type="dxa"/>
              <w:right w:w="108" w:type="dxa"/>
            </w:tcMar>
            <w:vAlign w:val="center"/>
          </w:tcPr>
          <w:p w14:paraId="01AFF3B9">
            <w:pPr>
              <w:pageBreakBefore w:val="0"/>
              <w:widowControl/>
              <w:kinsoku/>
              <w:wordWrap/>
              <w:overflowPunct/>
              <w:topLinePunct w:val="0"/>
              <w:autoSpaceDE/>
              <w:autoSpaceDN/>
              <w:bidi w:val="0"/>
              <w:adjustRightInd/>
              <w:spacing w:line="520" w:lineRule="exact"/>
              <w:jc w:val="center"/>
              <w:textAlignment w:val="auto"/>
              <w:outlineLvl w:val="9"/>
              <w:rPr>
                <w:rFonts w:hint="eastAsia" w:ascii="仿宋" w:hAnsi="仿宋" w:eastAsia="仿宋" w:cs="仿宋"/>
                <w:b/>
                <w:color w:val="auto"/>
                <w:kern w:val="0"/>
                <w:sz w:val="22"/>
                <w:szCs w:val="22"/>
                <w:highlight w:val="none"/>
                <w:lang w:val="en-US" w:eastAsia="zh-CN"/>
              </w:rPr>
            </w:pPr>
            <w:r>
              <w:rPr>
                <w:rFonts w:hint="eastAsia" w:ascii="仿宋" w:hAnsi="仿宋" w:eastAsia="仿宋" w:cs="仿宋"/>
                <w:b/>
                <w:color w:val="auto"/>
                <w:kern w:val="0"/>
                <w:sz w:val="22"/>
                <w:szCs w:val="22"/>
                <w:highlight w:val="none"/>
                <w:lang w:val="en-US" w:eastAsia="zh-CN"/>
              </w:rPr>
              <w:t>说明</w:t>
            </w:r>
          </w:p>
        </w:tc>
      </w:tr>
      <w:tr w14:paraId="7A46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8" w:type="dxa"/>
            <w:noWrap w:val="0"/>
            <w:tcMar>
              <w:top w:w="0" w:type="dxa"/>
              <w:left w:w="108" w:type="dxa"/>
              <w:bottom w:w="0" w:type="dxa"/>
              <w:right w:w="108" w:type="dxa"/>
            </w:tcMar>
            <w:vAlign w:val="center"/>
          </w:tcPr>
          <w:p w14:paraId="07B28C13">
            <w:pPr>
              <w:pageBreakBefore w:val="0"/>
              <w:widowControl/>
              <w:kinsoku/>
              <w:wordWrap/>
              <w:overflowPunct/>
              <w:topLinePunct w:val="0"/>
              <w:autoSpaceDE/>
              <w:autoSpaceDN/>
              <w:bidi w:val="0"/>
              <w:adjustRightInd/>
              <w:spacing w:line="520" w:lineRule="exact"/>
              <w:jc w:val="center"/>
              <w:textAlignment w:val="auto"/>
              <w:outlineLvl w:val="9"/>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1</w:t>
            </w:r>
          </w:p>
        </w:tc>
        <w:tc>
          <w:tcPr>
            <w:tcW w:w="1164" w:type="dxa"/>
            <w:noWrap w:val="0"/>
            <w:tcMar>
              <w:top w:w="0" w:type="dxa"/>
              <w:left w:w="108" w:type="dxa"/>
              <w:bottom w:w="0" w:type="dxa"/>
              <w:right w:w="108" w:type="dxa"/>
            </w:tcMar>
            <w:vAlign w:val="center"/>
          </w:tcPr>
          <w:p w14:paraId="41393D78">
            <w:pPr>
              <w:pageBreakBefore w:val="0"/>
              <w:widowControl/>
              <w:kinsoku/>
              <w:wordWrap/>
              <w:overflowPunct/>
              <w:topLinePunct w:val="0"/>
              <w:autoSpaceDE/>
              <w:autoSpaceDN/>
              <w:bidi w:val="0"/>
              <w:adjustRightInd/>
              <w:spacing w:line="520" w:lineRule="exact"/>
              <w:jc w:val="center"/>
              <w:textAlignment w:val="auto"/>
              <w:outlineLvl w:val="9"/>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报价</w:t>
            </w:r>
          </w:p>
        </w:tc>
        <w:tc>
          <w:tcPr>
            <w:tcW w:w="1140" w:type="dxa"/>
            <w:noWrap w:val="0"/>
            <w:tcMar>
              <w:top w:w="0" w:type="dxa"/>
              <w:left w:w="108" w:type="dxa"/>
              <w:bottom w:w="0" w:type="dxa"/>
              <w:right w:w="108" w:type="dxa"/>
            </w:tcMar>
            <w:vAlign w:val="center"/>
          </w:tcPr>
          <w:p w14:paraId="00CA03F4">
            <w:pPr>
              <w:pageBreakBefore w:val="0"/>
              <w:widowControl/>
              <w:kinsoku/>
              <w:wordWrap/>
              <w:overflowPunct/>
              <w:topLinePunct w:val="0"/>
              <w:autoSpaceDE/>
              <w:autoSpaceDN/>
              <w:bidi w:val="0"/>
              <w:adjustRightInd/>
              <w:spacing w:line="520" w:lineRule="exact"/>
              <w:jc w:val="center"/>
              <w:textAlignment w:val="auto"/>
              <w:outlineLvl w:val="9"/>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lang w:val="en-US" w:eastAsia="zh-CN"/>
              </w:rPr>
              <w:t>26</w:t>
            </w:r>
            <w:r>
              <w:rPr>
                <w:rFonts w:hint="eastAsia" w:ascii="仿宋" w:hAnsi="仿宋" w:eastAsia="仿宋" w:cs="仿宋"/>
                <w:bCs/>
                <w:color w:val="auto"/>
                <w:kern w:val="0"/>
                <w:sz w:val="22"/>
                <w:szCs w:val="22"/>
                <w:highlight w:val="none"/>
              </w:rPr>
              <w:t>分</w:t>
            </w:r>
          </w:p>
        </w:tc>
        <w:tc>
          <w:tcPr>
            <w:tcW w:w="5100" w:type="dxa"/>
            <w:noWrap w:val="0"/>
            <w:tcMar>
              <w:top w:w="0" w:type="dxa"/>
              <w:left w:w="108" w:type="dxa"/>
              <w:bottom w:w="0" w:type="dxa"/>
              <w:right w:w="108" w:type="dxa"/>
            </w:tcMar>
            <w:vAlign w:val="center"/>
          </w:tcPr>
          <w:p w14:paraId="15AD3FED">
            <w:pPr>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1.满足招标文件要求且投标价格最低的投标报价为评标基准价，其价格分为满分。其他投标人的价格分统一按照下列公式计算：投标报价得分=(评标基准价／投标报价)×100</w:t>
            </w:r>
          </w:p>
          <w:p w14:paraId="73F96574">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2.报价最终得分=投标报价得分×权重。评分的取值按四舍五入法，保留小数点后两位。</w:t>
            </w:r>
          </w:p>
        </w:tc>
        <w:tc>
          <w:tcPr>
            <w:tcW w:w="1186" w:type="dxa"/>
            <w:noWrap w:val="0"/>
            <w:tcMar>
              <w:top w:w="0" w:type="dxa"/>
              <w:left w:w="108" w:type="dxa"/>
              <w:bottom w:w="0" w:type="dxa"/>
              <w:right w:w="108" w:type="dxa"/>
            </w:tcMar>
            <w:vAlign w:val="center"/>
          </w:tcPr>
          <w:p w14:paraId="7D1026AC">
            <w:pPr>
              <w:pageBreakBefore w:val="0"/>
              <w:widowControl/>
              <w:numPr>
                <w:ilvl w:val="0"/>
                <w:numId w:val="0"/>
              </w:numPr>
              <w:kinsoku/>
              <w:wordWrap/>
              <w:overflowPunct/>
              <w:topLinePunct w:val="0"/>
              <w:autoSpaceDE/>
              <w:autoSpaceDN/>
              <w:bidi w:val="0"/>
              <w:adjustRightInd/>
              <w:spacing w:line="520" w:lineRule="exact"/>
              <w:jc w:val="center"/>
              <w:textAlignment w:val="auto"/>
              <w:outlineLvl w:val="9"/>
              <w:rPr>
                <w:rFonts w:hint="eastAsia" w:ascii="仿宋" w:hAnsi="仿宋" w:eastAsia="仿宋" w:cs="仿宋"/>
                <w:color w:val="auto"/>
                <w:sz w:val="22"/>
                <w:szCs w:val="22"/>
                <w:highlight w:val="none"/>
                <w:lang w:val="en-US" w:eastAsia="zh-CN"/>
              </w:rPr>
            </w:pPr>
          </w:p>
        </w:tc>
      </w:tr>
      <w:tr w14:paraId="4D86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8" w:type="dxa"/>
            <w:noWrap w:val="0"/>
            <w:tcMar>
              <w:top w:w="0" w:type="dxa"/>
              <w:left w:w="108" w:type="dxa"/>
              <w:bottom w:w="0" w:type="dxa"/>
              <w:right w:w="108" w:type="dxa"/>
            </w:tcMar>
            <w:vAlign w:val="center"/>
          </w:tcPr>
          <w:p w14:paraId="44E16015">
            <w:pPr>
              <w:pageBreakBefore w:val="0"/>
              <w:widowControl/>
              <w:kinsoku/>
              <w:wordWrap/>
              <w:overflowPunct/>
              <w:topLinePunct w:val="0"/>
              <w:autoSpaceDE/>
              <w:autoSpaceDN/>
              <w:bidi w:val="0"/>
              <w:adjustRightInd/>
              <w:spacing w:line="520" w:lineRule="exact"/>
              <w:jc w:val="center"/>
              <w:textAlignment w:val="auto"/>
              <w:outlineLvl w:val="9"/>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2</w:t>
            </w:r>
          </w:p>
        </w:tc>
        <w:tc>
          <w:tcPr>
            <w:tcW w:w="1164" w:type="dxa"/>
            <w:noWrap w:val="0"/>
            <w:tcMar>
              <w:top w:w="0" w:type="dxa"/>
              <w:left w:w="108" w:type="dxa"/>
              <w:bottom w:w="0" w:type="dxa"/>
              <w:right w:w="108" w:type="dxa"/>
            </w:tcMar>
            <w:vAlign w:val="center"/>
          </w:tcPr>
          <w:p w14:paraId="604C32C9">
            <w:pPr>
              <w:pageBreakBefore w:val="0"/>
              <w:widowControl/>
              <w:kinsoku/>
              <w:wordWrap/>
              <w:overflowPunct/>
              <w:topLinePunct w:val="0"/>
              <w:autoSpaceDE/>
              <w:autoSpaceDN/>
              <w:bidi w:val="0"/>
              <w:adjustRightInd/>
              <w:spacing w:line="520" w:lineRule="exact"/>
              <w:jc w:val="center"/>
              <w:textAlignment w:val="auto"/>
              <w:outlineLvl w:val="9"/>
              <w:rPr>
                <w:rFonts w:hint="eastAsia" w:ascii="仿宋" w:hAnsi="仿宋" w:eastAsia="仿宋" w:cs="仿宋"/>
                <w:bCs/>
                <w:color w:val="auto"/>
                <w:kern w:val="0"/>
                <w:sz w:val="22"/>
                <w:szCs w:val="22"/>
                <w:highlight w:val="none"/>
              </w:rPr>
            </w:pPr>
            <w:r>
              <w:rPr>
                <w:rFonts w:hint="eastAsia" w:ascii="仿宋" w:hAnsi="仿宋" w:eastAsia="仿宋" w:cs="仿宋"/>
                <w:sz w:val="24"/>
                <w:szCs w:val="24"/>
                <w:highlight w:val="none"/>
              </w:rPr>
              <w:t>技术要求</w:t>
            </w:r>
          </w:p>
        </w:tc>
        <w:tc>
          <w:tcPr>
            <w:tcW w:w="1140" w:type="dxa"/>
            <w:noWrap w:val="0"/>
            <w:tcMar>
              <w:top w:w="0" w:type="dxa"/>
              <w:left w:w="108" w:type="dxa"/>
              <w:bottom w:w="0" w:type="dxa"/>
              <w:right w:w="108" w:type="dxa"/>
            </w:tcMar>
            <w:vAlign w:val="center"/>
          </w:tcPr>
          <w:p w14:paraId="07E499C1">
            <w:pPr>
              <w:pageBreakBefore w:val="0"/>
              <w:widowControl/>
              <w:kinsoku/>
              <w:wordWrap/>
              <w:overflowPunct/>
              <w:topLinePunct w:val="0"/>
              <w:autoSpaceDE/>
              <w:autoSpaceDN/>
              <w:bidi w:val="0"/>
              <w:adjustRightInd/>
              <w:spacing w:line="520" w:lineRule="exact"/>
              <w:jc w:val="center"/>
              <w:textAlignment w:val="auto"/>
              <w:outlineLvl w:val="9"/>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lang w:val="en-US" w:eastAsia="zh-CN"/>
              </w:rPr>
              <w:t>42</w:t>
            </w:r>
            <w:r>
              <w:rPr>
                <w:rFonts w:hint="eastAsia" w:ascii="仿宋" w:hAnsi="仿宋" w:eastAsia="仿宋" w:cs="仿宋"/>
                <w:bCs/>
                <w:color w:val="auto"/>
                <w:kern w:val="0"/>
                <w:sz w:val="22"/>
                <w:szCs w:val="22"/>
                <w:highlight w:val="none"/>
              </w:rPr>
              <w:t>分</w:t>
            </w:r>
          </w:p>
        </w:tc>
        <w:tc>
          <w:tcPr>
            <w:tcW w:w="5100" w:type="dxa"/>
            <w:noWrap w:val="0"/>
            <w:tcMar>
              <w:top w:w="0" w:type="dxa"/>
              <w:left w:w="108" w:type="dxa"/>
              <w:bottom w:w="0" w:type="dxa"/>
              <w:right w:w="108" w:type="dxa"/>
            </w:tcMar>
            <w:vAlign w:val="center"/>
          </w:tcPr>
          <w:p w14:paraId="57D990E4">
            <w:pPr>
              <w:pageBreakBefore w:val="0"/>
              <w:widowControl/>
              <w:numPr>
                <w:ilvl w:val="0"/>
                <w:numId w:val="0"/>
              </w:numPr>
              <w:kinsoku/>
              <w:wordWrap/>
              <w:overflowPunct/>
              <w:topLinePunct w:val="0"/>
              <w:autoSpaceDE/>
              <w:autoSpaceDN/>
              <w:bidi w:val="0"/>
              <w:adjustRightInd/>
              <w:spacing w:line="520" w:lineRule="exact"/>
              <w:ind w:left="0" w:leftChars="0" w:firstLine="0" w:firstLineChars="0"/>
              <w:jc w:val="left"/>
              <w:textAlignment w:val="auto"/>
              <w:outlineLvl w:val="9"/>
              <w:rPr>
                <w:rFonts w:hint="eastAsia" w:ascii="仿宋" w:hAnsi="仿宋" w:eastAsia="仿宋" w:cs="仿宋"/>
                <w:bCs/>
                <w:color w:val="auto"/>
                <w:kern w:val="0"/>
                <w:sz w:val="22"/>
                <w:szCs w:val="22"/>
                <w:highlight w:val="none"/>
                <w:lang w:val="en-US" w:eastAsia="zh-CN"/>
              </w:rPr>
            </w:pPr>
            <w:r>
              <w:rPr>
                <w:rFonts w:hint="eastAsia" w:ascii="仿宋" w:hAnsi="仿宋" w:eastAsia="仿宋" w:cs="仿宋"/>
                <w:bCs/>
                <w:color w:val="auto"/>
                <w:kern w:val="0"/>
                <w:sz w:val="22"/>
                <w:szCs w:val="22"/>
                <w:highlight w:val="none"/>
                <w:lang w:val="en-US" w:eastAsia="zh-CN"/>
              </w:rPr>
              <w:t>投标人完全符合招标文件中技术要求得得42分；每有一项“▲”参数（共6项）不满足要求扣2分，每有一项“●”参数（共5项）不满足要求扣3分，每有一项非 “▲”、“●”、“★”参数（共15项）不满足要求扣1分，本项扣完为止。</w:t>
            </w:r>
          </w:p>
          <w:p w14:paraId="7E93AD17">
            <w:pPr>
              <w:pageBreakBefore w:val="0"/>
              <w:widowControl/>
              <w:numPr>
                <w:ilvl w:val="0"/>
                <w:numId w:val="0"/>
              </w:numPr>
              <w:kinsoku/>
              <w:wordWrap/>
              <w:overflowPunct/>
              <w:topLinePunct w:val="0"/>
              <w:autoSpaceDE/>
              <w:autoSpaceDN/>
              <w:bidi w:val="0"/>
              <w:adjustRightInd/>
              <w:spacing w:line="520" w:lineRule="exact"/>
              <w:ind w:left="0" w:leftChars="0" w:firstLine="0" w:firstLineChars="0"/>
              <w:jc w:val="left"/>
              <w:textAlignment w:val="auto"/>
              <w:outlineLvl w:val="9"/>
              <w:rPr>
                <w:rFonts w:hint="eastAsia" w:ascii="仿宋" w:hAnsi="仿宋" w:eastAsia="仿宋" w:cs="仿宋"/>
                <w:bCs/>
                <w:color w:val="auto"/>
                <w:kern w:val="0"/>
                <w:sz w:val="22"/>
                <w:szCs w:val="22"/>
                <w:highlight w:val="none"/>
                <w:lang w:val="en-US" w:eastAsia="zh-CN"/>
              </w:rPr>
            </w:pPr>
            <w:r>
              <w:rPr>
                <w:rFonts w:hint="eastAsia" w:ascii="仿宋" w:hAnsi="仿宋" w:eastAsia="仿宋" w:cs="仿宋"/>
                <w:bCs/>
                <w:color w:val="auto"/>
                <w:kern w:val="0"/>
                <w:sz w:val="22"/>
                <w:szCs w:val="22"/>
                <w:highlight w:val="none"/>
                <w:lang w:val="en-US" w:eastAsia="zh-CN"/>
              </w:rPr>
              <w:t>注：①★号为实质性要求，要求必须满足词条技术参数，不参与评分。②▲号参数为重要扣分参数，招标文件明确要求提供证明材料的，投标人应当按照相应要求提供证明材料；未明确要求提供证明材料的，以响应或应答为准。③●参数为演示打分参数，要求提供现场演示的均须采用系统功能演示，投标人须自行准备演示所需的工具和材料，总演示时长不超过30分钟，未演示部分不得分。④以招标文件技术要求中一级序号数字（如“1.”“2.”“3.”……）为一项（标题除外）；数字序号下有多级序号的，以最小级数字序号为1项。（如果前面技术参数修改，这里相应修改）</w:t>
            </w:r>
          </w:p>
        </w:tc>
        <w:tc>
          <w:tcPr>
            <w:tcW w:w="1186" w:type="dxa"/>
            <w:noWrap w:val="0"/>
            <w:tcMar>
              <w:top w:w="0" w:type="dxa"/>
              <w:left w:w="108" w:type="dxa"/>
              <w:bottom w:w="0" w:type="dxa"/>
              <w:right w:w="108" w:type="dxa"/>
            </w:tcMar>
            <w:vAlign w:val="center"/>
          </w:tcPr>
          <w:p w14:paraId="63A55171">
            <w:pPr>
              <w:pageBreakBefore w:val="0"/>
              <w:widowControl/>
              <w:numPr>
                <w:ilvl w:val="0"/>
                <w:numId w:val="0"/>
              </w:numPr>
              <w:kinsoku/>
              <w:wordWrap/>
              <w:overflowPunct/>
              <w:topLinePunct w:val="0"/>
              <w:autoSpaceDE/>
              <w:autoSpaceDN/>
              <w:bidi w:val="0"/>
              <w:adjustRightInd/>
              <w:spacing w:line="520" w:lineRule="exact"/>
              <w:jc w:val="center"/>
              <w:textAlignment w:val="auto"/>
              <w:outlineLvl w:val="9"/>
              <w:rPr>
                <w:rFonts w:hint="eastAsia" w:ascii="仿宋" w:hAnsi="仿宋" w:eastAsia="仿宋" w:cs="仿宋"/>
                <w:color w:val="auto"/>
                <w:sz w:val="22"/>
                <w:szCs w:val="22"/>
                <w:highlight w:val="none"/>
              </w:rPr>
            </w:pPr>
          </w:p>
        </w:tc>
      </w:tr>
      <w:tr w14:paraId="4958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8" w:type="dxa"/>
            <w:noWrap w:val="0"/>
            <w:tcMar>
              <w:top w:w="0" w:type="dxa"/>
              <w:left w:w="108" w:type="dxa"/>
              <w:bottom w:w="0" w:type="dxa"/>
              <w:right w:w="108" w:type="dxa"/>
            </w:tcMar>
            <w:vAlign w:val="center"/>
          </w:tcPr>
          <w:p w14:paraId="6F4DE19B">
            <w:pPr>
              <w:pageBreakBefore w:val="0"/>
              <w:widowControl/>
              <w:kinsoku/>
              <w:wordWrap/>
              <w:overflowPunct/>
              <w:topLinePunct w:val="0"/>
              <w:autoSpaceDE/>
              <w:autoSpaceDN/>
              <w:bidi w:val="0"/>
              <w:adjustRightInd/>
              <w:spacing w:line="520" w:lineRule="exact"/>
              <w:jc w:val="center"/>
              <w:textAlignment w:val="auto"/>
              <w:outlineLvl w:val="9"/>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3</w:t>
            </w:r>
          </w:p>
        </w:tc>
        <w:tc>
          <w:tcPr>
            <w:tcW w:w="1164" w:type="dxa"/>
            <w:noWrap w:val="0"/>
            <w:tcMar>
              <w:top w:w="0" w:type="dxa"/>
              <w:left w:w="108" w:type="dxa"/>
              <w:bottom w:w="0" w:type="dxa"/>
              <w:right w:w="108" w:type="dxa"/>
            </w:tcMar>
            <w:vAlign w:val="center"/>
          </w:tcPr>
          <w:p w14:paraId="3153947A">
            <w:pPr>
              <w:pageBreakBefore w:val="0"/>
              <w:widowControl/>
              <w:kinsoku/>
              <w:wordWrap/>
              <w:overflowPunct/>
              <w:topLinePunct w:val="0"/>
              <w:autoSpaceDE/>
              <w:autoSpaceDN/>
              <w:bidi w:val="0"/>
              <w:adjustRightInd/>
              <w:spacing w:line="520" w:lineRule="exact"/>
              <w:jc w:val="center"/>
              <w:textAlignment w:val="auto"/>
              <w:outlineLvl w:val="9"/>
              <w:rPr>
                <w:rFonts w:hint="eastAsia" w:ascii="仿宋" w:hAnsi="仿宋" w:eastAsia="仿宋" w:cs="仿宋"/>
                <w:bCs/>
                <w:color w:val="auto"/>
                <w:kern w:val="0"/>
                <w:sz w:val="22"/>
                <w:szCs w:val="22"/>
                <w:highlight w:val="none"/>
              </w:rPr>
            </w:pPr>
            <w:r>
              <w:rPr>
                <w:rFonts w:hint="eastAsia" w:ascii="仿宋" w:hAnsi="仿宋" w:eastAsia="仿宋" w:cs="仿宋"/>
                <w:sz w:val="24"/>
                <w:szCs w:val="24"/>
                <w:highlight w:val="none"/>
              </w:rPr>
              <w:t>实施方案</w:t>
            </w:r>
          </w:p>
        </w:tc>
        <w:tc>
          <w:tcPr>
            <w:tcW w:w="1140" w:type="dxa"/>
            <w:noWrap w:val="0"/>
            <w:tcMar>
              <w:top w:w="0" w:type="dxa"/>
              <w:left w:w="108" w:type="dxa"/>
              <w:bottom w:w="0" w:type="dxa"/>
              <w:right w:w="108" w:type="dxa"/>
            </w:tcMar>
            <w:vAlign w:val="center"/>
          </w:tcPr>
          <w:p w14:paraId="7DA59E8A">
            <w:pPr>
              <w:pageBreakBefore w:val="0"/>
              <w:widowControl/>
              <w:kinsoku/>
              <w:wordWrap/>
              <w:overflowPunct/>
              <w:topLinePunct w:val="0"/>
              <w:autoSpaceDE/>
              <w:autoSpaceDN/>
              <w:bidi w:val="0"/>
              <w:adjustRightInd/>
              <w:spacing w:line="520" w:lineRule="exact"/>
              <w:jc w:val="center"/>
              <w:textAlignment w:val="auto"/>
              <w:outlineLvl w:val="9"/>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lang w:val="en-US" w:eastAsia="zh-CN"/>
              </w:rPr>
              <w:t>20</w:t>
            </w:r>
            <w:r>
              <w:rPr>
                <w:rFonts w:hint="eastAsia" w:ascii="仿宋" w:hAnsi="仿宋" w:eastAsia="仿宋" w:cs="仿宋"/>
                <w:bCs/>
                <w:color w:val="auto"/>
                <w:kern w:val="0"/>
                <w:sz w:val="22"/>
                <w:szCs w:val="22"/>
                <w:highlight w:val="none"/>
              </w:rPr>
              <w:t>分</w:t>
            </w:r>
          </w:p>
        </w:tc>
        <w:tc>
          <w:tcPr>
            <w:tcW w:w="5100" w:type="dxa"/>
            <w:noWrap w:val="0"/>
            <w:tcMar>
              <w:top w:w="0" w:type="dxa"/>
              <w:left w:w="108" w:type="dxa"/>
              <w:bottom w:w="0" w:type="dxa"/>
              <w:right w:w="108" w:type="dxa"/>
            </w:tcMar>
            <w:vAlign w:val="center"/>
          </w:tcPr>
          <w:p w14:paraId="3E6BA325">
            <w:pPr>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投标人针对本项目采购需求提供实施方案，方案包括：①项目团队组织架构及技术实力；②团队人员管理；③项目实施计划；④项目进度保障；⑤质量保障措施。完整提供上述</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项内容的得</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分；每有一项未提供扣</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分，扣完为止；每有一处有缺陷扣</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分，扣完为止。</w:t>
            </w:r>
          </w:p>
          <w:p w14:paraId="3A84CCB1">
            <w:pPr>
              <w:pageBreakBefore w:val="0"/>
              <w:widowControl/>
              <w:kinsoku/>
              <w:wordWrap/>
              <w:overflowPunct/>
              <w:topLinePunct w:val="0"/>
              <w:autoSpaceDE/>
              <w:autoSpaceDN/>
              <w:bidi w:val="0"/>
              <w:adjustRightInd/>
              <w:spacing w:line="520" w:lineRule="exact"/>
              <w:jc w:val="left"/>
              <w:textAlignment w:val="auto"/>
              <w:outlineLvl w:val="9"/>
              <w:rPr>
                <w:rFonts w:hint="eastAsia" w:ascii="仿宋" w:hAnsi="仿宋" w:eastAsia="仿宋" w:cs="仿宋"/>
                <w:bCs/>
                <w:color w:val="auto"/>
                <w:kern w:val="0"/>
                <w:sz w:val="22"/>
                <w:szCs w:val="22"/>
                <w:highlight w:val="none"/>
                <w:lang w:val="en-US" w:eastAsia="zh-CN"/>
              </w:rPr>
            </w:pPr>
            <w:r>
              <w:rPr>
                <w:rFonts w:hint="eastAsia" w:ascii="仿宋" w:hAnsi="仿宋" w:eastAsia="仿宋" w:cs="仿宋"/>
                <w:sz w:val="24"/>
                <w:szCs w:val="24"/>
                <w:highlight w:val="none"/>
              </w:rPr>
              <w:t>（缺陷是指存在项目名称错误、地点区域错误、内容与本项目需求无关、方案内容矛盾、仅有框架或标题、适用的标准（方法）错误、明显复制其他项目内容等任意一种情形）</w:t>
            </w:r>
            <w:r>
              <w:rPr>
                <w:rFonts w:hint="eastAsia" w:ascii="仿宋" w:hAnsi="仿宋" w:eastAsia="仿宋" w:cs="仿宋"/>
                <w:bCs/>
                <w:color w:val="auto"/>
                <w:kern w:val="0"/>
                <w:sz w:val="22"/>
                <w:szCs w:val="22"/>
                <w:highlight w:val="none"/>
              </w:rPr>
              <w:t>。</w:t>
            </w:r>
          </w:p>
        </w:tc>
        <w:tc>
          <w:tcPr>
            <w:tcW w:w="1186" w:type="dxa"/>
            <w:noWrap w:val="0"/>
            <w:tcMar>
              <w:top w:w="0" w:type="dxa"/>
              <w:left w:w="108" w:type="dxa"/>
              <w:bottom w:w="0" w:type="dxa"/>
              <w:right w:w="108" w:type="dxa"/>
            </w:tcMar>
            <w:vAlign w:val="center"/>
          </w:tcPr>
          <w:p w14:paraId="010AA511">
            <w:pPr>
              <w:pageBreakBefore w:val="0"/>
              <w:widowControl/>
              <w:kinsoku/>
              <w:wordWrap/>
              <w:overflowPunct/>
              <w:topLinePunct w:val="0"/>
              <w:autoSpaceDE/>
              <w:autoSpaceDN/>
              <w:bidi w:val="0"/>
              <w:adjustRightInd/>
              <w:spacing w:line="520" w:lineRule="exact"/>
              <w:jc w:val="center"/>
              <w:textAlignment w:val="auto"/>
              <w:outlineLvl w:val="9"/>
              <w:rPr>
                <w:rFonts w:hint="eastAsia" w:ascii="仿宋" w:hAnsi="仿宋" w:eastAsia="仿宋" w:cs="仿宋"/>
                <w:bCs/>
                <w:color w:val="auto"/>
                <w:kern w:val="0"/>
                <w:sz w:val="22"/>
                <w:szCs w:val="22"/>
                <w:highlight w:val="none"/>
              </w:rPr>
            </w:pPr>
          </w:p>
        </w:tc>
      </w:tr>
      <w:tr w14:paraId="7030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8" w:type="dxa"/>
            <w:noWrap w:val="0"/>
            <w:tcMar>
              <w:top w:w="0" w:type="dxa"/>
              <w:left w:w="108" w:type="dxa"/>
              <w:bottom w:w="0" w:type="dxa"/>
              <w:right w:w="108" w:type="dxa"/>
            </w:tcMar>
            <w:vAlign w:val="center"/>
          </w:tcPr>
          <w:p w14:paraId="610E93B1">
            <w:pPr>
              <w:pageBreakBefore w:val="0"/>
              <w:widowControl/>
              <w:kinsoku/>
              <w:wordWrap/>
              <w:overflowPunct/>
              <w:topLinePunct w:val="0"/>
              <w:autoSpaceDE/>
              <w:autoSpaceDN/>
              <w:bidi w:val="0"/>
              <w:adjustRightInd/>
              <w:spacing w:line="520" w:lineRule="exact"/>
              <w:jc w:val="center"/>
              <w:textAlignment w:val="auto"/>
              <w:outlineLvl w:val="9"/>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4</w:t>
            </w:r>
          </w:p>
        </w:tc>
        <w:tc>
          <w:tcPr>
            <w:tcW w:w="1164" w:type="dxa"/>
            <w:noWrap w:val="0"/>
            <w:tcMar>
              <w:top w:w="0" w:type="dxa"/>
              <w:left w:w="108" w:type="dxa"/>
              <w:bottom w:w="0" w:type="dxa"/>
              <w:right w:w="108" w:type="dxa"/>
            </w:tcMar>
            <w:vAlign w:val="center"/>
          </w:tcPr>
          <w:p w14:paraId="0620E7ED">
            <w:pPr>
              <w:pageBreakBefore w:val="0"/>
              <w:widowControl/>
              <w:kinsoku/>
              <w:wordWrap/>
              <w:overflowPunct/>
              <w:topLinePunct w:val="0"/>
              <w:autoSpaceDE/>
              <w:autoSpaceDN/>
              <w:bidi w:val="0"/>
              <w:adjustRightInd/>
              <w:spacing w:line="520" w:lineRule="exact"/>
              <w:jc w:val="center"/>
              <w:textAlignment w:val="auto"/>
              <w:outlineLvl w:val="9"/>
              <w:rPr>
                <w:rFonts w:hint="eastAsia" w:ascii="仿宋" w:hAnsi="仿宋" w:eastAsia="仿宋" w:cs="仿宋"/>
                <w:bCs/>
                <w:color w:val="auto"/>
                <w:kern w:val="0"/>
                <w:sz w:val="22"/>
                <w:szCs w:val="22"/>
                <w:highlight w:val="none"/>
              </w:rPr>
            </w:pPr>
            <w:r>
              <w:rPr>
                <w:rFonts w:hint="eastAsia" w:ascii="仿宋" w:hAnsi="仿宋" w:eastAsia="仿宋" w:cs="仿宋"/>
                <w:sz w:val="24"/>
                <w:szCs w:val="24"/>
                <w:highlight w:val="none"/>
              </w:rPr>
              <w:t>履约能力</w:t>
            </w:r>
          </w:p>
        </w:tc>
        <w:tc>
          <w:tcPr>
            <w:tcW w:w="1140" w:type="dxa"/>
            <w:noWrap w:val="0"/>
            <w:tcMar>
              <w:top w:w="0" w:type="dxa"/>
              <w:left w:w="108" w:type="dxa"/>
              <w:bottom w:w="0" w:type="dxa"/>
              <w:right w:w="108" w:type="dxa"/>
            </w:tcMar>
            <w:vAlign w:val="center"/>
          </w:tcPr>
          <w:p w14:paraId="05B196D4">
            <w:pPr>
              <w:pageBreakBefore w:val="0"/>
              <w:widowControl/>
              <w:kinsoku/>
              <w:wordWrap/>
              <w:overflowPunct/>
              <w:topLinePunct w:val="0"/>
              <w:autoSpaceDE/>
              <w:autoSpaceDN/>
              <w:bidi w:val="0"/>
              <w:adjustRightInd/>
              <w:spacing w:line="520" w:lineRule="exact"/>
              <w:jc w:val="center"/>
              <w:textAlignment w:val="auto"/>
              <w:outlineLvl w:val="9"/>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lang w:val="en-US" w:eastAsia="zh-CN"/>
              </w:rPr>
              <w:t>6</w:t>
            </w:r>
            <w:r>
              <w:rPr>
                <w:rFonts w:hint="eastAsia" w:ascii="仿宋" w:hAnsi="仿宋" w:eastAsia="仿宋" w:cs="仿宋"/>
                <w:bCs/>
                <w:color w:val="auto"/>
                <w:kern w:val="0"/>
                <w:sz w:val="22"/>
                <w:szCs w:val="22"/>
                <w:highlight w:val="none"/>
              </w:rPr>
              <w:t>分</w:t>
            </w:r>
          </w:p>
        </w:tc>
        <w:tc>
          <w:tcPr>
            <w:tcW w:w="5100" w:type="dxa"/>
            <w:noWrap w:val="0"/>
            <w:tcMar>
              <w:top w:w="0" w:type="dxa"/>
              <w:left w:w="108" w:type="dxa"/>
              <w:bottom w:w="0" w:type="dxa"/>
              <w:right w:w="108" w:type="dxa"/>
            </w:tcMar>
            <w:vAlign w:val="center"/>
          </w:tcPr>
          <w:p w14:paraId="2DC963F5">
            <w:pPr>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投标人自2021年1月1日（含）至今每具有1个与本项目类似的履约经验得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分，最多得</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w:t>
            </w:r>
          </w:p>
          <w:p w14:paraId="3D2BB429">
            <w:pPr>
              <w:pageBreakBefore w:val="0"/>
              <w:widowControl/>
              <w:numPr>
                <w:ilvl w:val="0"/>
                <w:numId w:val="0"/>
              </w:numPr>
              <w:kinsoku/>
              <w:wordWrap/>
              <w:overflowPunct/>
              <w:topLinePunct w:val="0"/>
              <w:autoSpaceDE/>
              <w:autoSpaceDN/>
              <w:bidi w:val="0"/>
              <w:adjustRightInd/>
              <w:spacing w:line="520" w:lineRule="exact"/>
              <w:ind w:left="0" w:leftChars="0" w:firstLine="0" w:firstLineChars="0"/>
              <w:jc w:val="left"/>
              <w:textAlignment w:val="auto"/>
              <w:outlineLvl w:val="9"/>
              <w:rPr>
                <w:rFonts w:hint="eastAsia" w:ascii="仿宋" w:hAnsi="仿宋" w:eastAsia="仿宋" w:cs="仿宋"/>
                <w:bCs/>
                <w:color w:val="auto"/>
                <w:kern w:val="0"/>
                <w:sz w:val="22"/>
                <w:szCs w:val="22"/>
                <w:highlight w:val="none"/>
                <w:lang w:val="en-US" w:eastAsia="zh-CN"/>
              </w:rPr>
            </w:pPr>
            <w:r>
              <w:rPr>
                <w:rFonts w:hint="eastAsia" w:ascii="仿宋" w:hAnsi="仿宋" w:eastAsia="仿宋" w:cs="仿宋"/>
                <w:sz w:val="24"/>
                <w:szCs w:val="24"/>
                <w:highlight w:val="none"/>
              </w:rPr>
              <w:t>注：提供中标/成交通知书或合同复印件（以合同签订时间为准，内容至少包括签订合同的首页、签字盖章页）加盖投标人鲜章。</w:t>
            </w:r>
          </w:p>
        </w:tc>
        <w:tc>
          <w:tcPr>
            <w:tcW w:w="1186" w:type="dxa"/>
            <w:noWrap w:val="0"/>
            <w:tcMar>
              <w:top w:w="0" w:type="dxa"/>
              <w:left w:w="108" w:type="dxa"/>
              <w:bottom w:w="0" w:type="dxa"/>
              <w:right w:w="108" w:type="dxa"/>
            </w:tcMar>
            <w:vAlign w:val="center"/>
          </w:tcPr>
          <w:p w14:paraId="49665878">
            <w:pPr>
              <w:pageBreakBefore w:val="0"/>
              <w:widowControl/>
              <w:numPr>
                <w:ilvl w:val="0"/>
                <w:numId w:val="0"/>
              </w:numPr>
              <w:kinsoku/>
              <w:wordWrap/>
              <w:overflowPunct/>
              <w:topLinePunct w:val="0"/>
              <w:autoSpaceDE/>
              <w:autoSpaceDN/>
              <w:bidi w:val="0"/>
              <w:adjustRightInd/>
              <w:spacing w:line="520" w:lineRule="exact"/>
              <w:ind w:leftChars="0"/>
              <w:jc w:val="center"/>
              <w:textAlignment w:val="auto"/>
              <w:outlineLvl w:val="9"/>
              <w:rPr>
                <w:rFonts w:hint="eastAsia" w:ascii="仿宋" w:hAnsi="仿宋" w:eastAsia="仿宋" w:cs="仿宋"/>
                <w:bCs/>
                <w:color w:val="auto"/>
                <w:kern w:val="0"/>
                <w:sz w:val="22"/>
                <w:szCs w:val="22"/>
                <w:highlight w:val="none"/>
                <w:lang w:val="en-US" w:eastAsia="zh-CN"/>
              </w:rPr>
            </w:pPr>
          </w:p>
        </w:tc>
      </w:tr>
      <w:tr w14:paraId="1CBC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8" w:type="dxa"/>
            <w:noWrap w:val="0"/>
            <w:tcMar>
              <w:top w:w="0" w:type="dxa"/>
              <w:left w:w="108" w:type="dxa"/>
              <w:bottom w:w="0" w:type="dxa"/>
              <w:right w:w="108" w:type="dxa"/>
            </w:tcMar>
            <w:vAlign w:val="center"/>
          </w:tcPr>
          <w:p w14:paraId="4B0A04DC">
            <w:pPr>
              <w:pageBreakBefore w:val="0"/>
              <w:widowControl/>
              <w:kinsoku/>
              <w:wordWrap/>
              <w:overflowPunct/>
              <w:topLinePunct w:val="0"/>
              <w:autoSpaceDE/>
              <w:autoSpaceDN/>
              <w:bidi w:val="0"/>
              <w:adjustRightInd/>
              <w:spacing w:line="520" w:lineRule="exact"/>
              <w:jc w:val="center"/>
              <w:textAlignment w:val="auto"/>
              <w:outlineLvl w:val="9"/>
              <w:rPr>
                <w:rFonts w:hint="eastAsia" w:ascii="仿宋" w:hAnsi="仿宋" w:eastAsia="仿宋" w:cs="仿宋"/>
                <w:bCs/>
                <w:color w:val="auto"/>
                <w:kern w:val="0"/>
                <w:sz w:val="22"/>
                <w:szCs w:val="22"/>
                <w:highlight w:val="none"/>
                <w:lang w:val="en-US" w:eastAsia="zh-CN"/>
              </w:rPr>
            </w:pPr>
            <w:r>
              <w:rPr>
                <w:rFonts w:hint="eastAsia" w:ascii="仿宋" w:hAnsi="仿宋" w:eastAsia="仿宋" w:cs="仿宋"/>
                <w:bCs/>
                <w:color w:val="auto"/>
                <w:kern w:val="0"/>
                <w:sz w:val="22"/>
                <w:szCs w:val="22"/>
                <w:highlight w:val="none"/>
                <w:lang w:val="en-US" w:eastAsia="zh-CN"/>
              </w:rPr>
              <w:t>5</w:t>
            </w:r>
          </w:p>
        </w:tc>
        <w:tc>
          <w:tcPr>
            <w:tcW w:w="1164" w:type="dxa"/>
            <w:noWrap w:val="0"/>
            <w:tcMar>
              <w:top w:w="0" w:type="dxa"/>
              <w:left w:w="108" w:type="dxa"/>
              <w:bottom w:w="0" w:type="dxa"/>
              <w:right w:w="108" w:type="dxa"/>
            </w:tcMar>
            <w:vAlign w:val="center"/>
          </w:tcPr>
          <w:p w14:paraId="709F292D">
            <w:pPr>
              <w:pageBreakBefore w:val="0"/>
              <w:widowControl/>
              <w:kinsoku/>
              <w:wordWrap/>
              <w:overflowPunct/>
              <w:topLinePunct w:val="0"/>
              <w:autoSpaceDE/>
              <w:autoSpaceDN/>
              <w:bidi w:val="0"/>
              <w:adjustRightInd/>
              <w:spacing w:line="520" w:lineRule="exact"/>
              <w:jc w:val="center"/>
              <w:textAlignment w:val="auto"/>
              <w:outlineLvl w:val="9"/>
              <w:rPr>
                <w:rFonts w:hint="eastAsia" w:ascii="仿宋" w:hAnsi="仿宋" w:eastAsia="仿宋" w:cs="仿宋"/>
                <w:bCs/>
                <w:color w:val="auto"/>
                <w:kern w:val="0"/>
                <w:sz w:val="22"/>
                <w:szCs w:val="22"/>
                <w:highlight w:val="none"/>
                <w:lang w:eastAsia="zh-CN"/>
              </w:rPr>
            </w:pPr>
            <w:r>
              <w:rPr>
                <w:rFonts w:hint="eastAsia" w:ascii="仿宋" w:hAnsi="仿宋" w:eastAsia="仿宋" w:cs="仿宋"/>
                <w:sz w:val="24"/>
                <w:szCs w:val="24"/>
                <w:highlight w:val="none"/>
              </w:rPr>
              <w:t>售后服务</w:t>
            </w:r>
          </w:p>
        </w:tc>
        <w:tc>
          <w:tcPr>
            <w:tcW w:w="1140" w:type="dxa"/>
            <w:noWrap w:val="0"/>
            <w:tcMar>
              <w:top w:w="0" w:type="dxa"/>
              <w:left w:w="108" w:type="dxa"/>
              <w:bottom w:w="0" w:type="dxa"/>
              <w:right w:w="108" w:type="dxa"/>
            </w:tcMar>
            <w:vAlign w:val="center"/>
          </w:tcPr>
          <w:p w14:paraId="5D24AF4C">
            <w:pPr>
              <w:pageBreakBefore w:val="0"/>
              <w:widowControl/>
              <w:kinsoku/>
              <w:wordWrap/>
              <w:overflowPunct/>
              <w:topLinePunct w:val="0"/>
              <w:autoSpaceDE/>
              <w:autoSpaceDN/>
              <w:bidi w:val="0"/>
              <w:adjustRightInd/>
              <w:spacing w:line="520" w:lineRule="exact"/>
              <w:jc w:val="center"/>
              <w:textAlignment w:val="auto"/>
              <w:outlineLvl w:val="9"/>
              <w:rPr>
                <w:rFonts w:hint="eastAsia" w:ascii="仿宋" w:hAnsi="仿宋" w:eastAsia="仿宋" w:cs="仿宋"/>
                <w:bCs/>
                <w:color w:val="auto"/>
                <w:kern w:val="0"/>
                <w:sz w:val="22"/>
                <w:szCs w:val="22"/>
                <w:highlight w:val="none"/>
                <w:lang w:eastAsia="zh-CN"/>
              </w:rPr>
            </w:pPr>
            <w:r>
              <w:rPr>
                <w:rFonts w:hint="eastAsia" w:ascii="仿宋" w:hAnsi="仿宋" w:eastAsia="仿宋" w:cs="仿宋"/>
                <w:bCs/>
                <w:color w:val="auto"/>
                <w:kern w:val="0"/>
                <w:sz w:val="22"/>
                <w:szCs w:val="22"/>
                <w:highlight w:val="none"/>
                <w:lang w:val="en-US" w:eastAsia="zh-CN"/>
              </w:rPr>
              <w:t>6</w:t>
            </w:r>
            <w:r>
              <w:rPr>
                <w:rFonts w:hint="eastAsia" w:ascii="仿宋" w:hAnsi="仿宋" w:eastAsia="仿宋" w:cs="仿宋"/>
                <w:bCs/>
                <w:color w:val="auto"/>
                <w:kern w:val="0"/>
                <w:sz w:val="22"/>
                <w:szCs w:val="22"/>
                <w:highlight w:val="none"/>
                <w:lang w:eastAsia="zh-CN"/>
              </w:rPr>
              <w:t>分</w:t>
            </w:r>
          </w:p>
        </w:tc>
        <w:tc>
          <w:tcPr>
            <w:tcW w:w="5100" w:type="dxa"/>
            <w:noWrap w:val="0"/>
            <w:tcMar>
              <w:top w:w="0" w:type="dxa"/>
              <w:left w:w="108" w:type="dxa"/>
              <w:bottom w:w="0" w:type="dxa"/>
              <w:right w:w="108" w:type="dxa"/>
            </w:tcMar>
            <w:vAlign w:val="center"/>
          </w:tcPr>
          <w:p w14:paraId="71659E84">
            <w:pPr>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投标人针对本项目采购需求提供售后服务，方案包括：①售后服务</w:t>
            </w:r>
            <w:r>
              <w:rPr>
                <w:rFonts w:hint="eastAsia" w:ascii="仿宋" w:hAnsi="仿宋" w:eastAsia="仿宋" w:cs="仿宋"/>
                <w:sz w:val="24"/>
                <w:szCs w:val="24"/>
                <w:highlight w:val="none"/>
                <w:lang w:val="en-US" w:eastAsia="zh-CN"/>
              </w:rPr>
              <w:t>方案</w:t>
            </w:r>
            <w:r>
              <w:rPr>
                <w:rFonts w:hint="eastAsia" w:ascii="仿宋" w:hAnsi="仿宋" w:eastAsia="仿宋" w:cs="仿宋"/>
                <w:sz w:val="24"/>
                <w:szCs w:val="24"/>
                <w:highlight w:val="none"/>
              </w:rPr>
              <w:t>；②售后服务承诺；③售后服务</w:t>
            </w:r>
            <w:r>
              <w:rPr>
                <w:rFonts w:hint="eastAsia" w:ascii="仿宋" w:hAnsi="仿宋" w:eastAsia="仿宋" w:cs="仿宋"/>
                <w:color w:val="auto"/>
                <w:sz w:val="24"/>
                <w:szCs w:val="24"/>
                <w:highlight w:val="none"/>
                <w:lang w:eastAsia="zh-CN"/>
              </w:rPr>
              <w:t>响应能力；</w:t>
            </w:r>
            <w:r>
              <w:rPr>
                <w:rFonts w:hint="eastAsia" w:ascii="仿宋" w:hAnsi="仿宋" w:eastAsia="仿宋" w:cs="仿宋"/>
                <w:sz w:val="24"/>
                <w:szCs w:val="24"/>
                <w:highlight w:val="none"/>
                <w:lang w:val="zh-CN" w:eastAsia="zh-CN"/>
              </w:rPr>
              <w:t>④资源开发培训服务</w:t>
            </w:r>
            <w:r>
              <w:rPr>
                <w:rFonts w:hint="eastAsia" w:ascii="仿宋" w:hAnsi="仿宋" w:eastAsia="仿宋" w:cs="仿宋"/>
                <w:sz w:val="24"/>
                <w:szCs w:val="24"/>
                <w:highlight w:val="none"/>
              </w:rPr>
              <w:t>。完整提供上述</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项内容的得</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分；每有一项未提供扣</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分，扣完为止；每有一处有缺陷扣</w:t>
            </w:r>
            <w:r>
              <w:rPr>
                <w:rFonts w:hint="eastAsia" w:ascii="仿宋" w:hAnsi="仿宋" w:eastAsia="仿宋" w:cs="仿宋"/>
                <w:sz w:val="24"/>
                <w:szCs w:val="24"/>
                <w:highlight w:val="none"/>
                <w:lang w:val="en-US" w:eastAsia="zh-CN"/>
              </w:rPr>
              <w:t>0.75</w:t>
            </w:r>
            <w:r>
              <w:rPr>
                <w:rFonts w:hint="eastAsia" w:ascii="仿宋" w:hAnsi="仿宋" w:eastAsia="仿宋" w:cs="仿宋"/>
                <w:sz w:val="24"/>
                <w:szCs w:val="24"/>
                <w:highlight w:val="none"/>
              </w:rPr>
              <w:t>分，为止。</w:t>
            </w:r>
          </w:p>
          <w:p w14:paraId="47A93FEF">
            <w:pPr>
              <w:pageBreakBefore w:val="0"/>
              <w:widowControl/>
              <w:kinsoku/>
              <w:wordWrap/>
              <w:overflowPunct/>
              <w:topLinePunct w:val="0"/>
              <w:autoSpaceDE/>
              <w:autoSpaceDN/>
              <w:bidi w:val="0"/>
              <w:adjustRightInd/>
              <w:spacing w:line="520" w:lineRule="exact"/>
              <w:jc w:val="left"/>
              <w:textAlignment w:val="auto"/>
              <w:outlineLvl w:val="9"/>
              <w:rPr>
                <w:rFonts w:hint="eastAsia" w:ascii="仿宋" w:hAnsi="仿宋" w:eastAsia="仿宋" w:cs="仿宋"/>
                <w:bCs/>
                <w:color w:val="auto"/>
                <w:kern w:val="0"/>
                <w:sz w:val="22"/>
                <w:szCs w:val="22"/>
                <w:highlight w:val="none"/>
                <w:lang w:val="en-US" w:eastAsia="zh-CN"/>
              </w:rPr>
            </w:pPr>
            <w:r>
              <w:rPr>
                <w:rFonts w:hint="eastAsia" w:ascii="仿宋" w:hAnsi="仿宋" w:eastAsia="仿宋" w:cs="仿宋"/>
                <w:sz w:val="24"/>
                <w:szCs w:val="24"/>
                <w:highlight w:val="none"/>
              </w:rPr>
              <w:t>（缺陷是指存在项目名称错误、地点区域错误、内容与本项目需求无关、方案内容矛盾、仅有框架或标题、适用的标准（方法）错误、明显复制其他项目内容等任意一种情形）。</w:t>
            </w:r>
          </w:p>
        </w:tc>
        <w:tc>
          <w:tcPr>
            <w:tcW w:w="1186" w:type="dxa"/>
            <w:noWrap w:val="0"/>
            <w:tcMar>
              <w:top w:w="0" w:type="dxa"/>
              <w:left w:w="108" w:type="dxa"/>
              <w:bottom w:w="0" w:type="dxa"/>
              <w:right w:w="108" w:type="dxa"/>
            </w:tcMar>
            <w:vAlign w:val="center"/>
          </w:tcPr>
          <w:p w14:paraId="0E886C26">
            <w:pPr>
              <w:pageBreakBefore w:val="0"/>
              <w:widowControl/>
              <w:kinsoku/>
              <w:wordWrap/>
              <w:overflowPunct/>
              <w:topLinePunct w:val="0"/>
              <w:autoSpaceDE/>
              <w:autoSpaceDN/>
              <w:bidi w:val="0"/>
              <w:adjustRightInd/>
              <w:spacing w:line="520" w:lineRule="exact"/>
              <w:jc w:val="center"/>
              <w:textAlignment w:val="auto"/>
              <w:outlineLvl w:val="9"/>
              <w:rPr>
                <w:rFonts w:hint="eastAsia" w:ascii="仿宋" w:hAnsi="仿宋" w:eastAsia="仿宋" w:cs="仿宋"/>
                <w:bCs/>
                <w:color w:val="auto"/>
                <w:kern w:val="0"/>
                <w:sz w:val="22"/>
                <w:szCs w:val="22"/>
                <w:highlight w:val="none"/>
              </w:rPr>
            </w:pPr>
          </w:p>
        </w:tc>
      </w:tr>
      <w:tr w14:paraId="30C6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98" w:type="dxa"/>
            <w:gridSpan w:val="5"/>
            <w:noWrap w:val="0"/>
            <w:tcMar>
              <w:top w:w="0" w:type="dxa"/>
              <w:left w:w="108" w:type="dxa"/>
              <w:bottom w:w="0" w:type="dxa"/>
              <w:right w:w="108" w:type="dxa"/>
            </w:tcMar>
            <w:vAlign w:val="center"/>
          </w:tcPr>
          <w:p w14:paraId="7F2B96FF">
            <w:pPr>
              <w:pageBreakBefore w:val="0"/>
              <w:widowControl/>
              <w:kinsoku/>
              <w:wordWrap/>
              <w:overflowPunct/>
              <w:topLinePunct w:val="0"/>
              <w:autoSpaceDE/>
              <w:autoSpaceDN/>
              <w:bidi w:val="0"/>
              <w:adjustRightInd/>
              <w:spacing w:line="520" w:lineRule="exact"/>
              <w:jc w:val="left"/>
              <w:textAlignment w:val="auto"/>
              <w:outlineLvl w:val="9"/>
              <w:rPr>
                <w:rFonts w:hint="eastAsia" w:ascii="仿宋" w:hAnsi="仿宋" w:eastAsia="仿宋"/>
                <w:b/>
                <w:bCs/>
                <w:sz w:val="22"/>
                <w:szCs w:val="21"/>
                <w:highlight w:val="none"/>
              </w:rPr>
            </w:pPr>
            <w:r>
              <w:rPr>
                <w:rFonts w:hint="eastAsia" w:ascii="仿宋" w:hAnsi="仿宋" w:eastAsia="仿宋"/>
                <w:b/>
                <w:bCs/>
                <w:sz w:val="22"/>
                <w:szCs w:val="21"/>
                <w:highlight w:val="none"/>
              </w:rPr>
              <w:t>注：</w:t>
            </w:r>
            <w:r>
              <w:rPr>
                <w:rFonts w:hint="eastAsia" w:ascii="仿宋" w:hAnsi="仿宋" w:eastAsia="仿宋"/>
                <w:b/>
                <w:bCs/>
                <w:sz w:val="22"/>
                <w:szCs w:val="21"/>
                <w:highlight w:val="none"/>
                <w:lang w:eastAsia="zh-CN"/>
              </w:rPr>
              <w:t>本表</w:t>
            </w:r>
            <w:r>
              <w:rPr>
                <w:rFonts w:hint="eastAsia" w:ascii="仿宋" w:hAnsi="仿宋" w:eastAsia="仿宋"/>
                <w:b/>
                <w:bCs/>
                <w:sz w:val="22"/>
                <w:szCs w:val="21"/>
                <w:highlight w:val="none"/>
              </w:rPr>
              <w:t>评分的取值按四舍五入法，保留小数点后两位。</w:t>
            </w:r>
          </w:p>
        </w:tc>
      </w:tr>
    </w:tbl>
    <w:p w14:paraId="7756AB08">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lang w:eastAsia="zh-CN"/>
        </w:rPr>
      </w:pPr>
    </w:p>
    <w:bookmarkEnd w:id="42"/>
    <w:bookmarkEnd w:id="43"/>
    <w:p w14:paraId="19FF7790">
      <w:pPr>
        <w:pStyle w:val="3"/>
        <w:pageBreakBefore w:val="0"/>
        <w:widowControl w:val="0"/>
        <w:kinsoku/>
        <w:wordWrap/>
        <w:overflowPunct/>
        <w:topLinePunct w:val="0"/>
        <w:autoSpaceDE/>
        <w:autoSpaceDN/>
        <w:bidi w:val="0"/>
        <w:adjustRightInd/>
        <w:snapToGrid/>
        <w:spacing w:before="0" w:after="0" w:line="360" w:lineRule="auto"/>
        <w:ind w:firstLine="551" w:firstLineChars="196"/>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五、</w:t>
      </w:r>
      <w:r>
        <w:rPr>
          <w:rFonts w:hint="eastAsia" w:ascii="仿宋" w:hAnsi="仿宋" w:eastAsia="仿宋" w:cs="仿宋"/>
          <w:sz w:val="28"/>
          <w:szCs w:val="28"/>
          <w:highlight w:val="none"/>
        </w:rPr>
        <w:t>废标</w:t>
      </w:r>
    </w:p>
    <w:p w14:paraId="324D4111">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1.本次采购活动中，出现下列情形之一的，予以废标：</w:t>
      </w:r>
    </w:p>
    <w:p w14:paraId="2168919F">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（1）符合专业条件的供应商或者对招标文件作实质响应的供应商不足三家的；</w:t>
      </w:r>
    </w:p>
    <w:p w14:paraId="78841D75">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（2）出现影响采购公正的违法、违规行为的；</w:t>
      </w:r>
    </w:p>
    <w:p w14:paraId="786ECA80">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（3）投标人的报价均超过了采购预算，采购人不能支付的；</w:t>
      </w:r>
    </w:p>
    <w:p w14:paraId="4C44D3F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（4）因重大变故，采购任务取消的。</w:t>
      </w:r>
    </w:p>
    <w:p w14:paraId="590E544D">
      <w:pPr>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2.废标后，采购代理机构应发布公告，并公告废标的情形。</w:t>
      </w:r>
    </w:p>
    <w:p w14:paraId="7D271D86">
      <w:pPr>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3.对于评标过程中废标的采购项目，评标委员会应当对招标文件是否存在倾向性和歧视性、是否存在不合理条款进行论证，并出具书面论证意见。</w:t>
      </w:r>
    </w:p>
    <w:p w14:paraId="64E2FA99">
      <w:pPr>
        <w:pStyle w:val="3"/>
        <w:pageBreakBefore w:val="0"/>
        <w:widowControl w:val="0"/>
        <w:kinsoku/>
        <w:wordWrap/>
        <w:overflowPunct/>
        <w:topLinePunct w:val="0"/>
        <w:autoSpaceDE/>
        <w:autoSpaceDN/>
        <w:bidi w:val="0"/>
        <w:adjustRightInd/>
        <w:snapToGrid/>
        <w:spacing w:before="0" w:after="0" w:line="360" w:lineRule="auto"/>
        <w:ind w:firstLine="551" w:firstLineChars="196"/>
        <w:jc w:val="center"/>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六、定标</w:t>
      </w:r>
      <w:bookmarkStart w:id="47" w:name="_Toc217446061"/>
    </w:p>
    <w:bookmarkEnd w:id="47"/>
    <w:p w14:paraId="4EBA2D09">
      <w:pPr>
        <w:keepNext/>
        <w:keepLines/>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outlineLvl w:val="2"/>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（一）定标原则</w:t>
      </w:r>
    </w:p>
    <w:p w14:paraId="2229B0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本项目根据评标委员会确定的中标候选人名单，采购人按顺序确定1名中标人。中标候选供应商并列的，由采购人采取随机抽取的方式确定</w:t>
      </w:r>
      <w:r>
        <w:rPr>
          <w:rFonts w:hint="eastAsia" w:ascii="仿宋" w:hAnsi="仿宋" w:eastAsia="仿宋" w:cs="仿宋"/>
          <w:sz w:val="24"/>
          <w:szCs w:val="24"/>
          <w:highlight w:val="none"/>
          <w:lang w:val="en-US" w:eastAsia="zh-CN"/>
        </w:rPr>
        <w:t>1名</w:t>
      </w:r>
      <w:r>
        <w:rPr>
          <w:rFonts w:hint="eastAsia" w:ascii="仿宋" w:hAnsi="仿宋" w:eastAsia="仿宋" w:cs="仿宋"/>
          <w:sz w:val="24"/>
          <w:szCs w:val="24"/>
          <w:highlight w:val="none"/>
        </w:rPr>
        <w:t>中标人。</w:t>
      </w:r>
    </w:p>
    <w:p w14:paraId="0530CE9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采购人在收到评标报告5个工作日内未按评标报告推荐的中标候选人顺序确定中标人，又不能说明合法理由的，视同按评标报告推荐的顺序确定排名第一的中标候选人为中标人。</w:t>
      </w:r>
    </w:p>
    <w:p w14:paraId="1EB0215C">
      <w:pPr>
        <w:keepNext/>
        <w:keepLines/>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outlineLvl w:val="2"/>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（二）定标程序</w:t>
      </w:r>
    </w:p>
    <w:p w14:paraId="17DD1DB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评审委员会将评审情况写出书面报告。</w:t>
      </w:r>
    </w:p>
    <w:p w14:paraId="305A5AF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在评审结束之日起2个工作日内将评审报告送采购人。</w:t>
      </w:r>
    </w:p>
    <w:p w14:paraId="3944B1A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采购人在收到评审报告后</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个工作日内，按照评审报告中推荐的中标候选人顺序确定中标人。</w:t>
      </w:r>
    </w:p>
    <w:p w14:paraId="10C4C53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根据采购人确定的中标人，</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发布中标公告</w:t>
      </w:r>
      <w:r>
        <w:rPr>
          <w:rFonts w:hint="eastAsia" w:ascii="仿宋" w:hAnsi="仿宋" w:eastAsia="仿宋" w:cs="仿宋"/>
          <w:sz w:val="24"/>
          <w:szCs w:val="24"/>
          <w:highlight w:val="none"/>
          <w:lang w:eastAsia="zh-CN"/>
        </w:rPr>
        <w:t>后</w:t>
      </w:r>
      <w:r>
        <w:rPr>
          <w:rFonts w:hint="eastAsia" w:ascii="仿宋" w:hAnsi="仿宋" w:eastAsia="仿宋" w:cs="仿宋"/>
          <w:sz w:val="24"/>
          <w:szCs w:val="24"/>
          <w:highlight w:val="none"/>
        </w:rPr>
        <w:t>，同时向中标人发出中标通知书。</w:t>
      </w:r>
    </w:p>
    <w:p w14:paraId="4687708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采购人、</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不解释中标（成交）或未中标（成交）原因，不退回投标文件和其他投标资料。</w:t>
      </w:r>
    </w:p>
    <w:p w14:paraId="2CFD97B7">
      <w:pPr>
        <w:pStyle w:val="3"/>
        <w:pageBreakBefore w:val="0"/>
        <w:widowControl w:val="0"/>
        <w:kinsoku/>
        <w:wordWrap/>
        <w:overflowPunct/>
        <w:topLinePunct w:val="0"/>
        <w:autoSpaceDE/>
        <w:autoSpaceDN/>
        <w:bidi w:val="0"/>
        <w:adjustRightInd/>
        <w:snapToGrid/>
        <w:spacing w:before="0" w:after="0" w:line="360" w:lineRule="auto"/>
        <w:ind w:firstLine="551" w:firstLineChars="196"/>
        <w:jc w:val="center"/>
        <w:textAlignment w:val="auto"/>
        <w:rPr>
          <w:rFonts w:hint="eastAsia" w:ascii="仿宋" w:hAnsi="仿宋" w:eastAsia="仿宋" w:cs="仿宋"/>
          <w:sz w:val="28"/>
          <w:szCs w:val="28"/>
          <w:highlight w:val="none"/>
          <w:lang w:eastAsia="zh-CN"/>
        </w:rPr>
      </w:pPr>
      <w:bookmarkStart w:id="48" w:name="_Toc85122607"/>
      <w:r>
        <w:rPr>
          <w:rFonts w:hint="eastAsia" w:ascii="仿宋" w:hAnsi="仿宋" w:eastAsia="仿宋" w:cs="仿宋"/>
          <w:sz w:val="28"/>
          <w:szCs w:val="28"/>
          <w:highlight w:val="none"/>
          <w:lang w:eastAsia="zh-CN"/>
        </w:rPr>
        <w:t>七、评审专家在采购活动中承担以下义务</w:t>
      </w:r>
      <w:bookmarkEnd w:id="48"/>
    </w:p>
    <w:p w14:paraId="459467D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（一）遵守评审工作纪律；</w:t>
      </w:r>
    </w:p>
    <w:p w14:paraId="57F7348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（二）按照客观、公正、审慎的原则，根据招标文件规定的评审程序、评审方法和评审标准进行独立评审；</w:t>
      </w:r>
    </w:p>
    <w:p w14:paraId="63A232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（三）不得泄露评审文件、评审情况和在评审过程中获悉的商业秘密；</w:t>
      </w:r>
    </w:p>
    <w:p w14:paraId="2C83ED5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（四）及时报告评审过程中发现的采购人、采购代理机构向评审专家做倾向性、误导性的解释或者说明，以及供应商行贿、提供虚假材料或者串通等违法行为；</w:t>
      </w:r>
    </w:p>
    <w:p w14:paraId="0421911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（五）发现招标文件内容违反国家有关强制性规定或者招标文件存在歧义、重大缺陷导致评审工作无法进行时，停止评审并向采购人或者采购代理机构书面说明情况；</w:t>
      </w:r>
    </w:p>
    <w:p w14:paraId="2F16AE3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（六）及时向监察等部门举报在评审过程中受到非法干预的情况；</w:t>
      </w:r>
    </w:p>
    <w:p w14:paraId="1374BC3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（七）配合答复处理供应商的询问、质疑和投诉等事项；</w:t>
      </w:r>
    </w:p>
    <w:p w14:paraId="3513072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（八）法律、法规和规章规定的其他义务。</w:t>
      </w:r>
    </w:p>
    <w:p w14:paraId="5ADCC477">
      <w:pPr>
        <w:pStyle w:val="3"/>
        <w:pageBreakBefore w:val="0"/>
        <w:widowControl w:val="0"/>
        <w:kinsoku/>
        <w:wordWrap/>
        <w:overflowPunct/>
        <w:topLinePunct w:val="0"/>
        <w:autoSpaceDE/>
        <w:autoSpaceDN/>
        <w:bidi w:val="0"/>
        <w:adjustRightInd/>
        <w:snapToGrid/>
        <w:spacing w:before="0" w:after="0" w:line="360" w:lineRule="auto"/>
        <w:ind w:firstLine="551" w:firstLineChars="196"/>
        <w:jc w:val="center"/>
        <w:textAlignment w:val="auto"/>
        <w:rPr>
          <w:rFonts w:hint="eastAsia" w:ascii="仿宋" w:hAnsi="仿宋" w:eastAsia="仿宋" w:cs="仿宋"/>
          <w:sz w:val="28"/>
          <w:szCs w:val="28"/>
          <w:highlight w:val="none"/>
          <w:lang w:eastAsia="zh-CN"/>
        </w:rPr>
      </w:pPr>
      <w:bookmarkStart w:id="49" w:name="_Toc85122608"/>
      <w:r>
        <w:rPr>
          <w:rFonts w:hint="eastAsia" w:ascii="仿宋" w:hAnsi="仿宋" w:eastAsia="仿宋" w:cs="仿宋"/>
          <w:sz w:val="28"/>
          <w:szCs w:val="28"/>
          <w:highlight w:val="none"/>
          <w:lang w:eastAsia="zh-CN"/>
        </w:rPr>
        <w:t>八、评标专家在采购活动中应当遵守以下工作纪律</w:t>
      </w:r>
      <w:bookmarkEnd w:id="49"/>
    </w:p>
    <w:p w14:paraId="6D9BA40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（一）评审前，应当将通讯工具或者相关电子设备交由采购代理机构统一保管。进入评标区之前应将所有的通信设备存入采购代理机构指定的存放处。</w:t>
      </w:r>
    </w:p>
    <w:p w14:paraId="2373056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（二）在评审过程中不得擅离职守，影响评审程序正常进行；</w:t>
      </w:r>
    </w:p>
    <w:p w14:paraId="185B261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（三）评审过程中，不得与外界联系，因发生不可预见情况，确实需要与外界联系的，应当在监督人员监督之下办理；</w:t>
      </w:r>
    </w:p>
    <w:p w14:paraId="5F3F421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评审过程中，不得发表影响评审公正的倾向性、歧视性言论，不得征询或者接受采购人的倾向性意见，不得明示或暗示供应商在澄清时表达与其投标文件原义不同的意见，不得以招标文件没有规定的评审方法和标准作为评审的依据，不得修改或者细化评审程序、评审方法、评审因素和评审标准，不得违规撰写评审意见，不得拒绝对自己的评审意见签字确认；</w:t>
      </w:r>
    </w:p>
    <w:p w14:paraId="1501976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（五）在评审过程中和评审结束后，不得记录、复制或带走任何评审资料，不得向外界透露评审内容；</w:t>
      </w:r>
    </w:p>
    <w:p w14:paraId="30D35CB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（六）评审现场服从采购代理机构工作人员的管理，接受现场监督人员的合法监督；</w:t>
      </w:r>
    </w:p>
    <w:p w14:paraId="0F20FEC2">
      <w:pPr>
        <w:pStyle w:val="2"/>
        <w:pageBreakBefore/>
        <w:spacing w:before="120" w:after="120" w:line="360" w:lineRule="auto"/>
        <w:jc w:val="center"/>
        <w:rPr>
          <w:rFonts w:hint="eastAsia" w:ascii="仿宋" w:hAnsi="仿宋" w:eastAsia="仿宋" w:cs="仿宋"/>
          <w:color w:val="auto"/>
          <w:kern w:val="0"/>
          <w:sz w:val="36"/>
          <w:szCs w:val="36"/>
          <w:highlight w:val="none"/>
          <w:lang w:val="zh-CN"/>
        </w:rPr>
      </w:pPr>
      <w:bookmarkStart w:id="50" w:name="_Toc20537"/>
      <w:r>
        <w:rPr>
          <w:rFonts w:hint="eastAsia" w:ascii="仿宋" w:hAnsi="仿宋" w:eastAsia="仿宋" w:cs="仿宋"/>
          <w:color w:val="auto"/>
          <w:kern w:val="0"/>
          <w:sz w:val="36"/>
          <w:szCs w:val="36"/>
          <w:highlight w:val="none"/>
          <w:lang w:val="zh-CN"/>
        </w:rPr>
        <w:t>第</w:t>
      </w:r>
      <w:r>
        <w:rPr>
          <w:rFonts w:hint="eastAsia" w:ascii="仿宋" w:hAnsi="仿宋" w:eastAsia="仿宋" w:cs="仿宋"/>
          <w:color w:val="auto"/>
          <w:kern w:val="0"/>
          <w:sz w:val="36"/>
          <w:szCs w:val="36"/>
          <w:highlight w:val="none"/>
          <w:lang w:val="en-US" w:eastAsia="zh-CN"/>
        </w:rPr>
        <w:t>七</w:t>
      </w:r>
      <w:r>
        <w:rPr>
          <w:rFonts w:hint="eastAsia" w:ascii="仿宋" w:hAnsi="仿宋" w:eastAsia="仿宋" w:cs="仿宋"/>
          <w:color w:val="auto"/>
          <w:kern w:val="0"/>
          <w:sz w:val="36"/>
          <w:szCs w:val="36"/>
          <w:highlight w:val="none"/>
          <w:lang w:val="zh-CN"/>
        </w:rPr>
        <w:t xml:space="preserve">章 </w:t>
      </w:r>
      <w:r>
        <w:rPr>
          <w:rFonts w:hint="eastAsia" w:ascii="仿宋" w:hAnsi="仿宋" w:eastAsia="仿宋" w:cs="仿宋"/>
          <w:color w:val="auto"/>
          <w:kern w:val="0"/>
          <w:sz w:val="36"/>
          <w:szCs w:val="36"/>
          <w:highlight w:val="none"/>
          <w:lang w:val="en-US" w:eastAsia="zh-CN"/>
        </w:rPr>
        <w:t>拟签订的合同文本</w:t>
      </w:r>
      <w:bookmarkEnd w:id="50"/>
      <w:r>
        <w:rPr>
          <w:rFonts w:hint="eastAsia" w:ascii="仿宋" w:hAnsi="仿宋" w:eastAsia="仿宋" w:cs="仿宋"/>
          <w:color w:val="auto"/>
          <w:kern w:val="0"/>
          <w:sz w:val="36"/>
          <w:szCs w:val="36"/>
          <w:highlight w:val="none"/>
          <w:lang w:val="en-US" w:eastAsia="zh-CN"/>
        </w:rPr>
        <w:t xml:space="preserve"> </w:t>
      </w:r>
    </w:p>
    <w:p w14:paraId="5EBE7530">
      <w:pPr>
        <w:tabs>
          <w:tab w:val="left" w:pos="0"/>
        </w:tabs>
        <w:adjustRightInd w:val="0"/>
        <w:snapToGrid w:val="0"/>
        <w:spacing w:line="520" w:lineRule="exact"/>
        <w:jc w:val="center"/>
        <w:rPr>
          <w:rFonts w:hint="eastAsia" w:ascii="仿宋" w:hAnsi="仿宋" w:eastAsia="仿宋" w:cs="仿宋"/>
          <w:b/>
          <w:bCs/>
          <w:color w:val="000000"/>
          <w:sz w:val="44"/>
          <w:szCs w:val="44"/>
          <w:highlight w:val="none"/>
        </w:rPr>
      </w:pPr>
      <w:r>
        <w:rPr>
          <w:rFonts w:hint="eastAsia" w:ascii="仿宋" w:hAnsi="仿宋" w:eastAsia="仿宋" w:cs="仿宋"/>
          <w:b/>
          <w:bCs/>
          <w:color w:val="000000"/>
          <w:sz w:val="44"/>
          <w:szCs w:val="44"/>
          <w:highlight w:val="none"/>
          <w:lang w:val="en-US" w:eastAsia="zh-CN"/>
        </w:rPr>
        <w:t>成</w:t>
      </w:r>
      <w:r>
        <w:rPr>
          <w:rFonts w:hint="eastAsia" w:ascii="仿宋" w:hAnsi="仿宋" w:eastAsia="仿宋" w:cs="仿宋"/>
          <w:b/>
          <w:bCs/>
          <w:color w:val="000000"/>
          <w:sz w:val="44"/>
          <w:szCs w:val="44"/>
          <w:highlight w:val="none"/>
        </w:rPr>
        <w:t>都市技师学院（成都工贸职业技术学院）高端装备制造生产性实训基地教学资源开发项目合同文本主要条款</w:t>
      </w:r>
    </w:p>
    <w:p w14:paraId="72EDCB59">
      <w:pPr>
        <w:pStyle w:val="9"/>
        <w:adjustRightInd w:val="0"/>
        <w:snapToGrid w:val="0"/>
        <w:spacing w:line="520" w:lineRule="exact"/>
        <w:jc w:val="center"/>
        <w:rPr>
          <w:rFonts w:hint="eastAsia" w:ascii="仿宋" w:hAnsi="仿宋" w:eastAsia="仿宋" w:cs="仿宋"/>
          <w:sz w:val="44"/>
          <w:szCs w:val="44"/>
          <w:highlight w:val="none"/>
        </w:rPr>
      </w:pPr>
      <w:r>
        <w:rPr>
          <w:rFonts w:hint="eastAsia" w:ascii="仿宋" w:hAnsi="仿宋" w:eastAsia="仿宋" w:cs="仿宋"/>
          <w:b/>
          <w:bCs/>
          <w:color w:val="000000"/>
          <w:sz w:val="44"/>
          <w:szCs w:val="44"/>
          <w:highlight w:val="none"/>
        </w:rPr>
        <w:t>(服务类)</w:t>
      </w:r>
    </w:p>
    <w:p w14:paraId="0429090C">
      <w:pPr>
        <w:pStyle w:val="57"/>
        <w:adjustRightInd w:val="0"/>
        <w:snapToGrid w:val="0"/>
        <w:spacing w:line="320" w:lineRule="exact"/>
        <w:ind w:firstLine="413"/>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w:t>
      </w:r>
      <w:r>
        <w:rPr>
          <w:rFonts w:hint="eastAsia" w:ascii="仿宋" w:hAnsi="仿宋" w:eastAsia="仿宋" w:cs="仿宋"/>
          <w:b/>
          <w:bCs/>
          <w:color w:val="000000"/>
          <w:sz w:val="21"/>
          <w:szCs w:val="21"/>
          <w:highlight w:val="none"/>
        </w:rPr>
        <w:t>重要说明：采购人、供应商在签订正式合同前应依据本项目的采购文件、响应文件、项目的澄清文件等对以下合同内容进行修正和完善。</w:t>
      </w:r>
      <w:r>
        <w:rPr>
          <w:rFonts w:hint="eastAsia" w:ascii="仿宋" w:hAnsi="仿宋" w:eastAsia="仿宋" w:cs="仿宋"/>
          <w:b/>
          <w:bCs/>
          <w:sz w:val="21"/>
          <w:szCs w:val="21"/>
          <w:highlight w:val="none"/>
        </w:rPr>
        <w:t>)</w:t>
      </w:r>
    </w:p>
    <w:p w14:paraId="0F42138D">
      <w:pPr>
        <w:pStyle w:val="57"/>
        <w:adjustRightInd w:val="0"/>
        <w:snapToGrid w:val="0"/>
        <w:spacing w:line="320" w:lineRule="exact"/>
        <w:ind w:firstLine="554"/>
        <w:rPr>
          <w:rFonts w:hint="eastAsia" w:ascii="仿宋" w:hAnsi="仿宋" w:eastAsia="仿宋" w:cs="仿宋"/>
          <w:b/>
          <w:bCs/>
          <w:sz w:val="28"/>
          <w:szCs w:val="28"/>
          <w:highlight w:val="none"/>
        </w:rPr>
      </w:pPr>
    </w:p>
    <w:p w14:paraId="64ADDC7E">
      <w:pPr>
        <w:pStyle w:val="58"/>
        <w:adjustRightInd w:val="0"/>
        <w:snapToGrid w:val="0"/>
        <w:ind w:firstLine="480" w:firstLineChars="200"/>
        <w:rPr>
          <w:rFonts w:hint="eastAsia" w:ascii="仿宋" w:hAnsi="仿宋" w:eastAsia="仿宋" w:cs="仿宋"/>
          <w:snapToGrid/>
          <w:sz w:val="24"/>
          <w:highlight w:val="none"/>
        </w:rPr>
      </w:pPr>
      <w:r>
        <w:rPr>
          <w:rFonts w:hint="eastAsia" w:ascii="仿宋" w:hAnsi="仿宋" w:eastAsia="仿宋" w:cs="仿宋"/>
          <w:snapToGrid/>
          <w:sz w:val="24"/>
          <w:highlight w:val="none"/>
        </w:rPr>
        <w:t>合同编号：</w:t>
      </w:r>
    </w:p>
    <w:p w14:paraId="781CA2B8">
      <w:pPr>
        <w:pStyle w:val="58"/>
        <w:adjustRightInd w:val="0"/>
        <w:snapToGrid w:val="0"/>
        <w:ind w:firstLine="480" w:firstLineChars="200"/>
        <w:rPr>
          <w:rFonts w:hint="eastAsia" w:ascii="仿宋" w:hAnsi="仿宋" w:eastAsia="仿宋" w:cs="仿宋"/>
          <w:snapToGrid/>
          <w:sz w:val="24"/>
          <w:highlight w:val="none"/>
        </w:rPr>
      </w:pPr>
      <w:r>
        <w:rPr>
          <w:rFonts w:hint="eastAsia" w:ascii="仿宋" w:hAnsi="仿宋" w:eastAsia="仿宋" w:cs="仿宋"/>
          <w:snapToGrid/>
          <w:sz w:val="24"/>
          <w:highlight w:val="none"/>
        </w:rPr>
        <w:t>签订地点：</w:t>
      </w:r>
    </w:p>
    <w:p w14:paraId="5909C7DC">
      <w:pPr>
        <w:pStyle w:val="58"/>
        <w:adjustRightInd w:val="0"/>
        <w:snapToGrid w:val="0"/>
        <w:ind w:firstLine="480" w:firstLineChars="200"/>
        <w:rPr>
          <w:rFonts w:hint="eastAsia" w:ascii="仿宋" w:hAnsi="仿宋" w:eastAsia="仿宋" w:cs="仿宋"/>
          <w:snapToGrid/>
          <w:sz w:val="24"/>
          <w:highlight w:val="none"/>
        </w:rPr>
      </w:pPr>
      <w:r>
        <w:rPr>
          <w:rFonts w:hint="eastAsia" w:ascii="仿宋" w:hAnsi="仿宋" w:eastAsia="仿宋" w:cs="仿宋"/>
          <w:snapToGrid/>
          <w:sz w:val="24"/>
          <w:highlight w:val="none"/>
        </w:rPr>
        <w:t>签订时间：</w:t>
      </w:r>
    </w:p>
    <w:p w14:paraId="16ABF63D">
      <w:pPr>
        <w:pStyle w:val="58"/>
        <w:adjustRightInd w:val="0"/>
        <w:snapToGrid w:val="0"/>
        <w:ind w:firstLine="480" w:firstLineChars="200"/>
        <w:rPr>
          <w:rFonts w:hint="eastAsia" w:ascii="仿宋" w:hAnsi="仿宋" w:eastAsia="仿宋" w:cs="仿宋"/>
          <w:snapToGrid/>
          <w:sz w:val="24"/>
          <w:highlight w:val="none"/>
        </w:rPr>
      </w:pPr>
      <w:r>
        <w:rPr>
          <w:rFonts w:hint="eastAsia" w:ascii="仿宋" w:hAnsi="仿宋" w:eastAsia="仿宋" w:cs="仿宋"/>
          <w:snapToGrid/>
          <w:sz w:val="24"/>
          <w:highlight w:val="none"/>
        </w:rPr>
        <w:t>甲方(采购人)：</w:t>
      </w:r>
    </w:p>
    <w:p w14:paraId="6D16D9F8">
      <w:pPr>
        <w:pStyle w:val="58"/>
        <w:adjustRightInd w:val="0"/>
        <w:snapToGrid w:val="0"/>
        <w:ind w:firstLine="480" w:firstLineChars="200"/>
        <w:rPr>
          <w:rFonts w:hint="eastAsia" w:ascii="仿宋" w:hAnsi="仿宋" w:eastAsia="仿宋" w:cs="仿宋"/>
          <w:snapToGrid/>
          <w:sz w:val="24"/>
          <w:highlight w:val="none"/>
        </w:rPr>
      </w:pPr>
      <w:r>
        <w:rPr>
          <w:rFonts w:hint="eastAsia" w:ascii="仿宋" w:hAnsi="仿宋" w:eastAsia="仿宋" w:cs="仿宋"/>
          <w:snapToGrid/>
          <w:sz w:val="24"/>
          <w:highlight w:val="none"/>
        </w:rPr>
        <w:t xml:space="preserve">乙方(供应商)：    </w:t>
      </w:r>
    </w:p>
    <w:p w14:paraId="48819359">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根据《中华人民共和国民法典》及成都市技师学院（成都工贸职业技术学院）高端装备制造生产性实训基地教学资源开发项目（项目编号：XXX）的招标文件、乙方的投标文件及成交通知书，甲、乙双方同意签订本合同，共同遵守如下条款：</w:t>
      </w:r>
    </w:p>
    <w:p w14:paraId="11194E81">
      <w:pPr>
        <w:tabs>
          <w:tab w:val="left" w:pos="0"/>
        </w:tabs>
        <w:adjustRightInd w:val="0"/>
        <w:snapToGrid w:val="0"/>
        <w:ind w:firstLine="482" w:firstLineChars="200"/>
        <w:jc w:val="left"/>
        <w:rPr>
          <w:rFonts w:hint="eastAsia" w:ascii="仿宋" w:hAnsi="仿宋" w:eastAsia="仿宋" w:cs="仿宋"/>
          <w:b/>
          <w:bCs/>
          <w:sz w:val="24"/>
          <w:highlight w:val="none"/>
        </w:rPr>
      </w:pPr>
      <w:r>
        <w:rPr>
          <w:rFonts w:hint="eastAsia" w:ascii="仿宋" w:hAnsi="仿宋" w:eastAsia="仿宋" w:cs="仿宋"/>
          <w:b/>
          <w:bCs/>
          <w:sz w:val="24"/>
          <w:highlight w:val="none"/>
        </w:rPr>
        <w:t>一、项目基本情况</w:t>
      </w:r>
    </w:p>
    <w:p w14:paraId="4290866A">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随着高端装备制造产业的快速发展，对专业技能人才的需求日益增加。为了满足这一需求，提高人才培养质量，拟对高端装备制造生产性实训基地开展相关的教学资源开发。</w:t>
      </w:r>
    </w:p>
    <w:p w14:paraId="06FAD3BB">
      <w:pPr>
        <w:tabs>
          <w:tab w:val="left" w:pos="0"/>
        </w:tabs>
        <w:adjustRightInd w:val="0"/>
        <w:snapToGrid w:val="0"/>
        <w:ind w:firstLine="482" w:firstLineChars="200"/>
        <w:jc w:val="left"/>
        <w:rPr>
          <w:rFonts w:hint="eastAsia" w:ascii="仿宋" w:hAnsi="仿宋" w:eastAsia="仿宋" w:cs="仿宋"/>
          <w:sz w:val="24"/>
          <w:highlight w:val="none"/>
        </w:rPr>
      </w:pPr>
      <w:r>
        <w:rPr>
          <w:rFonts w:hint="eastAsia" w:ascii="仿宋" w:hAnsi="仿宋" w:eastAsia="仿宋" w:cs="仿宋"/>
          <w:b/>
          <w:bCs/>
          <w:sz w:val="24"/>
          <w:highlight w:val="none"/>
        </w:rPr>
        <w:t>二、服务内容及要求</w:t>
      </w:r>
    </w:p>
    <w:p w14:paraId="49088404">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XXXX。</w:t>
      </w:r>
    </w:p>
    <w:p w14:paraId="18713FCB">
      <w:pPr>
        <w:tabs>
          <w:tab w:val="left" w:pos="0"/>
        </w:tabs>
        <w:adjustRightInd w:val="0"/>
        <w:snapToGrid w:val="0"/>
        <w:ind w:firstLine="482" w:firstLineChars="200"/>
        <w:jc w:val="left"/>
        <w:rPr>
          <w:rFonts w:hint="eastAsia" w:ascii="仿宋" w:hAnsi="仿宋" w:eastAsia="仿宋" w:cs="仿宋"/>
          <w:b/>
          <w:bCs/>
          <w:sz w:val="24"/>
          <w:highlight w:val="none"/>
        </w:rPr>
      </w:pPr>
      <w:r>
        <w:rPr>
          <w:rFonts w:hint="eastAsia" w:ascii="仿宋" w:hAnsi="仿宋" w:eastAsia="仿宋" w:cs="仿宋"/>
          <w:b/>
          <w:bCs/>
          <w:sz w:val="24"/>
          <w:highlight w:val="none"/>
        </w:rPr>
        <w:t>三、履约时间和方式</w:t>
      </w:r>
    </w:p>
    <w:p w14:paraId="03E0A115">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1.供货时间及方式：合同签订之日起30个日历天内（含法定节假日）, 乙方在甲方指定地点完成</w:t>
      </w:r>
      <w:r>
        <w:rPr>
          <w:rFonts w:hint="eastAsia" w:ascii="仿宋" w:hAnsi="仿宋" w:eastAsia="仿宋" w:cs="仿宋"/>
          <w:sz w:val="24"/>
          <w:highlight w:val="none"/>
          <w:lang w:eastAsia="zh-CN"/>
        </w:rPr>
        <w:t>服务</w:t>
      </w:r>
      <w:r>
        <w:rPr>
          <w:rFonts w:hint="eastAsia" w:ascii="仿宋" w:hAnsi="仿宋" w:eastAsia="仿宋" w:cs="仿宋"/>
          <w:sz w:val="24"/>
          <w:highlight w:val="none"/>
        </w:rPr>
        <w:t>的</w:t>
      </w:r>
      <w:r>
        <w:rPr>
          <w:rFonts w:hint="eastAsia" w:ascii="仿宋" w:hAnsi="仿宋" w:eastAsia="仿宋" w:cs="仿宋"/>
          <w:sz w:val="24"/>
          <w:highlight w:val="none"/>
          <w:lang w:eastAsia="zh-CN"/>
        </w:rPr>
        <w:t>建设</w:t>
      </w:r>
      <w:r>
        <w:rPr>
          <w:rFonts w:hint="eastAsia" w:ascii="仿宋" w:hAnsi="仿宋" w:eastAsia="仿宋" w:cs="仿宋"/>
          <w:sz w:val="24"/>
          <w:highlight w:val="none"/>
        </w:rPr>
        <w:t>、</w:t>
      </w:r>
      <w:r>
        <w:rPr>
          <w:rFonts w:hint="eastAsia" w:ascii="仿宋" w:hAnsi="仿宋" w:eastAsia="仿宋" w:cs="仿宋"/>
          <w:sz w:val="24"/>
          <w:highlight w:val="none"/>
          <w:lang w:eastAsia="zh-CN"/>
        </w:rPr>
        <w:t>设计</w:t>
      </w:r>
      <w:r>
        <w:rPr>
          <w:rFonts w:hint="eastAsia" w:ascii="仿宋" w:hAnsi="仿宋" w:eastAsia="仿宋" w:cs="仿宋"/>
          <w:sz w:val="24"/>
          <w:highlight w:val="none"/>
        </w:rPr>
        <w:t>、</w:t>
      </w:r>
      <w:r>
        <w:rPr>
          <w:rFonts w:hint="eastAsia" w:ascii="仿宋" w:hAnsi="仿宋" w:eastAsia="仿宋" w:cs="仿宋"/>
          <w:sz w:val="24"/>
          <w:highlight w:val="none"/>
          <w:lang w:eastAsia="zh-CN"/>
        </w:rPr>
        <w:t>开发</w:t>
      </w:r>
      <w:r>
        <w:rPr>
          <w:rFonts w:hint="eastAsia" w:ascii="仿宋" w:hAnsi="仿宋" w:eastAsia="仿宋" w:cs="仿宋"/>
          <w:sz w:val="24"/>
          <w:highlight w:val="none"/>
        </w:rPr>
        <w:t>。</w:t>
      </w:r>
    </w:p>
    <w:p w14:paraId="434D67BD">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2.售后服务时间：乙方提供</w:t>
      </w:r>
      <w:r>
        <w:rPr>
          <w:rFonts w:hint="eastAsia" w:ascii="仿宋" w:hAnsi="仿宋" w:eastAsia="仿宋" w:cs="仿宋"/>
          <w:sz w:val="24"/>
          <w:highlight w:val="none"/>
          <w:lang w:val="en-US" w:eastAsia="zh-CN"/>
        </w:rPr>
        <w:t>365</w:t>
      </w:r>
      <w:r>
        <w:rPr>
          <w:rFonts w:hint="eastAsia" w:ascii="仿宋" w:hAnsi="仿宋" w:eastAsia="仿宋" w:cs="仿宋"/>
          <w:sz w:val="24"/>
          <w:highlight w:val="none"/>
        </w:rPr>
        <w:t>个日历天的售后服务，售后服务期的起始日期为甲方</w:t>
      </w:r>
      <w:r>
        <w:rPr>
          <w:rFonts w:hint="eastAsia" w:ascii="仿宋" w:hAnsi="仿宋" w:eastAsia="仿宋" w:cs="仿宋"/>
          <w:sz w:val="24"/>
          <w:highlight w:val="none"/>
          <w:lang w:eastAsia="zh-CN"/>
        </w:rPr>
        <w:t>服务</w:t>
      </w:r>
      <w:r>
        <w:rPr>
          <w:rFonts w:hint="eastAsia" w:ascii="仿宋" w:hAnsi="仿宋" w:eastAsia="仿宋" w:cs="仿宋"/>
          <w:sz w:val="24"/>
          <w:highlight w:val="none"/>
        </w:rPr>
        <w:t>验收合格之日起开始计算。</w:t>
      </w:r>
    </w:p>
    <w:p w14:paraId="36A11184">
      <w:pPr>
        <w:tabs>
          <w:tab w:val="left" w:pos="0"/>
        </w:tabs>
        <w:adjustRightInd w:val="0"/>
        <w:snapToGrid w:val="0"/>
        <w:ind w:firstLine="482" w:firstLineChars="200"/>
        <w:jc w:val="left"/>
        <w:rPr>
          <w:rFonts w:hint="eastAsia" w:ascii="仿宋" w:hAnsi="仿宋" w:eastAsia="仿宋" w:cs="仿宋"/>
          <w:b/>
          <w:bCs/>
          <w:sz w:val="24"/>
          <w:highlight w:val="none"/>
        </w:rPr>
      </w:pPr>
      <w:r>
        <w:rPr>
          <w:rFonts w:hint="eastAsia" w:ascii="仿宋" w:hAnsi="仿宋" w:eastAsia="仿宋" w:cs="仿宋"/>
          <w:b/>
          <w:bCs/>
          <w:sz w:val="24"/>
          <w:highlight w:val="none"/>
        </w:rPr>
        <w:t>四、履约地点</w:t>
      </w:r>
    </w:p>
    <w:p w14:paraId="6E066DF5">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1履行地点：成都市郫都区红光街道港通北三路1899号。</w:t>
      </w:r>
    </w:p>
    <w:p w14:paraId="4A92771C">
      <w:pPr>
        <w:tabs>
          <w:tab w:val="left" w:pos="0"/>
        </w:tabs>
        <w:adjustRightInd w:val="0"/>
        <w:snapToGrid w:val="0"/>
        <w:ind w:firstLine="482" w:firstLineChars="200"/>
        <w:jc w:val="left"/>
        <w:rPr>
          <w:rFonts w:hint="eastAsia" w:ascii="仿宋" w:hAnsi="仿宋" w:eastAsia="仿宋" w:cs="仿宋"/>
          <w:b/>
          <w:bCs/>
          <w:sz w:val="24"/>
          <w:highlight w:val="none"/>
        </w:rPr>
      </w:pPr>
      <w:r>
        <w:rPr>
          <w:rFonts w:hint="eastAsia" w:ascii="仿宋" w:hAnsi="仿宋" w:eastAsia="仿宋" w:cs="仿宋"/>
          <w:b/>
          <w:bCs/>
          <w:sz w:val="24"/>
          <w:highlight w:val="none"/>
        </w:rPr>
        <w:t>五、合同总价、付款安排、支付方式</w:t>
      </w:r>
    </w:p>
    <w:p w14:paraId="503DC352">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1.合同总价为人民币大写：          元整，即￥             ；该合同总价为固定包干价，包括但不限于</w:t>
      </w:r>
      <w:r>
        <w:rPr>
          <w:rFonts w:hint="eastAsia" w:ascii="仿宋" w:hAnsi="仿宋" w:eastAsia="仿宋" w:cs="仿宋"/>
          <w:sz w:val="24"/>
          <w:highlight w:val="none"/>
          <w:lang w:eastAsia="zh-CN"/>
        </w:rPr>
        <w:t>服务</w:t>
      </w:r>
      <w:r>
        <w:rPr>
          <w:rFonts w:hint="eastAsia" w:ascii="仿宋" w:hAnsi="仿宋" w:eastAsia="仿宋" w:cs="仿宋"/>
          <w:sz w:val="24"/>
          <w:highlight w:val="none"/>
        </w:rPr>
        <w:t>的</w:t>
      </w:r>
      <w:r>
        <w:rPr>
          <w:rFonts w:hint="eastAsia" w:ascii="仿宋" w:hAnsi="仿宋" w:eastAsia="仿宋" w:cs="仿宋"/>
          <w:sz w:val="24"/>
          <w:highlight w:val="none"/>
          <w:lang w:eastAsia="zh-CN"/>
        </w:rPr>
        <w:t>建设</w:t>
      </w:r>
      <w:r>
        <w:rPr>
          <w:rFonts w:hint="eastAsia" w:ascii="仿宋" w:hAnsi="仿宋" w:eastAsia="仿宋" w:cs="仿宋"/>
          <w:sz w:val="24"/>
          <w:highlight w:val="none"/>
        </w:rPr>
        <w:t>、</w:t>
      </w:r>
      <w:r>
        <w:rPr>
          <w:rFonts w:hint="eastAsia" w:ascii="仿宋" w:hAnsi="仿宋" w:eastAsia="仿宋" w:cs="仿宋"/>
          <w:sz w:val="24"/>
          <w:highlight w:val="none"/>
          <w:lang w:eastAsia="zh-CN"/>
        </w:rPr>
        <w:t>设计</w:t>
      </w:r>
      <w:r>
        <w:rPr>
          <w:rFonts w:hint="eastAsia" w:ascii="仿宋" w:hAnsi="仿宋" w:eastAsia="仿宋" w:cs="仿宋"/>
          <w:sz w:val="24"/>
          <w:highlight w:val="none"/>
        </w:rPr>
        <w:t>、</w:t>
      </w:r>
      <w:r>
        <w:rPr>
          <w:rFonts w:hint="eastAsia" w:ascii="仿宋" w:hAnsi="仿宋" w:eastAsia="仿宋" w:cs="仿宋"/>
          <w:sz w:val="24"/>
          <w:highlight w:val="none"/>
          <w:lang w:eastAsia="zh-CN"/>
        </w:rPr>
        <w:t>开发</w:t>
      </w:r>
      <w:r>
        <w:rPr>
          <w:rFonts w:hint="eastAsia" w:ascii="仿宋" w:hAnsi="仿宋" w:eastAsia="仿宋" w:cs="仿宋"/>
          <w:sz w:val="24"/>
          <w:highlight w:val="none"/>
        </w:rPr>
        <w:t>、利润、保险、售后服务、税费等与完成本项目有关的所有费用。本合同执行期间合同总价不变，甲方无须另向乙方支付本合同规定之外的其他任何费用。</w:t>
      </w:r>
    </w:p>
    <w:p w14:paraId="354B3DAD">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2.合同支付方式为一次性银行转账支付。乙方</w:t>
      </w:r>
      <w:r>
        <w:rPr>
          <w:rFonts w:hint="eastAsia" w:ascii="仿宋" w:hAnsi="仿宋" w:eastAsia="仿宋" w:cs="仿宋"/>
          <w:sz w:val="24"/>
          <w:highlight w:val="none"/>
          <w:lang w:eastAsia="zh-CN"/>
        </w:rPr>
        <w:t>服务完成</w:t>
      </w:r>
      <w:r>
        <w:rPr>
          <w:rFonts w:hint="eastAsia" w:ascii="仿宋" w:hAnsi="仿宋" w:eastAsia="仿宋" w:cs="仿宋"/>
          <w:sz w:val="24"/>
          <w:highlight w:val="none"/>
        </w:rPr>
        <w:t>且经甲方验收合格后，自甲方收到乙方提供的符合甲方财务要求且合法有效完整的等额完税发票之日起10个工作日内支付合同总金额百分之百的合同款；若收到乙方发票之日早于</w:t>
      </w:r>
      <w:r>
        <w:rPr>
          <w:rFonts w:hint="eastAsia" w:ascii="仿宋" w:hAnsi="仿宋" w:eastAsia="仿宋" w:cs="仿宋"/>
          <w:sz w:val="24"/>
          <w:highlight w:val="none"/>
          <w:lang w:eastAsia="zh-CN"/>
        </w:rPr>
        <w:t>服务</w:t>
      </w:r>
      <w:r>
        <w:rPr>
          <w:rFonts w:hint="eastAsia" w:ascii="仿宋" w:hAnsi="仿宋" w:eastAsia="仿宋" w:cs="仿宋"/>
          <w:sz w:val="24"/>
          <w:highlight w:val="none"/>
        </w:rPr>
        <w:t>验收合格之日，则自</w:t>
      </w:r>
      <w:r>
        <w:rPr>
          <w:rFonts w:hint="eastAsia" w:ascii="仿宋" w:hAnsi="仿宋" w:eastAsia="仿宋" w:cs="仿宋"/>
          <w:sz w:val="24"/>
          <w:highlight w:val="none"/>
          <w:lang w:eastAsia="zh-CN"/>
        </w:rPr>
        <w:t>服务</w:t>
      </w:r>
      <w:r>
        <w:rPr>
          <w:rFonts w:hint="eastAsia" w:ascii="仿宋" w:hAnsi="仿宋" w:eastAsia="仿宋" w:cs="仿宋"/>
          <w:sz w:val="24"/>
          <w:highlight w:val="none"/>
        </w:rPr>
        <w:t xml:space="preserve">验收合格之日起10个工作日内支付。         </w:t>
      </w:r>
    </w:p>
    <w:p w14:paraId="400DC0FA">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3.乙方未提供增值税发票（普票），或发票经国税网验审不合格的，或者乙方提供的发票不满足甲方财务要求的，甲方有权拒付且不承担任何逾期付款的责任。</w:t>
      </w:r>
    </w:p>
    <w:p w14:paraId="1F300E01">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乙方保证提供的银行账户信息真实有效，如果乙方账户信息更改（甲方原则上不予以更换合同账户），需要在甲方付款前10个工作日内告知甲方，若因乙方原因导致甲方无法付款或错误付款，后果由乙方自行承担。</w:t>
      </w:r>
    </w:p>
    <w:p w14:paraId="4DFD6415">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5.乙方指定收款账户信息：</w:t>
      </w:r>
    </w:p>
    <w:p w14:paraId="41132777">
      <w:pPr>
        <w:tabs>
          <w:tab w:val="left" w:pos="0"/>
        </w:tabs>
        <w:adjustRightInd w:val="0"/>
        <w:snapToGrid w:val="0"/>
        <w:ind w:firstLine="480" w:firstLineChars="200"/>
        <w:jc w:val="left"/>
        <w:rPr>
          <w:rFonts w:hint="eastAsia" w:ascii="仿宋" w:hAnsi="仿宋" w:eastAsia="仿宋" w:cs="仿宋"/>
          <w:sz w:val="24"/>
          <w:highlight w:val="none"/>
          <w:lang w:val="zh-CN"/>
        </w:rPr>
      </w:pPr>
      <w:r>
        <w:rPr>
          <w:rFonts w:hint="eastAsia" w:ascii="仿宋" w:hAnsi="仿宋" w:eastAsia="仿宋" w:cs="仿宋"/>
          <w:sz w:val="24"/>
          <w:highlight w:val="none"/>
        </w:rPr>
        <w:t>乙方保证提供的银行账户信息真实有效，如果乙方账户信息更改，需要在甲方付款前10个日历天内告知甲方，若因乙方原因导致甲方无法付款或错误付款，后果由乙方自行承担。</w:t>
      </w:r>
      <w:r>
        <w:rPr>
          <w:rFonts w:hint="eastAsia" w:ascii="仿宋" w:hAnsi="仿宋" w:eastAsia="仿宋" w:cs="仿宋"/>
          <w:sz w:val="24"/>
          <w:highlight w:val="none"/>
          <w:lang w:val="zh-CN"/>
        </w:rPr>
        <w:t>乙方指定收款账户如下：</w:t>
      </w:r>
    </w:p>
    <w:p w14:paraId="50DACC5E">
      <w:pPr>
        <w:tabs>
          <w:tab w:val="left" w:pos="0"/>
        </w:tabs>
        <w:adjustRightInd w:val="0"/>
        <w:snapToGrid w:val="0"/>
        <w:ind w:firstLine="480" w:firstLineChars="200"/>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账户名称：</w:t>
      </w:r>
    </w:p>
    <w:p w14:paraId="4FEA8FC5">
      <w:pPr>
        <w:tabs>
          <w:tab w:val="left" w:pos="0"/>
        </w:tabs>
        <w:adjustRightInd w:val="0"/>
        <w:snapToGrid w:val="0"/>
        <w:ind w:firstLine="480" w:firstLineChars="200"/>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银行账号：</w:t>
      </w:r>
    </w:p>
    <w:p w14:paraId="152D70D3">
      <w:pPr>
        <w:tabs>
          <w:tab w:val="left" w:pos="0"/>
        </w:tabs>
        <w:adjustRightInd w:val="0"/>
        <w:snapToGrid w:val="0"/>
        <w:ind w:firstLine="480" w:firstLineChars="200"/>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开户银行：</w:t>
      </w:r>
    </w:p>
    <w:p w14:paraId="78B0E066">
      <w:pPr>
        <w:tabs>
          <w:tab w:val="left" w:pos="0"/>
        </w:tabs>
        <w:adjustRightInd w:val="0"/>
        <w:snapToGrid w:val="0"/>
        <w:ind w:firstLine="482" w:firstLineChars="200"/>
        <w:jc w:val="left"/>
        <w:rPr>
          <w:rFonts w:hint="eastAsia" w:ascii="仿宋" w:hAnsi="仿宋" w:eastAsia="仿宋" w:cs="仿宋"/>
          <w:b/>
          <w:bCs/>
          <w:sz w:val="24"/>
          <w:highlight w:val="none"/>
        </w:rPr>
      </w:pPr>
      <w:r>
        <w:rPr>
          <w:rFonts w:hint="eastAsia" w:ascii="仿宋" w:hAnsi="仿宋" w:eastAsia="仿宋" w:cs="仿宋"/>
          <w:b/>
          <w:bCs/>
          <w:sz w:val="24"/>
          <w:highlight w:val="none"/>
        </w:rPr>
        <w:t>六、其他商务要求</w:t>
      </w:r>
    </w:p>
    <w:p w14:paraId="136EE41A">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 xml:space="preserve"> 1. 如因乙方的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741B671E">
      <w:pPr>
        <w:tabs>
          <w:tab w:val="left" w:pos="0"/>
        </w:tabs>
        <w:adjustRightInd w:val="0"/>
        <w:snapToGrid w:val="0"/>
        <w:ind w:firstLine="482" w:firstLineChars="200"/>
        <w:jc w:val="left"/>
        <w:rPr>
          <w:rFonts w:hint="eastAsia" w:ascii="仿宋" w:hAnsi="仿宋" w:eastAsia="仿宋" w:cs="仿宋"/>
          <w:b/>
          <w:bCs/>
          <w:sz w:val="24"/>
          <w:highlight w:val="none"/>
        </w:rPr>
      </w:pPr>
      <w:r>
        <w:rPr>
          <w:rFonts w:hint="eastAsia" w:ascii="仿宋" w:hAnsi="仿宋" w:eastAsia="仿宋" w:cs="仿宋"/>
          <w:b/>
          <w:bCs/>
          <w:sz w:val="24"/>
          <w:highlight w:val="none"/>
        </w:rPr>
        <w:t>七、双方的权利和义务</w:t>
      </w:r>
    </w:p>
    <w:p w14:paraId="23694F1F">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（一）甲方的权利和义务</w:t>
      </w:r>
    </w:p>
    <w:p w14:paraId="28CB557E">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1.甲方有权对合同规定范围内乙方提供的服务行为进行监督和检查，拥有监管权。有权核对乙方提供服务质量。对甲方认为没达到要求的服务有权下达整改通知书，并要求乙方限期更换。</w:t>
      </w:r>
    </w:p>
    <w:p w14:paraId="518A41F1">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2.负责检查监督乙方提供服务的实施的执行情况。</w:t>
      </w:r>
    </w:p>
    <w:p w14:paraId="426A108A">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3.根据本合同规定，按时向乙方支付应付服务费用。</w:t>
      </w:r>
    </w:p>
    <w:p w14:paraId="21A78442">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4.国家法律、法规所规定由甲方承担的其它责任。</w:t>
      </w:r>
    </w:p>
    <w:p w14:paraId="5F2A8DC0">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（二）乙方的权利和义务</w:t>
      </w:r>
    </w:p>
    <w:p w14:paraId="7F665BC4">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1.对本合同规定的委托事项范围内的项目享有管理权及承担服务义务。</w:t>
      </w:r>
    </w:p>
    <w:p w14:paraId="526B8868">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2.根据本合同的规定向甲方收取相关费用。</w:t>
      </w:r>
    </w:p>
    <w:p w14:paraId="55AE1B93">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3.及时向甲方通告本项目实施相关重大事项，及时配合处理售后。</w:t>
      </w:r>
    </w:p>
    <w:p w14:paraId="2CBCF90C">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4.接受项目行业管理部门及政府有关部门的指导，接受甲方的监督。</w:t>
      </w:r>
    </w:p>
    <w:p w14:paraId="7CD1F213">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5.履行本合同的全部安全责任均由乙方承担，甲方对此不承担任何责任。</w:t>
      </w:r>
    </w:p>
    <w:p w14:paraId="0B055066">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6.国家法律、法规所规定由乙方承担的其它责任。</w:t>
      </w:r>
    </w:p>
    <w:p w14:paraId="00F26B5B">
      <w:pPr>
        <w:tabs>
          <w:tab w:val="left" w:pos="0"/>
        </w:tabs>
        <w:adjustRightInd w:val="0"/>
        <w:snapToGrid w:val="0"/>
        <w:ind w:firstLine="482" w:firstLineChars="200"/>
        <w:jc w:val="left"/>
        <w:rPr>
          <w:rFonts w:hint="eastAsia" w:ascii="仿宋" w:hAnsi="仿宋" w:eastAsia="仿宋" w:cs="仿宋"/>
          <w:b/>
          <w:bCs/>
          <w:sz w:val="24"/>
          <w:highlight w:val="none"/>
        </w:rPr>
      </w:pPr>
      <w:r>
        <w:rPr>
          <w:rFonts w:hint="eastAsia" w:ascii="仿宋" w:hAnsi="仿宋" w:eastAsia="仿宋" w:cs="仿宋"/>
          <w:b/>
          <w:bCs/>
          <w:sz w:val="24"/>
          <w:highlight w:val="none"/>
        </w:rPr>
        <w:t>八、履约保证金要求</w:t>
      </w:r>
    </w:p>
    <w:p w14:paraId="5C8E5B42">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 xml:space="preserve"> 1.履约保证金为人民币(大写) XXXX元整(合同金额的百分之五)，乙方应在中标通知书发出之日起至合同签订前以银行转账、支票、汇票、本票或者金融机构、担保机构出具的保函等非现金形式向甲方提交履约保证金，因乙方缴纳履约保证金可能产生的手续费等全部费用，由乙方自行承担。</w:t>
      </w:r>
    </w:p>
    <w:p w14:paraId="48993EE6">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履行合同约定(含售后服务)完毕后,无质量问题和违约责任情况，乙方凭“验收报告单”、“收到退还履约保证金的收据”、“履约保证金退还申请”到学校办理，，无息退还。甲方收到乙方提交的履约保证金退还申请等资料并经甲方审核后，30个日历天内退还乙方应退部分履约保证金。</w:t>
      </w:r>
    </w:p>
    <w:p w14:paraId="6082CC14">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3.履约保证金汇入的银行及账号：</w:t>
      </w:r>
    </w:p>
    <w:p w14:paraId="5A31982B">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 收款账号：成都市技师学院</w:t>
      </w:r>
    </w:p>
    <w:p w14:paraId="7E17B099">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 开户行：工行成都红光支行</w:t>
      </w:r>
    </w:p>
    <w:p w14:paraId="1F4EFCBA">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 银行账号：4402054609100031151</w:t>
      </w:r>
    </w:p>
    <w:p w14:paraId="24675BD9">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履约保证金不予退还情形:一是乙方未按合同要求履行的，其履约保证金全部扣除。二是乙方缴纳了履约保证金，但因自身原因被取消成交资格或在成交公示期满之日起30个日历天(含法定节假日)内乙方不按招标文件确定的事项与甲方签订合同的，其履约保证金不予退还。三是法律法规或合同约定的其他情形。</w:t>
      </w:r>
    </w:p>
    <w:p w14:paraId="7D88F83E">
      <w:pPr>
        <w:tabs>
          <w:tab w:val="left" w:pos="0"/>
        </w:tabs>
        <w:adjustRightInd w:val="0"/>
        <w:snapToGrid w:val="0"/>
        <w:ind w:firstLine="482" w:firstLineChars="200"/>
        <w:jc w:val="left"/>
        <w:rPr>
          <w:rFonts w:hint="eastAsia" w:ascii="仿宋" w:hAnsi="仿宋" w:eastAsia="仿宋" w:cs="仿宋"/>
          <w:b/>
          <w:bCs/>
          <w:sz w:val="24"/>
          <w:highlight w:val="none"/>
        </w:rPr>
      </w:pPr>
      <w:r>
        <w:rPr>
          <w:rFonts w:hint="eastAsia" w:ascii="仿宋" w:hAnsi="仿宋" w:eastAsia="仿宋" w:cs="仿宋"/>
          <w:b/>
          <w:bCs/>
          <w:sz w:val="24"/>
          <w:highlight w:val="none"/>
        </w:rPr>
        <w:t>九、验收、交付标准和方法</w:t>
      </w:r>
    </w:p>
    <w:p w14:paraId="06AED4C2">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1.验收的主体：甲方</w:t>
      </w:r>
    </w:p>
    <w:p w14:paraId="16E4AA2E">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2.验收的时间：</w:t>
      </w:r>
    </w:p>
    <w:p w14:paraId="7BD455D0">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（1）乙方完成资源开发服务工作后，书面通知甲方进行资源开发服务验收，甲方收到资源开发服务验收申请后5个日历天内组织验收。</w:t>
      </w:r>
    </w:p>
    <w:p w14:paraId="0F12D69E">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（2）售后服务期结束且甲方收到乙方售后服务整体验收申请之日起7个日历天内完成售后服务整体验收。</w:t>
      </w:r>
    </w:p>
    <w:p w14:paraId="608CA630">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验收的方式：资源开发服务验收为现场测试验收，售后服务验收为考核验收（乙方每次按照售后服务要求提供服务的视为单次售后服务合格，售后服务期内售后服务合格率[合格的售后服务次数/售后服务总次数]低于百分之90视为售后服务不合格）。</w:t>
      </w:r>
    </w:p>
    <w:p w14:paraId="1A0186DA">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4、验收的程序：</w:t>
      </w:r>
    </w:p>
    <w:p w14:paraId="74D9BF7D">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乙方递交资源开发服务验收申请后，甲方组织3人以上的验收小组核实售后服务合格率；验收合格，则签署《验收报告单》；若验收不合格，乙方应在接到甲方整改通知之日起15个日历天内完成整改，再由甲方组织重新验收，若乙方未在约定时间完成整改或整改后资源开发服务再次验收不合格则视为乙方不能履约，甲方有权终止合同，并按合同第十条第（二）款第2项约定追究乙方的违约责任。</w:t>
      </w:r>
    </w:p>
    <w:p w14:paraId="688C1E63">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单次售后服务完成后，由甲方的经办人现场验收并记录，该记录作为售后服务整体验收的依据。乙方递交售后服务整体验收申请后，甲方组织3人以上的验收小组核实售后服务合格率，售后服务整体验收合格，则签署《验收报告单》；若售后服务整体验收不合格，甲方有权按合同第十条第（二）款第</w:t>
      </w:r>
      <w:r>
        <w:rPr>
          <w:rFonts w:ascii="仿宋" w:hAnsi="仿宋" w:eastAsia="仿宋" w:cs="仿宋"/>
          <w:sz w:val="24"/>
          <w:highlight w:val="none"/>
        </w:rPr>
        <w:t>4</w:t>
      </w:r>
      <w:r>
        <w:rPr>
          <w:rFonts w:hint="eastAsia" w:ascii="仿宋" w:hAnsi="仿宋" w:eastAsia="仿宋" w:cs="仿宋"/>
          <w:sz w:val="24"/>
          <w:highlight w:val="none"/>
        </w:rPr>
        <w:t>项约定追究乙方的违约责任。</w:t>
      </w:r>
    </w:p>
    <w:p w14:paraId="3E78F3EE">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5、验收的内容：</w:t>
      </w:r>
    </w:p>
    <w:p w14:paraId="5DF223A4">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服务验收内容包括课程教学资源、使用说明或手册、每一项技术和商务要求（售后服务除外）的履约情况；验收合格，则签署《验收报告单》；若验收不合格，乙方应在接到甲方整改通知之日起15个日历天内完成整改，再由甲方组织重新验收，若</w:t>
      </w:r>
      <w:r>
        <w:rPr>
          <w:rFonts w:hint="eastAsia" w:ascii="仿宋" w:hAnsi="仿宋" w:eastAsia="仿宋" w:cs="仿宋"/>
          <w:sz w:val="24"/>
          <w:highlight w:val="none"/>
          <w:lang w:eastAsia="zh-CN"/>
        </w:rPr>
        <w:t>服务</w:t>
      </w:r>
      <w:r>
        <w:rPr>
          <w:rFonts w:hint="eastAsia" w:ascii="仿宋" w:hAnsi="仿宋" w:eastAsia="仿宋" w:cs="仿宋"/>
          <w:sz w:val="24"/>
          <w:highlight w:val="none"/>
        </w:rPr>
        <w:t>再次验收不合格则视为乙方不能履约，甲方有权终止合同，并按合同约定追究乙方的违约责任。</w:t>
      </w:r>
    </w:p>
    <w:p w14:paraId="2ED64F3D">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（2）售后服务验收内容包括售后服务要求中每一项要求的履约情况。验收合格，则签署《验收报告单》；若售后服务验收不合格，甲方有权按合同约定追究乙方的违约责任。</w:t>
      </w:r>
    </w:p>
    <w:p w14:paraId="526AC713">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6、验收的标准：按招标文件的质量要求和技术指标、乙方的投标文件及承诺、合同约定进行验收。其他未尽事宜应按照《财政部关于进一步加强政府采购需求和履约验收管理的指导意见》(财库〔2016〕205号)的要求进行验收。</w:t>
      </w:r>
    </w:p>
    <w:p w14:paraId="0E32830A">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7</w:t>
      </w:r>
      <w:r>
        <w:rPr>
          <w:rFonts w:hint="eastAsia" w:ascii="仿宋" w:hAnsi="仿宋" w:eastAsia="仿宋" w:cs="仿宋"/>
          <w:sz w:val="24"/>
          <w:highlight w:val="none"/>
        </w:rPr>
        <w:t>、交付标准及方式：</w:t>
      </w:r>
    </w:p>
    <w:p w14:paraId="77E2213D">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（1）交货验收：乙方向</w:t>
      </w:r>
      <w:r>
        <w:rPr>
          <w:rFonts w:hint="eastAsia" w:ascii="仿宋" w:hAnsi="仿宋" w:eastAsia="仿宋" w:cs="仿宋"/>
          <w:sz w:val="24"/>
          <w:highlight w:val="none"/>
          <w:lang w:eastAsia="zh-CN"/>
        </w:rPr>
        <w:t>甲</w:t>
      </w:r>
      <w:r>
        <w:rPr>
          <w:rFonts w:hint="eastAsia" w:ascii="仿宋" w:hAnsi="仿宋" w:eastAsia="仿宋" w:cs="仿宋"/>
          <w:sz w:val="24"/>
          <w:highlight w:val="none"/>
        </w:rPr>
        <w:t>方移交了所有教学资源及培训资料等，并在甲方指定地点完成课程资源建设服务等工作且通过服务验收为乙方交付。</w:t>
      </w:r>
    </w:p>
    <w:p w14:paraId="7CBD8864">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（2）售后验收：售后服务验收内容包括售后服务要求中每一项要求的履约情况。</w:t>
      </w:r>
    </w:p>
    <w:p w14:paraId="5BC071CF">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售后服务期内售后服务合格率[合格的售后服务次数/售后服务总次数]低于百分之90视为售后服务不合格）。</w:t>
      </w:r>
    </w:p>
    <w:p w14:paraId="4E57B4CF">
      <w:pPr>
        <w:tabs>
          <w:tab w:val="left" w:pos="0"/>
        </w:tabs>
        <w:adjustRightInd w:val="0"/>
        <w:snapToGrid w:val="0"/>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十</w:t>
      </w:r>
      <w:r>
        <w:rPr>
          <w:rFonts w:hint="eastAsia" w:ascii="仿宋" w:hAnsi="仿宋" w:eastAsia="仿宋" w:cs="仿宋"/>
          <w:b/>
          <w:bCs/>
          <w:sz w:val="24"/>
          <w:highlight w:val="none"/>
        </w:rPr>
        <w:t>、知识产权</w:t>
      </w:r>
    </w:p>
    <w:p w14:paraId="7BE0D27B">
      <w:pPr>
        <w:tabs>
          <w:tab w:val="left" w:pos="0"/>
        </w:tabs>
        <w:adjustRightInd w:val="0"/>
        <w:snapToGrid w:val="0"/>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乙方应保证所提供的服务或其任何一部分均不会侵犯任何第三方的专利权、商标权或著作权。</w:t>
      </w:r>
    </w:p>
    <w:p w14:paraId="499C7933">
      <w:pPr>
        <w:ind w:firstLine="482" w:firstLineChars="200"/>
        <w:jc w:val="left"/>
        <w:rPr>
          <w:rFonts w:hint="eastAsia" w:ascii="仿宋" w:hAnsi="仿宋" w:eastAsia="仿宋" w:cs="仿宋"/>
          <w:b/>
          <w:sz w:val="24"/>
          <w:highlight w:val="none"/>
        </w:rPr>
      </w:pPr>
      <w:r>
        <w:rPr>
          <w:rFonts w:hint="eastAsia" w:ascii="仿宋" w:hAnsi="仿宋" w:eastAsia="仿宋" w:cs="仿宋"/>
          <w:b/>
          <w:sz w:val="24"/>
          <w:highlight w:val="none"/>
          <w:lang w:val="en-US" w:eastAsia="zh-CN"/>
        </w:rPr>
        <w:t>十一</w:t>
      </w:r>
      <w:r>
        <w:rPr>
          <w:rFonts w:hint="eastAsia" w:ascii="仿宋" w:hAnsi="仿宋" w:eastAsia="仿宋" w:cs="仿宋"/>
          <w:b/>
          <w:sz w:val="24"/>
          <w:highlight w:val="none"/>
        </w:rPr>
        <w:t>、解决合同纠纷的方式</w:t>
      </w:r>
    </w:p>
    <w:p w14:paraId="16A4221C">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1.履约期间,若双方发生争议，双方应通过友好协商解决，经协商不能达成协议时，应提交甲方所在地的人民法院诉讼。在诉讼期间，除正在进行诉讼的部分外，合同其他部分继续执行。</w:t>
      </w:r>
    </w:p>
    <w:p w14:paraId="3E0B3227">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 xml:space="preserve">2.除判决另有规定外，一切涉诉合理费用（包括但不限于律师费、诉讼费、保全费等）均由违约方承担。  </w:t>
      </w:r>
    </w:p>
    <w:p w14:paraId="6294AA97">
      <w:pPr>
        <w:tabs>
          <w:tab w:val="left" w:pos="0"/>
        </w:tabs>
        <w:adjustRightInd w:val="0"/>
        <w:snapToGrid w:val="0"/>
        <w:ind w:firstLine="482" w:firstLineChars="200"/>
        <w:jc w:val="left"/>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十二</w:t>
      </w:r>
      <w:r>
        <w:rPr>
          <w:rFonts w:hint="eastAsia" w:ascii="仿宋" w:hAnsi="仿宋" w:eastAsia="仿宋" w:cs="仿宋"/>
          <w:b/>
          <w:bCs/>
          <w:sz w:val="24"/>
          <w:highlight w:val="none"/>
        </w:rPr>
        <w:t>、违约责任</w:t>
      </w:r>
    </w:p>
    <w:p w14:paraId="49E5DE34">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（一）甲方违约责任</w:t>
      </w:r>
    </w:p>
    <w:p w14:paraId="293F3B37">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非甲方故意逾期付款的，甲方不承担任何逾期付款责任，乙方也不得终止合同(说明：如因2024年年终财政关闭支付系统导致甲方在合同履行期间无法支付，则甲方不承担逾期支付责任，待2025年财政支付系统开通后支付)。</w:t>
      </w:r>
    </w:p>
    <w:p w14:paraId="5EAF2069">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（二）乙方违约责任</w:t>
      </w:r>
    </w:p>
    <w:p w14:paraId="09D2042E">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乙方交付的资源开发服务内容量不符合招标文件和投标文件规定以及本合同约定的，乙方应在接到甲方通知后15个日历天内更换合资源开发服务给甲方。若乙方未在15个日历天内更换合格资源开发服务给甲方或更换后的资源开发服务仍不符合招标文件和投标文件的质量要求，视作乙方不能交付</w:t>
      </w:r>
      <w:r>
        <w:rPr>
          <w:rFonts w:hint="eastAsia" w:ascii="仿宋" w:hAnsi="仿宋" w:eastAsia="仿宋" w:cs="仿宋"/>
          <w:sz w:val="24"/>
          <w:highlight w:val="none"/>
          <w:lang w:eastAsia="zh-CN"/>
        </w:rPr>
        <w:t>服务</w:t>
      </w:r>
      <w:r>
        <w:rPr>
          <w:rFonts w:hint="eastAsia" w:ascii="仿宋" w:hAnsi="仿宋" w:eastAsia="仿宋" w:cs="仿宋"/>
          <w:sz w:val="24"/>
          <w:highlight w:val="none"/>
        </w:rPr>
        <w:t>而违约，乙方按本条本款下述第“2”项规定向甲方支付违约金。</w:t>
      </w:r>
    </w:p>
    <w:p w14:paraId="277C2263">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2.乙方不能交付资源开发服务而违约的，本合同终止，乙方按合同总金额的百分之二十向甲方支付违约金和赔偿因此给甲方造成的全部损失，并且甲方不予退还乙方履约保证金。</w:t>
      </w:r>
    </w:p>
    <w:p w14:paraId="3C8FFE47">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3.乙方逾期交付资源开发服务而违约的，除应及时完成资源开发服务外，还应向甲方偿付逾期未完成资源开发服务部分货款总额的万分之一/天的违约金。逾期15个日历天未交付</w:t>
      </w:r>
      <w:r>
        <w:rPr>
          <w:rFonts w:hint="eastAsia" w:ascii="仿宋" w:hAnsi="仿宋" w:eastAsia="仿宋" w:cs="仿宋"/>
          <w:sz w:val="24"/>
          <w:highlight w:val="none"/>
          <w:lang w:eastAsia="zh-CN"/>
        </w:rPr>
        <w:t>服务</w:t>
      </w:r>
      <w:r>
        <w:rPr>
          <w:rFonts w:hint="eastAsia" w:ascii="仿宋" w:hAnsi="仿宋" w:eastAsia="仿宋" w:cs="仿宋"/>
          <w:sz w:val="24"/>
          <w:highlight w:val="none"/>
        </w:rPr>
        <w:t>的，甲方有权终止合同并要求乙方按合同总金额的百分之二十支付违约金和赔偿因此给甲方造成的全部损失，并且甲方不予退还乙方履约保证金。</w:t>
      </w:r>
    </w:p>
    <w:p w14:paraId="3EA328B0">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乙方未按招标文件和乙方的投标文件约定的时间及要求提供售后服务的，甲方有权聘请第三方提供服务，由此产生的费用全部由乙方承担并视当次售后服务不合格。售后服务期内售后服务合格率（合格的售后服务次数/售后服务总次数）低于百分之90视为售后服务不合格，甲方不予返还乙方履约保证金，乙方还应按本合同总金额的百分之二十向甲方支付违约金。</w:t>
      </w:r>
    </w:p>
    <w:p w14:paraId="35BF3C0D">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5.乙方保证响应的资源开发服务权利无瑕疵，包括所有权及知识产权等权利无瑕疵。如任何第三方经法院裁决有权对上述资源开发服务主张权利，乙方除应向甲方返还已收款项外，还应另按本合同总金额百分之二十向甲方支付违约金。甲方因此遭受的损失由乙方承担（包括但不限甲方因侵权产品被权利人起诉产生的一切费用）。</w:t>
      </w:r>
    </w:p>
    <w:p w14:paraId="3FB31E72">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6.若乙方提供虚假、作废发票或违反国家法律、法规开具或提供发票的，乙方自行承担全部法律责任，同时乙方还应按本合同总金额的百分之二十向甲方支付违约金。</w:t>
      </w:r>
    </w:p>
    <w:p w14:paraId="29622C1B">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7.乙方支付的违约金不足以弥补甲方损失的，还应按甲方损失尚未弥补的部分,支付赔偿金给甲方。</w:t>
      </w:r>
    </w:p>
    <w:p w14:paraId="6D1950A7">
      <w:pPr>
        <w:tabs>
          <w:tab w:val="left" w:pos="0"/>
        </w:tabs>
        <w:adjustRightInd w:val="0"/>
        <w:snapToGrid w:val="0"/>
        <w:ind w:firstLine="482" w:firstLineChars="200"/>
        <w:jc w:val="left"/>
        <w:rPr>
          <w:rFonts w:hint="eastAsia" w:ascii="仿宋" w:hAnsi="仿宋" w:eastAsia="仿宋" w:cs="仿宋"/>
          <w:b/>
          <w:bCs/>
          <w:sz w:val="24"/>
          <w:highlight w:val="none"/>
        </w:rPr>
      </w:pPr>
      <w:r>
        <w:rPr>
          <w:rFonts w:hint="eastAsia" w:ascii="仿宋" w:hAnsi="仿宋" w:eastAsia="仿宋" w:cs="仿宋"/>
          <w:b/>
          <w:bCs/>
          <w:sz w:val="24"/>
          <w:highlight w:val="none"/>
        </w:rPr>
        <w:t>十</w:t>
      </w:r>
      <w:r>
        <w:rPr>
          <w:rFonts w:hint="eastAsia" w:ascii="仿宋" w:hAnsi="仿宋" w:eastAsia="仿宋" w:cs="仿宋"/>
          <w:b/>
          <w:bCs/>
          <w:sz w:val="24"/>
          <w:highlight w:val="none"/>
          <w:lang w:val="en-US" w:eastAsia="zh-CN"/>
        </w:rPr>
        <w:t>三</w:t>
      </w:r>
      <w:r>
        <w:rPr>
          <w:rFonts w:hint="eastAsia" w:ascii="仿宋" w:hAnsi="仿宋" w:eastAsia="仿宋" w:cs="仿宋"/>
          <w:b/>
          <w:bCs/>
          <w:sz w:val="24"/>
          <w:highlight w:val="none"/>
        </w:rPr>
        <w:t>、不可抗力事件处理</w:t>
      </w:r>
    </w:p>
    <w:p w14:paraId="4D1B16C7">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1、在合同有效期内，任何一方因不可抗力事件导致不能履行合同，则合同履行期可延长，其延长期与不可抗力影响期相同。</w:t>
      </w:r>
    </w:p>
    <w:p w14:paraId="625DD43D">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2、不可抗力事件发生后，应立即通知对方，并寄送有关权威机构出具的证明。</w:t>
      </w:r>
    </w:p>
    <w:p w14:paraId="59C00A99">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3、不可抗力事件延续30天以上，双方应通过友好协商，确定是否继续履行合同。</w:t>
      </w:r>
    </w:p>
    <w:p w14:paraId="4DA7A942">
      <w:pPr>
        <w:tabs>
          <w:tab w:val="left" w:pos="0"/>
        </w:tabs>
        <w:adjustRightInd w:val="0"/>
        <w:snapToGrid w:val="0"/>
        <w:ind w:firstLine="482" w:firstLineChars="200"/>
        <w:jc w:val="left"/>
        <w:rPr>
          <w:rFonts w:hint="eastAsia" w:ascii="仿宋" w:hAnsi="仿宋" w:eastAsia="仿宋" w:cs="仿宋"/>
          <w:b/>
          <w:bCs/>
          <w:sz w:val="24"/>
          <w:highlight w:val="none"/>
        </w:rPr>
      </w:pPr>
      <w:r>
        <w:rPr>
          <w:rFonts w:hint="eastAsia" w:ascii="仿宋" w:hAnsi="仿宋" w:eastAsia="仿宋" w:cs="仿宋"/>
          <w:b/>
          <w:bCs/>
          <w:sz w:val="24"/>
          <w:highlight w:val="none"/>
        </w:rPr>
        <w:t>十</w:t>
      </w:r>
      <w:r>
        <w:rPr>
          <w:rFonts w:hint="eastAsia" w:ascii="仿宋" w:hAnsi="仿宋" w:eastAsia="仿宋" w:cs="仿宋"/>
          <w:b/>
          <w:bCs/>
          <w:sz w:val="24"/>
          <w:highlight w:val="none"/>
          <w:lang w:val="en-US" w:eastAsia="zh-CN"/>
        </w:rPr>
        <w:t>四</w:t>
      </w:r>
      <w:r>
        <w:rPr>
          <w:rFonts w:hint="eastAsia" w:ascii="仿宋" w:hAnsi="仿宋" w:eastAsia="仿宋" w:cs="仿宋"/>
          <w:b/>
          <w:bCs/>
          <w:sz w:val="24"/>
          <w:highlight w:val="none"/>
        </w:rPr>
        <w:t xml:space="preserve">、组成本合同的有关文件 </w:t>
      </w:r>
    </w:p>
    <w:p w14:paraId="5D874190">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下列关于</w:t>
      </w:r>
      <w:r>
        <w:rPr>
          <w:rFonts w:hint="eastAsia" w:ascii="仿宋" w:hAnsi="仿宋" w:eastAsia="仿宋" w:cs="仿宋"/>
          <w:b w:val="0"/>
          <w:bCs w:val="0"/>
          <w:i w:val="0"/>
          <w:iCs w:val="0"/>
          <w:color w:val="auto"/>
          <w:sz w:val="24"/>
          <w:szCs w:val="24"/>
          <w:highlight w:val="none"/>
          <w:lang w:val="en-US" w:eastAsia="zh-CN"/>
        </w:rPr>
        <w:t>成都市技师学院（成都工贸职业技术学院）高端装备制造生产性实训基地教学资源开发项目</w:t>
      </w:r>
      <w:r>
        <w:rPr>
          <w:rFonts w:hint="eastAsia" w:ascii="仿宋" w:hAnsi="仿宋" w:eastAsia="仿宋" w:cs="仿宋"/>
          <w:sz w:val="24"/>
          <w:highlight w:val="none"/>
        </w:rPr>
        <w:t>(项目编号：XXXX)的招标文件、乙方的投标文件或与本次采购活动方式相适应的文件及有关附件是本合同不可分割的组成部分，与本合同具有同等法律效力，这些文件包括但不限于：</w:t>
      </w:r>
    </w:p>
    <w:p w14:paraId="3675708F">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1.甲方的招标文件；</w:t>
      </w:r>
    </w:p>
    <w:p w14:paraId="633B30CE">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2.乙方的投标文件；</w:t>
      </w:r>
    </w:p>
    <w:p w14:paraId="77281054">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3.中标通知书；</w:t>
      </w:r>
    </w:p>
    <w:p w14:paraId="2ACEF615">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4.本合同列出的附件。</w:t>
      </w:r>
    </w:p>
    <w:p w14:paraId="708CD2D2">
      <w:pPr>
        <w:tabs>
          <w:tab w:val="left" w:pos="0"/>
        </w:tabs>
        <w:adjustRightInd w:val="0"/>
        <w:snapToGrid w:val="0"/>
        <w:ind w:firstLine="482" w:firstLineChars="200"/>
        <w:jc w:val="left"/>
        <w:rPr>
          <w:rFonts w:hint="eastAsia" w:ascii="仿宋" w:hAnsi="仿宋" w:eastAsia="仿宋" w:cs="仿宋"/>
          <w:b/>
          <w:bCs/>
          <w:sz w:val="24"/>
          <w:highlight w:val="none"/>
        </w:rPr>
      </w:pPr>
      <w:r>
        <w:rPr>
          <w:rFonts w:hint="eastAsia" w:ascii="仿宋" w:hAnsi="仿宋" w:eastAsia="仿宋" w:cs="仿宋"/>
          <w:b/>
          <w:bCs/>
          <w:sz w:val="24"/>
          <w:highlight w:val="none"/>
        </w:rPr>
        <w:t>十</w:t>
      </w:r>
      <w:r>
        <w:rPr>
          <w:rFonts w:hint="eastAsia" w:ascii="仿宋" w:hAnsi="仿宋" w:eastAsia="仿宋" w:cs="仿宋"/>
          <w:b/>
          <w:bCs/>
          <w:sz w:val="24"/>
          <w:highlight w:val="none"/>
          <w:lang w:val="en-US" w:eastAsia="zh-CN"/>
        </w:rPr>
        <w:t>五</w:t>
      </w:r>
      <w:r>
        <w:rPr>
          <w:rFonts w:hint="eastAsia" w:ascii="仿宋" w:hAnsi="仿宋" w:eastAsia="仿宋" w:cs="仿宋"/>
          <w:b/>
          <w:bCs/>
          <w:sz w:val="24"/>
          <w:highlight w:val="none"/>
        </w:rPr>
        <w:t>、其他</w:t>
      </w:r>
    </w:p>
    <w:p w14:paraId="0AC5194C">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1.乙方制定的实施方案、售后服务方、XXX详见乙方投标文件</w:t>
      </w:r>
    </w:p>
    <w:p w14:paraId="4DC20FE4">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2.本合同自乙方缴纳履约保证金后，且合同经双方法定代表人或授权代表签字并加盖单位公章或合同专用章后生效。</w:t>
      </w:r>
    </w:p>
    <w:p w14:paraId="3A7B15B0">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3.如有未尽事宜，由双方依法订立补充合同。</w:t>
      </w:r>
    </w:p>
    <w:p w14:paraId="1A15D26B">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4.本合同一式六份，甲方四份，乙方两份,均具有同等法律效力。</w:t>
      </w:r>
    </w:p>
    <w:p w14:paraId="2E77A269">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5.如本合同与甲方的招标文件、乙方的投标文件不一致时，以甲方的招标文件、乙方的投标文件为准。</w:t>
      </w:r>
    </w:p>
    <w:p w14:paraId="79C4039B">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6.本合同应按照中华人民共和国的现行法律进行解释。</w:t>
      </w:r>
    </w:p>
    <w:p w14:paraId="74267FFA">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(以下无正文)</w:t>
      </w:r>
    </w:p>
    <w:p w14:paraId="5FF96D38">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 xml:space="preserve">甲方：  （盖章）   </w:t>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 xml:space="preserve">   乙方：   （盖章）</w:t>
      </w:r>
    </w:p>
    <w:p w14:paraId="67A0C341">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法定代表人（授权代表）：   法定代表人（授权代表）：</w:t>
      </w:r>
    </w:p>
    <w:p w14:paraId="24A295FB">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地    址：                地    址：</w:t>
      </w:r>
    </w:p>
    <w:p w14:paraId="50FD0370">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开户银行：                开户银行：</w:t>
      </w:r>
    </w:p>
    <w:p w14:paraId="4B703335">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账    号：                账    号：</w:t>
      </w:r>
    </w:p>
    <w:p w14:paraId="723227FA">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电    话：                电    话：</w:t>
      </w:r>
    </w:p>
    <w:p w14:paraId="17260FF8">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传    真：                传    真：</w:t>
      </w:r>
    </w:p>
    <w:p w14:paraId="27314B6E">
      <w:pPr>
        <w:tabs>
          <w:tab w:val="left" w:pos="0"/>
        </w:tabs>
        <w:adjustRightInd w:val="0"/>
        <w:snapToGrid w:val="0"/>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邮    箱：                邮    箱：</w:t>
      </w:r>
    </w:p>
    <w:p w14:paraId="55452476">
      <w:pPr>
        <w:keepNext w:val="0"/>
        <w:keepLines w:val="0"/>
        <w:pageBreakBefore w:val="0"/>
        <w:widowControl w:val="0"/>
        <w:kinsoku/>
        <w:wordWrap/>
        <w:overflowPunct/>
        <w:topLinePunct w:val="0"/>
        <w:autoSpaceDE/>
        <w:autoSpaceDN/>
        <w:bidi w:val="0"/>
        <w:snapToGrid w:val="0"/>
        <w:spacing w:line="360" w:lineRule="auto"/>
        <w:outlineLvl w:val="9"/>
        <w:rPr>
          <w:rFonts w:hint="eastAsia" w:ascii="仿宋" w:hAnsi="仿宋" w:eastAsia="仿宋" w:cs="仿宋"/>
          <w:color w:val="auto"/>
          <w:sz w:val="24"/>
          <w:highlight w:val="none"/>
        </w:rPr>
      </w:pPr>
    </w:p>
    <w:p w14:paraId="4264ADC3">
      <w:pPr>
        <w:keepNext w:val="0"/>
        <w:keepLines w:val="0"/>
        <w:pageBreakBefore w:val="0"/>
        <w:widowControl w:val="0"/>
        <w:kinsoku/>
        <w:wordWrap/>
        <w:overflowPunct/>
        <w:topLinePunct w:val="0"/>
        <w:autoSpaceDE/>
        <w:autoSpaceDN/>
        <w:bidi w:val="0"/>
        <w:snapToGrid w:val="0"/>
        <w:spacing w:line="276" w:lineRule="auto"/>
        <w:outlineLvl w:val="9"/>
        <w:rPr>
          <w:rFonts w:hint="eastAsia" w:ascii="仿宋" w:hAnsi="仿宋" w:eastAsia="仿宋" w:cstheme="minorEastAsia"/>
          <w:b/>
          <w:sz w:val="24"/>
          <w:highlight w:val="none"/>
        </w:rPr>
      </w:pPr>
    </w:p>
    <w:sectPr>
      <w:footerReference r:id="rId10" w:type="first"/>
      <w:footerReference r:id="rId9" w:type="default"/>
      <w:pgSz w:w="11905" w:h="16838"/>
      <w:pgMar w:top="1440" w:right="1474" w:bottom="1440" w:left="1474" w:header="851" w:footer="992" w:gutter="0"/>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FA971">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11F33">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CDA8C">
    <w:pPr>
      <w:pStyle w:val="1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25B24">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F112B3">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wSeNcsBAACd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bmhxHGLE798/3b58evy8ytZ&#10;VquXWaI+QI2Z9wFz0/DGD7g4sx/QmZkPKtr8RU4E4yjw+SqwHBIR+dF6tV5XGBIYmy+Izx6ehwjp&#10;rfSWZKOhESdYhOWn95DG1DklV3P+ThtTpmjcXw7EzB6Wex97zFYa9sNEaO/bM/LpcfgNdbjrlJh3&#10;DrXNezIbcTb2s3EMUR+6ski5HoTXx4RNlN5yhRF2KoxTK+ymDctr8ee9ZD38Vd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sEnjXLAQAAnQMAAA4AAAAAAAAAAQAgAAAAHgEAAGRycy9lMm9E&#10;b2MueG1sUEsFBgAAAAAGAAYAWQEAAFsFAAAAAA==&#10;">
              <v:fill on="f" focussize="0,0"/>
              <v:stroke on="f"/>
              <v:imagedata o:title=""/>
              <o:lock v:ext="edit" aspectratio="f"/>
              <v:textbox inset="0mm,0mm,0mm,0mm" style="mso-fit-shape-to-text:t;">
                <w:txbxContent>
                  <w:p w14:paraId="42F112B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69EE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27F5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0527F56">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5F6DD">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E842">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29521">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B5004"/>
    <w:multiLevelType w:val="singleLevel"/>
    <w:tmpl w:val="8ACB5004"/>
    <w:lvl w:ilvl="0" w:tentative="0">
      <w:start w:val="7"/>
      <w:numFmt w:val="chineseCounting"/>
      <w:suff w:val="nothing"/>
      <w:lvlText w:val="%1、"/>
      <w:lvlJc w:val="left"/>
      <w:rPr>
        <w:rFonts w:hint="eastAsia"/>
      </w:rPr>
    </w:lvl>
  </w:abstractNum>
  <w:abstractNum w:abstractNumId="1">
    <w:nsid w:val="ABAA292D"/>
    <w:multiLevelType w:val="singleLevel"/>
    <w:tmpl w:val="ABAA292D"/>
    <w:lvl w:ilvl="0" w:tentative="0">
      <w:start w:val="10"/>
      <w:numFmt w:val="chineseCounting"/>
      <w:suff w:val="nothing"/>
      <w:lvlText w:val="（%1）"/>
      <w:lvlJc w:val="left"/>
      <w:rPr>
        <w:rFonts w:hint="eastAsia"/>
      </w:rPr>
    </w:lvl>
  </w:abstractNum>
  <w:abstractNum w:abstractNumId="2">
    <w:nsid w:val="00000029"/>
    <w:multiLevelType w:val="multilevel"/>
    <w:tmpl w:val="00000029"/>
    <w:lvl w:ilvl="0" w:tentative="0">
      <w:start w:val="1"/>
      <w:numFmt w:val="decimal"/>
      <w:lvlText w:val="第%1章"/>
      <w:lvlJc w:val="left"/>
      <w:pPr>
        <w:ind w:left="3311" w:hanging="431"/>
      </w:pPr>
      <w:rPr>
        <w:rFonts w:hint="eastAsia" w:ascii="仿宋_GB2312" w:hAnsi="Cambria Math" w:eastAsia="仿宋_GB2312"/>
        <w:b/>
        <w:i w:val="0"/>
        <w:sz w:val="32"/>
      </w:rPr>
    </w:lvl>
    <w:lvl w:ilvl="1" w:tentative="0">
      <w:start w:val="1"/>
      <w:numFmt w:val="decimal"/>
      <w:lvlText w:val="%1.%2"/>
      <w:lvlJc w:val="left"/>
      <w:pPr>
        <w:ind w:left="3780" w:hanging="431"/>
      </w:pPr>
      <w:rPr>
        <w:rFonts w:hint="eastAsia" w:ascii="仿宋_GB2312" w:hAnsi="Times New Roman" w:eastAsia="仿宋_GB2312" w:cs="Times New Roman"/>
        <w:b/>
        <w:i w:val="0"/>
        <w:sz w:val="24"/>
        <w:szCs w:val="24"/>
      </w:rPr>
    </w:lvl>
    <w:lvl w:ilvl="2" w:tentative="0">
      <w:start w:val="1"/>
      <w:numFmt w:val="decimal"/>
      <w:lvlText w:val="%1.%2.%3"/>
      <w:lvlJc w:val="left"/>
      <w:pPr>
        <w:ind w:left="3922" w:hanging="431"/>
      </w:pPr>
      <w:rPr>
        <w:rFonts w:hint="eastAsia" w:ascii="仿宋_GB2312" w:hAnsi="Times New Roman" w:eastAsia="仿宋_GB2312" w:cs="Times New Roman"/>
        <w:b/>
        <w:i w:val="0"/>
        <w:sz w:val="24"/>
        <w:szCs w:val="24"/>
      </w:rPr>
    </w:lvl>
    <w:lvl w:ilvl="3" w:tentative="0">
      <w:start w:val="1"/>
      <w:numFmt w:val="decimal"/>
      <w:pStyle w:val="5"/>
      <w:isLgl/>
      <w:lvlText w:val="%1.%2.%3.%4"/>
      <w:lvlJc w:val="left"/>
      <w:pPr>
        <w:ind w:left="3780" w:hanging="431"/>
      </w:pPr>
      <w:rPr>
        <w:rFonts w:hint="eastAsia" w:ascii="仿宋_GB2312" w:hAnsi="Times New Roman" w:eastAsia="仿宋_GB2312" w:cs="Times New Roman"/>
        <w:b/>
        <w:i w:val="0"/>
        <w:sz w:val="24"/>
        <w:szCs w:val="24"/>
      </w:rPr>
    </w:lvl>
    <w:lvl w:ilvl="4" w:tentative="0">
      <w:start w:val="1"/>
      <w:numFmt w:val="decimal"/>
      <w:lvlText w:val="%1.%2.%3.%4.%5"/>
      <w:lvlJc w:val="left"/>
      <w:pPr>
        <w:ind w:left="900" w:hanging="431"/>
      </w:pPr>
      <w:rPr>
        <w:rFonts w:hint="eastAsia"/>
      </w:rPr>
    </w:lvl>
    <w:lvl w:ilvl="5" w:tentative="0">
      <w:start w:val="1"/>
      <w:numFmt w:val="decimal"/>
      <w:lvlText w:val="%1.%2.%3.%4.%5.%6"/>
      <w:lvlJc w:val="left"/>
      <w:pPr>
        <w:ind w:left="900" w:hanging="431"/>
      </w:pPr>
      <w:rPr>
        <w:rFonts w:hint="eastAsia"/>
      </w:rPr>
    </w:lvl>
    <w:lvl w:ilvl="6" w:tentative="0">
      <w:start w:val="1"/>
      <w:numFmt w:val="decimal"/>
      <w:lvlText w:val="%1.%2.%3.%4.%5.%6.%7"/>
      <w:lvlJc w:val="left"/>
      <w:pPr>
        <w:ind w:left="900" w:hanging="431"/>
      </w:pPr>
      <w:rPr>
        <w:rFonts w:hint="eastAsia"/>
      </w:rPr>
    </w:lvl>
    <w:lvl w:ilvl="7" w:tentative="0">
      <w:start w:val="1"/>
      <w:numFmt w:val="decimal"/>
      <w:lvlText w:val="%1.%2.%3.%4.%5.%6.%7.%8"/>
      <w:lvlJc w:val="left"/>
      <w:pPr>
        <w:ind w:left="900" w:hanging="431"/>
      </w:pPr>
      <w:rPr>
        <w:rFonts w:hint="eastAsia"/>
      </w:rPr>
    </w:lvl>
    <w:lvl w:ilvl="8" w:tentative="0">
      <w:start w:val="1"/>
      <w:numFmt w:val="decimal"/>
      <w:lvlText w:val="%1.%2.%3.%4.%5.%6.%7.%8.%9"/>
      <w:lvlJc w:val="left"/>
      <w:pPr>
        <w:ind w:left="900" w:hanging="431"/>
      </w:pPr>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9C07086"/>
    <w:multiLevelType w:val="singleLevel"/>
    <w:tmpl w:val="59C07086"/>
    <w:lvl w:ilvl="0" w:tentative="0">
      <w:start w:val="1"/>
      <w:numFmt w:val="decimal"/>
      <w:suff w:val="nothing"/>
      <w:lvlText w:val="%1、"/>
      <w:lvlJc w:val="left"/>
    </w:lvl>
  </w:abstractNum>
  <w:abstractNum w:abstractNumId="5">
    <w:nsid w:val="73FF992E"/>
    <w:multiLevelType w:val="singleLevel"/>
    <w:tmpl w:val="73FF992E"/>
    <w:lvl w:ilvl="0" w:tentative="0">
      <w:start w:val="6"/>
      <w:numFmt w:val="chineseCounting"/>
      <w:suff w:val="nothing"/>
      <w:lvlText w:val="（%1）"/>
      <w:lvlJc w:val="left"/>
      <w:rPr>
        <w:rFonts w:hint="eastAsia"/>
      </w:rPr>
    </w:lvl>
  </w:abstractNum>
  <w:abstractNum w:abstractNumId="6">
    <w:nsid w:val="79578A8E"/>
    <w:multiLevelType w:val="singleLevel"/>
    <w:tmpl w:val="79578A8E"/>
    <w:lvl w:ilvl="0" w:tentative="0">
      <w:start w:val="1"/>
      <w:numFmt w:val="decimal"/>
      <w:lvlText w:val="%1"/>
      <w:lvlJc w:val="left"/>
      <w:pPr>
        <w:tabs>
          <w:tab w:val="left" w:pos="0"/>
        </w:tabs>
        <w:ind w:left="210" w:leftChars="0" w:firstLine="0" w:firstLineChars="0"/>
      </w:pPr>
      <w:rPr>
        <w:rFonts w:hint="default"/>
      </w:rPr>
    </w:lvl>
  </w:abstractNum>
  <w:num w:numId="1">
    <w:abstractNumId w:val="2"/>
  </w:num>
  <w:num w:numId="2">
    <w:abstractNumId w:val="3"/>
  </w:num>
  <w:num w:numId="3">
    <w:abstractNumId w:val="6"/>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0MWIwMDQ0MGVhN2E5OTNkNGQ5MWU3YjE2ZjMwNzYifQ=="/>
  </w:docVars>
  <w:rsids>
    <w:rsidRoot w:val="00172A27"/>
    <w:rsid w:val="00000F09"/>
    <w:rsid w:val="0000294D"/>
    <w:rsid w:val="00002D7D"/>
    <w:rsid w:val="0000326C"/>
    <w:rsid w:val="00003C8D"/>
    <w:rsid w:val="0000437A"/>
    <w:rsid w:val="0000460C"/>
    <w:rsid w:val="00005029"/>
    <w:rsid w:val="000055D7"/>
    <w:rsid w:val="00006641"/>
    <w:rsid w:val="0000729B"/>
    <w:rsid w:val="000125A3"/>
    <w:rsid w:val="00012ACB"/>
    <w:rsid w:val="00012CA3"/>
    <w:rsid w:val="000142C6"/>
    <w:rsid w:val="0001514D"/>
    <w:rsid w:val="00015C9E"/>
    <w:rsid w:val="0001645F"/>
    <w:rsid w:val="00016BE5"/>
    <w:rsid w:val="00020274"/>
    <w:rsid w:val="0002234B"/>
    <w:rsid w:val="000223A5"/>
    <w:rsid w:val="00023923"/>
    <w:rsid w:val="00023F34"/>
    <w:rsid w:val="00024D02"/>
    <w:rsid w:val="0002570E"/>
    <w:rsid w:val="00025A2C"/>
    <w:rsid w:val="00026AEC"/>
    <w:rsid w:val="00031E88"/>
    <w:rsid w:val="000320AF"/>
    <w:rsid w:val="00032290"/>
    <w:rsid w:val="00032292"/>
    <w:rsid w:val="000327A6"/>
    <w:rsid w:val="0003456E"/>
    <w:rsid w:val="00034735"/>
    <w:rsid w:val="000349A7"/>
    <w:rsid w:val="000362A8"/>
    <w:rsid w:val="000409B7"/>
    <w:rsid w:val="0004415D"/>
    <w:rsid w:val="0004460A"/>
    <w:rsid w:val="00044A05"/>
    <w:rsid w:val="000453C3"/>
    <w:rsid w:val="000463A1"/>
    <w:rsid w:val="00046614"/>
    <w:rsid w:val="00047128"/>
    <w:rsid w:val="000501BF"/>
    <w:rsid w:val="00050823"/>
    <w:rsid w:val="00050B0E"/>
    <w:rsid w:val="00052CF4"/>
    <w:rsid w:val="000539C2"/>
    <w:rsid w:val="00054D18"/>
    <w:rsid w:val="000575ED"/>
    <w:rsid w:val="000617FB"/>
    <w:rsid w:val="00061D56"/>
    <w:rsid w:val="00064C0D"/>
    <w:rsid w:val="00065910"/>
    <w:rsid w:val="0006631E"/>
    <w:rsid w:val="000719D3"/>
    <w:rsid w:val="000722F3"/>
    <w:rsid w:val="00074E5F"/>
    <w:rsid w:val="00074E70"/>
    <w:rsid w:val="00075A68"/>
    <w:rsid w:val="0007602D"/>
    <w:rsid w:val="00076F76"/>
    <w:rsid w:val="00080C18"/>
    <w:rsid w:val="00081311"/>
    <w:rsid w:val="000824DF"/>
    <w:rsid w:val="00082F05"/>
    <w:rsid w:val="00085077"/>
    <w:rsid w:val="0008513F"/>
    <w:rsid w:val="00085906"/>
    <w:rsid w:val="00086AFC"/>
    <w:rsid w:val="00086CAF"/>
    <w:rsid w:val="00090932"/>
    <w:rsid w:val="00091107"/>
    <w:rsid w:val="00091E28"/>
    <w:rsid w:val="0009379E"/>
    <w:rsid w:val="000952E7"/>
    <w:rsid w:val="000962BB"/>
    <w:rsid w:val="00096D52"/>
    <w:rsid w:val="000A07DD"/>
    <w:rsid w:val="000A23FB"/>
    <w:rsid w:val="000A2983"/>
    <w:rsid w:val="000A3B01"/>
    <w:rsid w:val="000A520D"/>
    <w:rsid w:val="000A7399"/>
    <w:rsid w:val="000A7C22"/>
    <w:rsid w:val="000B121A"/>
    <w:rsid w:val="000B1900"/>
    <w:rsid w:val="000B1A07"/>
    <w:rsid w:val="000B1BAD"/>
    <w:rsid w:val="000B2D2F"/>
    <w:rsid w:val="000B30AC"/>
    <w:rsid w:val="000B4ABA"/>
    <w:rsid w:val="000B514F"/>
    <w:rsid w:val="000B5C56"/>
    <w:rsid w:val="000B701D"/>
    <w:rsid w:val="000B706E"/>
    <w:rsid w:val="000C1D58"/>
    <w:rsid w:val="000C3178"/>
    <w:rsid w:val="000C39F6"/>
    <w:rsid w:val="000C3CC4"/>
    <w:rsid w:val="000C682B"/>
    <w:rsid w:val="000C762E"/>
    <w:rsid w:val="000D06BE"/>
    <w:rsid w:val="000D1259"/>
    <w:rsid w:val="000D3414"/>
    <w:rsid w:val="000D3C33"/>
    <w:rsid w:val="000D4862"/>
    <w:rsid w:val="000D4DB5"/>
    <w:rsid w:val="000D61F1"/>
    <w:rsid w:val="000E09DC"/>
    <w:rsid w:val="000E0B4D"/>
    <w:rsid w:val="000E4206"/>
    <w:rsid w:val="000E430D"/>
    <w:rsid w:val="000E4E09"/>
    <w:rsid w:val="000E5D85"/>
    <w:rsid w:val="000F29AF"/>
    <w:rsid w:val="000F3A22"/>
    <w:rsid w:val="000F4AA2"/>
    <w:rsid w:val="000F5EEE"/>
    <w:rsid w:val="000F6473"/>
    <w:rsid w:val="000F6568"/>
    <w:rsid w:val="0010437E"/>
    <w:rsid w:val="00106EB4"/>
    <w:rsid w:val="00107760"/>
    <w:rsid w:val="00116205"/>
    <w:rsid w:val="00116A6A"/>
    <w:rsid w:val="00117182"/>
    <w:rsid w:val="001172B2"/>
    <w:rsid w:val="00120A2B"/>
    <w:rsid w:val="00120CD5"/>
    <w:rsid w:val="00121BC5"/>
    <w:rsid w:val="00122640"/>
    <w:rsid w:val="00122C1C"/>
    <w:rsid w:val="001263CE"/>
    <w:rsid w:val="00126B09"/>
    <w:rsid w:val="00126C4F"/>
    <w:rsid w:val="00130E24"/>
    <w:rsid w:val="00131A90"/>
    <w:rsid w:val="001326C5"/>
    <w:rsid w:val="001378CC"/>
    <w:rsid w:val="00144B6A"/>
    <w:rsid w:val="0014559B"/>
    <w:rsid w:val="00145D0C"/>
    <w:rsid w:val="001466CF"/>
    <w:rsid w:val="00146EC3"/>
    <w:rsid w:val="00147805"/>
    <w:rsid w:val="00150907"/>
    <w:rsid w:val="00150F25"/>
    <w:rsid w:val="00153F5F"/>
    <w:rsid w:val="00154D03"/>
    <w:rsid w:val="001558C2"/>
    <w:rsid w:val="001563C8"/>
    <w:rsid w:val="0015687B"/>
    <w:rsid w:val="00156AC5"/>
    <w:rsid w:val="001603FE"/>
    <w:rsid w:val="00160F67"/>
    <w:rsid w:val="00162123"/>
    <w:rsid w:val="001630F8"/>
    <w:rsid w:val="00163DDD"/>
    <w:rsid w:val="0016551D"/>
    <w:rsid w:val="00166CCD"/>
    <w:rsid w:val="001713AE"/>
    <w:rsid w:val="001713FA"/>
    <w:rsid w:val="00172B16"/>
    <w:rsid w:val="001730EB"/>
    <w:rsid w:val="001740D6"/>
    <w:rsid w:val="00175722"/>
    <w:rsid w:val="001765E5"/>
    <w:rsid w:val="0017730C"/>
    <w:rsid w:val="00177E10"/>
    <w:rsid w:val="00180DCC"/>
    <w:rsid w:val="001848FA"/>
    <w:rsid w:val="00187589"/>
    <w:rsid w:val="00190515"/>
    <w:rsid w:val="00190B0D"/>
    <w:rsid w:val="00192C3C"/>
    <w:rsid w:val="0019328C"/>
    <w:rsid w:val="00194900"/>
    <w:rsid w:val="00197D3B"/>
    <w:rsid w:val="001A0190"/>
    <w:rsid w:val="001A07C3"/>
    <w:rsid w:val="001A1379"/>
    <w:rsid w:val="001A30D7"/>
    <w:rsid w:val="001A36A4"/>
    <w:rsid w:val="001A6079"/>
    <w:rsid w:val="001A7963"/>
    <w:rsid w:val="001B05CC"/>
    <w:rsid w:val="001B0968"/>
    <w:rsid w:val="001B19CE"/>
    <w:rsid w:val="001B1B7B"/>
    <w:rsid w:val="001B41E1"/>
    <w:rsid w:val="001B4A38"/>
    <w:rsid w:val="001B6C07"/>
    <w:rsid w:val="001B7A82"/>
    <w:rsid w:val="001C0578"/>
    <w:rsid w:val="001C0AD8"/>
    <w:rsid w:val="001C22B4"/>
    <w:rsid w:val="001C341F"/>
    <w:rsid w:val="001C6D3E"/>
    <w:rsid w:val="001C7074"/>
    <w:rsid w:val="001C746A"/>
    <w:rsid w:val="001D08CC"/>
    <w:rsid w:val="001D0E48"/>
    <w:rsid w:val="001D114D"/>
    <w:rsid w:val="001D12E7"/>
    <w:rsid w:val="001D2601"/>
    <w:rsid w:val="001D33D1"/>
    <w:rsid w:val="001E0335"/>
    <w:rsid w:val="001E0707"/>
    <w:rsid w:val="001E167B"/>
    <w:rsid w:val="001E2124"/>
    <w:rsid w:val="001E21ED"/>
    <w:rsid w:val="001E363C"/>
    <w:rsid w:val="001E4BF2"/>
    <w:rsid w:val="001E503A"/>
    <w:rsid w:val="001F1AEC"/>
    <w:rsid w:val="001F1F72"/>
    <w:rsid w:val="001F2723"/>
    <w:rsid w:val="001F3510"/>
    <w:rsid w:val="001F427C"/>
    <w:rsid w:val="001F55CC"/>
    <w:rsid w:val="001F5695"/>
    <w:rsid w:val="001F7C50"/>
    <w:rsid w:val="00200028"/>
    <w:rsid w:val="0020013F"/>
    <w:rsid w:val="00200ADF"/>
    <w:rsid w:val="00201D1A"/>
    <w:rsid w:val="00203146"/>
    <w:rsid w:val="0020432F"/>
    <w:rsid w:val="002054A3"/>
    <w:rsid w:val="00206BC1"/>
    <w:rsid w:val="00207630"/>
    <w:rsid w:val="00210F1A"/>
    <w:rsid w:val="002111D6"/>
    <w:rsid w:val="002119FD"/>
    <w:rsid w:val="00212C10"/>
    <w:rsid w:val="00212F31"/>
    <w:rsid w:val="002146F1"/>
    <w:rsid w:val="002177B6"/>
    <w:rsid w:val="00220A18"/>
    <w:rsid w:val="00220BC7"/>
    <w:rsid w:val="0022178C"/>
    <w:rsid w:val="00222388"/>
    <w:rsid w:val="002259B8"/>
    <w:rsid w:val="00227D47"/>
    <w:rsid w:val="0023061B"/>
    <w:rsid w:val="00230E18"/>
    <w:rsid w:val="00230F89"/>
    <w:rsid w:val="002325AA"/>
    <w:rsid w:val="002364C0"/>
    <w:rsid w:val="0023665A"/>
    <w:rsid w:val="00237EA0"/>
    <w:rsid w:val="00243670"/>
    <w:rsid w:val="0024548A"/>
    <w:rsid w:val="002469EF"/>
    <w:rsid w:val="00247CF0"/>
    <w:rsid w:val="00247F3B"/>
    <w:rsid w:val="00250355"/>
    <w:rsid w:val="00251864"/>
    <w:rsid w:val="00253233"/>
    <w:rsid w:val="0025339F"/>
    <w:rsid w:val="0025786A"/>
    <w:rsid w:val="002603B1"/>
    <w:rsid w:val="00260CE8"/>
    <w:rsid w:val="002627A8"/>
    <w:rsid w:val="0026301F"/>
    <w:rsid w:val="002632F1"/>
    <w:rsid w:val="00264D1E"/>
    <w:rsid w:val="00265126"/>
    <w:rsid w:val="00265951"/>
    <w:rsid w:val="00271DBA"/>
    <w:rsid w:val="00272AB3"/>
    <w:rsid w:val="00274519"/>
    <w:rsid w:val="002751A1"/>
    <w:rsid w:val="00275DEE"/>
    <w:rsid w:val="00276104"/>
    <w:rsid w:val="002773A7"/>
    <w:rsid w:val="00277655"/>
    <w:rsid w:val="00277828"/>
    <w:rsid w:val="002806F7"/>
    <w:rsid w:val="00281418"/>
    <w:rsid w:val="002825E2"/>
    <w:rsid w:val="00283EBA"/>
    <w:rsid w:val="0028455D"/>
    <w:rsid w:val="00284BE3"/>
    <w:rsid w:val="00287AA5"/>
    <w:rsid w:val="002903D5"/>
    <w:rsid w:val="00291416"/>
    <w:rsid w:val="00291770"/>
    <w:rsid w:val="0029276D"/>
    <w:rsid w:val="002942F5"/>
    <w:rsid w:val="00294671"/>
    <w:rsid w:val="00296C77"/>
    <w:rsid w:val="002A0DA3"/>
    <w:rsid w:val="002A1EFF"/>
    <w:rsid w:val="002A3688"/>
    <w:rsid w:val="002A45A6"/>
    <w:rsid w:val="002A66F1"/>
    <w:rsid w:val="002A69B8"/>
    <w:rsid w:val="002A69C0"/>
    <w:rsid w:val="002A7375"/>
    <w:rsid w:val="002B0C2E"/>
    <w:rsid w:val="002B161D"/>
    <w:rsid w:val="002B2F89"/>
    <w:rsid w:val="002B3390"/>
    <w:rsid w:val="002B55AA"/>
    <w:rsid w:val="002B66B4"/>
    <w:rsid w:val="002B6C57"/>
    <w:rsid w:val="002C0A73"/>
    <w:rsid w:val="002C0B03"/>
    <w:rsid w:val="002C0DE4"/>
    <w:rsid w:val="002C1507"/>
    <w:rsid w:val="002C2748"/>
    <w:rsid w:val="002C3C13"/>
    <w:rsid w:val="002C3DD6"/>
    <w:rsid w:val="002C46AE"/>
    <w:rsid w:val="002C4F1F"/>
    <w:rsid w:val="002C57B5"/>
    <w:rsid w:val="002C6211"/>
    <w:rsid w:val="002D190B"/>
    <w:rsid w:val="002D28D3"/>
    <w:rsid w:val="002D463C"/>
    <w:rsid w:val="002D5F11"/>
    <w:rsid w:val="002D7123"/>
    <w:rsid w:val="002D728D"/>
    <w:rsid w:val="002D784B"/>
    <w:rsid w:val="002E1222"/>
    <w:rsid w:val="002E14CC"/>
    <w:rsid w:val="002E185A"/>
    <w:rsid w:val="002E3629"/>
    <w:rsid w:val="002E6A7E"/>
    <w:rsid w:val="002F32C5"/>
    <w:rsid w:val="002F5152"/>
    <w:rsid w:val="00302D5E"/>
    <w:rsid w:val="003056DE"/>
    <w:rsid w:val="00307B6C"/>
    <w:rsid w:val="00307FC8"/>
    <w:rsid w:val="00311658"/>
    <w:rsid w:val="00314457"/>
    <w:rsid w:val="00314AD4"/>
    <w:rsid w:val="003151F1"/>
    <w:rsid w:val="00321511"/>
    <w:rsid w:val="00322022"/>
    <w:rsid w:val="003222A1"/>
    <w:rsid w:val="00324C4F"/>
    <w:rsid w:val="00325ECC"/>
    <w:rsid w:val="003260F5"/>
    <w:rsid w:val="00326677"/>
    <w:rsid w:val="00326697"/>
    <w:rsid w:val="00326BAB"/>
    <w:rsid w:val="00326EA8"/>
    <w:rsid w:val="003276F4"/>
    <w:rsid w:val="0033133D"/>
    <w:rsid w:val="003315C8"/>
    <w:rsid w:val="00332786"/>
    <w:rsid w:val="003327EC"/>
    <w:rsid w:val="00333295"/>
    <w:rsid w:val="00334116"/>
    <w:rsid w:val="003341EE"/>
    <w:rsid w:val="003348F2"/>
    <w:rsid w:val="003367F3"/>
    <w:rsid w:val="00337D66"/>
    <w:rsid w:val="003425E5"/>
    <w:rsid w:val="0034366D"/>
    <w:rsid w:val="00344F2F"/>
    <w:rsid w:val="0034549E"/>
    <w:rsid w:val="00350B3F"/>
    <w:rsid w:val="00350DB7"/>
    <w:rsid w:val="00352F21"/>
    <w:rsid w:val="00354D2E"/>
    <w:rsid w:val="0035638A"/>
    <w:rsid w:val="00360EB7"/>
    <w:rsid w:val="0036351A"/>
    <w:rsid w:val="00363597"/>
    <w:rsid w:val="00363AB9"/>
    <w:rsid w:val="0036483B"/>
    <w:rsid w:val="003654F0"/>
    <w:rsid w:val="003654FA"/>
    <w:rsid w:val="00372F53"/>
    <w:rsid w:val="003738D5"/>
    <w:rsid w:val="00373D79"/>
    <w:rsid w:val="00374F3D"/>
    <w:rsid w:val="00375177"/>
    <w:rsid w:val="00375C15"/>
    <w:rsid w:val="00376418"/>
    <w:rsid w:val="00376523"/>
    <w:rsid w:val="00376E0E"/>
    <w:rsid w:val="0037722E"/>
    <w:rsid w:val="0037774F"/>
    <w:rsid w:val="00380191"/>
    <w:rsid w:val="00380412"/>
    <w:rsid w:val="00381DEE"/>
    <w:rsid w:val="0038332A"/>
    <w:rsid w:val="003856F7"/>
    <w:rsid w:val="00385C1E"/>
    <w:rsid w:val="00387163"/>
    <w:rsid w:val="00387795"/>
    <w:rsid w:val="003900CA"/>
    <w:rsid w:val="003905A7"/>
    <w:rsid w:val="00390669"/>
    <w:rsid w:val="0039101F"/>
    <w:rsid w:val="00391C8D"/>
    <w:rsid w:val="00392398"/>
    <w:rsid w:val="00392C59"/>
    <w:rsid w:val="003957A3"/>
    <w:rsid w:val="00395863"/>
    <w:rsid w:val="00395B82"/>
    <w:rsid w:val="003976FD"/>
    <w:rsid w:val="003A06E0"/>
    <w:rsid w:val="003A0945"/>
    <w:rsid w:val="003A0FDD"/>
    <w:rsid w:val="003A1A54"/>
    <w:rsid w:val="003A1F84"/>
    <w:rsid w:val="003A2082"/>
    <w:rsid w:val="003A2B0C"/>
    <w:rsid w:val="003A4C78"/>
    <w:rsid w:val="003A4CB6"/>
    <w:rsid w:val="003A55DE"/>
    <w:rsid w:val="003A6A91"/>
    <w:rsid w:val="003A766B"/>
    <w:rsid w:val="003A775C"/>
    <w:rsid w:val="003B16FE"/>
    <w:rsid w:val="003B1E7E"/>
    <w:rsid w:val="003B2D70"/>
    <w:rsid w:val="003B2EFE"/>
    <w:rsid w:val="003B383C"/>
    <w:rsid w:val="003B3B47"/>
    <w:rsid w:val="003B4587"/>
    <w:rsid w:val="003B5011"/>
    <w:rsid w:val="003B6770"/>
    <w:rsid w:val="003B7711"/>
    <w:rsid w:val="003C001F"/>
    <w:rsid w:val="003C05DD"/>
    <w:rsid w:val="003C1492"/>
    <w:rsid w:val="003C14A3"/>
    <w:rsid w:val="003C2A88"/>
    <w:rsid w:val="003C2E71"/>
    <w:rsid w:val="003C3D30"/>
    <w:rsid w:val="003C4368"/>
    <w:rsid w:val="003C44EA"/>
    <w:rsid w:val="003C5E4F"/>
    <w:rsid w:val="003C79FF"/>
    <w:rsid w:val="003D019A"/>
    <w:rsid w:val="003D0A88"/>
    <w:rsid w:val="003D6DF3"/>
    <w:rsid w:val="003E099D"/>
    <w:rsid w:val="003E0AA3"/>
    <w:rsid w:val="003E0BFF"/>
    <w:rsid w:val="003E0FFC"/>
    <w:rsid w:val="003E2232"/>
    <w:rsid w:val="003E2F72"/>
    <w:rsid w:val="003E30BC"/>
    <w:rsid w:val="003E4CFE"/>
    <w:rsid w:val="003E4FF1"/>
    <w:rsid w:val="003E5B38"/>
    <w:rsid w:val="003E5D76"/>
    <w:rsid w:val="003E5F7E"/>
    <w:rsid w:val="003E73BA"/>
    <w:rsid w:val="003E7C71"/>
    <w:rsid w:val="003E7F02"/>
    <w:rsid w:val="003F1A12"/>
    <w:rsid w:val="003F2E5D"/>
    <w:rsid w:val="003F32C5"/>
    <w:rsid w:val="003F4B0F"/>
    <w:rsid w:val="003F5777"/>
    <w:rsid w:val="003F6751"/>
    <w:rsid w:val="003F7339"/>
    <w:rsid w:val="003F79C0"/>
    <w:rsid w:val="003F7E34"/>
    <w:rsid w:val="003F7EAA"/>
    <w:rsid w:val="00400013"/>
    <w:rsid w:val="00401051"/>
    <w:rsid w:val="00404228"/>
    <w:rsid w:val="00404774"/>
    <w:rsid w:val="004050F5"/>
    <w:rsid w:val="004055ED"/>
    <w:rsid w:val="0040674A"/>
    <w:rsid w:val="0040747F"/>
    <w:rsid w:val="00407DBB"/>
    <w:rsid w:val="00410D4A"/>
    <w:rsid w:val="0041117A"/>
    <w:rsid w:val="00411DAD"/>
    <w:rsid w:val="00411EF4"/>
    <w:rsid w:val="00413E76"/>
    <w:rsid w:val="00413F95"/>
    <w:rsid w:val="0041420E"/>
    <w:rsid w:val="00415C2F"/>
    <w:rsid w:val="004167AA"/>
    <w:rsid w:val="00416B83"/>
    <w:rsid w:val="004171A4"/>
    <w:rsid w:val="00422325"/>
    <w:rsid w:val="00422333"/>
    <w:rsid w:val="0042273F"/>
    <w:rsid w:val="00424992"/>
    <w:rsid w:val="00425A2E"/>
    <w:rsid w:val="00425F66"/>
    <w:rsid w:val="00426030"/>
    <w:rsid w:val="00426CD2"/>
    <w:rsid w:val="00426D43"/>
    <w:rsid w:val="00427624"/>
    <w:rsid w:val="00427EE7"/>
    <w:rsid w:val="00430DED"/>
    <w:rsid w:val="0043192D"/>
    <w:rsid w:val="0043459F"/>
    <w:rsid w:val="00440A0E"/>
    <w:rsid w:val="00441A20"/>
    <w:rsid w:val="00441B5F"/>
    <w:rsid w:val="00442294"/>
    <w:rsid w:val="004438F8"/>
    <w:rsid w:val="00444839"/>
    <w:rsid w:val="004453C9"/>
    <w:rsid w:val="004457D2"/>
    <w:rsid w:val="004501D2"/>
    <w:rsid w:val="00450940"/>
    <w:rsid w:val="004517BB"/>
    <w:rsid w:val="0045294C"/>
    <w:rsid w:val="00453C8E"/>
    <w:rsid w:val="00454A40"/>
    <w:rsid w:val="00454A96"/>
    <w:rsid w:val="00455A65"/>
    <w:rsid w:val="004602FB"/>
    <w:rsid w:val="004611A3"/>
    <w:rsid w:val="004617E5"/>
    <w:rsid w:val="00462E61"/>
    <w:rsid w:val="0046385C"/>
    <w:rsid w:val="00463AFC"/>
    <w:rsid w:val="00466BDC"/>
    <w:rsid w:val="004676ED"/>
    <w:rsid w:val="00467C19"/>
    <w:rsid w:val="00470F2A"/>
    <w:rsid w:val="004715AE"/>
    <w:rsid w:val="00471E1B"/>
    <w:rsid w:val="004730DC"/>
    <w:rsid w:val="0047423F"/>
    <w:rsid w:val="00480011"/>
    <w:rsid w:val="00480780"/>
    <w:rsid w:val="00480DBF"/>
    <w:rsid w:val="00481C97"/>
    <w:rsid w:val="00482B73"/>
    <w:rsid w:val="004833FA"/>
    <w:rsid w:val="004836B1"/>
    <w:rsid w:val="00484B23"/>
    <w:rsid w:val="00485CB0"/>
    <w:rsid w:val="004871BC"/>
    <w:rsid w:val="004871EF"/>
    <w:rsid w:val="004879C5"/>
    <w:rsid w:val="00487B21"/>
    <w:rsid w:val="0049434E"/>
    <w:rsid w:val="00494987"/>
    <w:rsid w:val="00494C5B"/>
    <w:rsid w:val="00494EA8"/>
    <w:rsid w:val="00494F00"/>
    <w:rsid w:val="004952AB"/>
    <w:rsid w:val="00497AA7"/>
    <w:rsid w:val="004A114D"/>
    <w:rsid w:val="004A32F7"/>
    <w:rsid w:val="004A5558"/>
    <w:rsid w:val="004A5C33"/>
    <w:rsid w:val="004A7AF8"/>
    <w:rsid w:val="004B045A"/>
    <w:rsid w:val="004B3732"/>
    <w:rsid w:val="004B412D"/>
    <w:rsid w:val="004B4BAA"/>
    <w:rsid w:val="004B4EDC"/>
    <w:rsid w:val="004B5710"/>
    <w:rsid w:val="004B7800"/>
    <w:rsid w:val="004C0FDF"/>
    <w:rsid w:val="004C0FF6"/>
    <w:rsid w:val="004C2AEB"/>
    <w:rsid w:val="004C380B"/>
    <w:rsid w:val="004C59AE"/>
    <w:rsid w:val="004C7331"/>
    <w:rsid w:val="004D0A95"/>
    <w:rsid w:val="004D37AB"/>
    <w:rsid w:val="004E21B7"/>
    <w:rsid w:val="004E2457"/>
    <w:rsid w:val="004E2CFF"/>
    <w:rsid w:val="004E3B52"/>
    <w:rsid w:val="004E5FB3"/>
    <w:rsid w:val="004E628E"/>
    <w:rsid w:val="004E66F6"/>
    <w:rsid w:val="004E7CFD"/>
    <w:rsid w:val="004F09B9"/>
    <w:rsid w:val="004F0B40"/>
    <w:rsid w:val="004F5A2D"/>
    <w:rsid w:val="004F5B49"/>
    <w:rsid w:val="004F6213"/>
    <w:rsid w:val="0050046B"/>
    <w:rsid w:val="00500A50"/>
    <w:rsid w:val="005024C8"/>
    <w:rsid w:val="005051B9"/>
    <w:rsid w:val="005056F0"/>
    <w:rsid w:val="00506D94"/>
    <w:rsid w:val="00507292"/>
    <w:rsid w:val="0051005A"/>
    <w:rsid w:val="005111E9"/>
    <w:rsid w:val="0051586B"/>
    <w:rsid w:val="00517436"/>
    <w:rsid w:val="0051761F"/>
    <w:rsid w:val="00517669"/>
    <w:rsid w:val="00520F1B"/>
    <w:rsid w:val="00522607"/>
    <w:rsid w:val="00523CA6"/>
    <w:rsid w:val="005242B1"/>
    <w:rsid w:val="005255CC"/>
    <w:rsid w:val="00525B56"/>
    <w:rsid w:val="00525CEB"/>
    <w:rsid w:val="00526541"/>
    <w:rsid w:val="00526CF7"/>
    <w:rsid w:val="00527E88"/>
    <w:rsid w:val="00530277"/>
    <w:rsid w:val="00532FEC"/>
    <w:rsid w:val="00533400"/>
    <w:rsid w:val="005335DA"/>
    <w:rsid w:val="00533DC1"/>
    <w:rsid w:val="005369E8"/>
    <w:rsid w:val="0054108A"/>
    <w:rsid w:val="00542F2C"/>
    <w:rsid w:val="00543D41"/>
    <w:rsid w:val="00544557"/>
    <w:rsid w:val="00544A01"/>
    <w:rsid w:val="0054533F"/>
    <w:rsid w:val="00546FDB"/>
    <w:rsid w:val="0054715F"/>
    <w:rsid w:val="0054745A"/>
    <w:rsid w:val="00547557"/>
    <w:rsid w:val="0054783F"/>
    <w:rsid w:val="0055217C"/>
    <w:rsid w:val="00552848"/>
    <w:rsid w:val="00553AA7"/>
    <w:rsid w:val="0055497C"/>
    <w:rsid w:val="00554C7D"/>
    <w:rsid w:val="00554CB3"/>
    <w:rsid w:val="005555B7"/>
    <w:rsid w:val="005560A3"/>
    <w:rsid w:val="005565ED"/>
    <w:rsid w:val="00557F4D"/>
    <w:rsid w:val="0056019E"/>
    <w:rsid w:val="005623E0"/>
    <w:rsid w:val="00562786"/>
    <w:rsid w:val="005627D6"/>
    <w:rsid w:val="00562B68"/>
    <w:rsid w:val="00563194"/>
    <w:rsid w:val="00565A4C"/>
    <w:rsid w:val="00566314"/>
    <w:rsid w:val="00567D7A"/>
    <w:rsid w:val="005706EC"/>
    <w:rsid w:val="00570883"/>
    <w:rsid w:val="00571AE8"/>
    <w:rsid w:val="00571BEE"/>
    <w:rsid w:val="00572858"/>
    <w:rsid w:val="00572E7C"/>
    <w:rsid w:val="005748E5"/>
    <w:rsid w:val="00576162"/>
    <w:rsid w:val="005762A0"/>
    <w:rsid w:val="0058146E"/>
    <w:rsid w:val="0058780D"/>
    <w:rsid w:val="005920C7"/>
    <w:rsid w:val="00592712"/>
    <w:rsid w:val="00594D66"/>
    <w:rsid w:val="00597E92"/>
    <w:rsid w:val="005A01E6"/>
    <w:rsid w:val="005A126C"/>
    <w:rsid w:val="005A144F"/>
    <w:rsid w:val="005A1AD3"/>
    <w:rsid w:val="005A206B"/>
    <w:rsid w:val="005A3109"/>
    <w:rsid w:val="005A3FBB"/>
    <w:rsid w:val="005A4EF9"/>
    <w:rsid w:val="005A6A02"/>
    <w:rsid w:val="005B07D2"/>
    <w:rsid w:val="005B260D"/>
    <w:rsid w:val="005B34FD"/>
    <w:rsid w:val="005B414E"/>
    <w:rsid w:val="005B47AE"/>
    <w:rsid w:val="005B6083"/>
    <w:rsid w:val="005C0BF3"/>
    <w:rsid w:val="005C140F"/>
    <w:rsid w:val="005C1D36"/>
    <w:rsid w:val="005C1E3D"/>
    <w:rsid w:val="005C2170"/>
    <w:rsid w:val="005C29C9"/>
    <w:rsid w:val="005C3DA6"/>
    <w:rsid w:val="005C55E5"/>
    <w:rsid w:val="005C6E9B"/>
    <w:rsid w:val="005D074C"/>
    <w:rsid w:val="005D132A"/>
    <w:rsid w:val="005D1AEF"/>
    <w:rsid w:val="005D63C2"/>
    <w:rsid w:val="005D7AA0"/>
    <w:rsid w:val="005E0646"/>
    <w:rsid w:val="005E1A9E"/>
    <w:rsid w:val="005E3382"/>
    <w:rsid w:val="005E3DC5"/>
    <w:rsid w:val="005E415A"/>
    <w:rsid w:val="005E428F"/>
    <w:rsid w:val="005E42C4"/>
    <w:rsid w:val="005E4E6A"/>
    <w:rsid w:val="005E509C"/>
    <w:rsid w:val="005E6988"/>
    <w:rsid w:val="005E72AA"/>
    <w:rsid w:val="005E7981"/>
    <w:rsid w:val="005E7B8B"/>
    <w:rsid w:val="005F0781"/>
    <w:rsid w:val="005F1E9D"/>
    <w:rsid w:val="005F410A"/>
    <w:rsid w:val="005F466B"/>
    <w:rsid w:val="005F5FD9"/>
    <w:rsid w:val="005F773B"/>
    <w:rsid w:val="00600B1F"/>
    <w:rsid w:val="006015C0"/>
    <w:rsid w:val="006021D3"/>
    <w:rsid w:val="006023C8"/>
    <w:rsid w:val="00602E14"/>
    <w:rsid w:val="00603303"/>
    <w:rsid w:val="0060511E"/>
    <w:rsid w:val="006057A5"/>
    <w:rsid w:val="006115CB"/>
    <w:rsid w:val="00612A0D"/>
    <w:rsid w:val="00612F92"/>
    <w:rsid w:val="00614AA2"/>
    <w:rsid w:val="00617E58"/>
    <w:rsid w:val="00621569"/>
    <w:rsid w:val="00621769"/>
    <w:rsid w:val="00622A3C"/>
    <w:rsid w:val="0062308A"/>
    <w:rsid w:val="00623249"/>
    <w:rsid w:val="0062351D"/>
    <w:rsid w:val="00624214"/>
    <w:rsid w:val="00624422"/>
    <w:rsid w:val="00624F83"/>
    <w:rsid w:val="006270A3"/>
    <w:rsid w:val="00627979"/>
    <w:rsid w:val="006279BF"/>
    <w:rsid w:val="00627CA3"/>
    <w:rsid w:val="006309C9"/>
    <w:rsid w:val="00630C79"/>
    <w:rsid w:val="00632FD0"/>
    <w:rsid w:val="00633BB4"/>
    <w:rsid w:val="00634399"/>
    <w:rsid w:val="006347EF"/>
    <w:rsid w:val="00636867"/>
    <w:rsid w:val="006405BD"/>
    <w:rsid w:val="00641292"/>
    <w:rsid w:val="006418C4"/>
    <w:rsid w:val="0064330E"/>
    <w:rsid w:val="006450D4"/>
    <w:rsid w:val="00645898"/>
    <w:rsid w:val="0064617C"/>
    <w:rsid w:val="0064635C"/>
    <w:rsid w:val="0064695A"/>
    <w:rsid w:val="00651054"/>
    <w:rsid w:val="00651A05"/>
    <w:rsid w:val="006530E7"/>
    <w:rsid w:val="00655E2B"/>
    <w:rsid w:val="006560DB"/>
    <w:rsid w:val="00656B22"/>
    <w:rsid w:val="006571BD"/>
    <w:rsid w:val="00660E8F"/>
    <w:rsid w:val="00662161"/>
    <w:rsid w:val="006623AD"/>
    <w:rsid w:val="006627C2"/>
    <w:rsid w:val="00664350"/>
    <w:rsid w:val="0066520F"/>
    <w:rsid w:val="00665326"/>
    <w:rsid w:val="00666063"/>
    <w:rsid w:val="00667533"/>
    <w:rsid w:val="00667FE0"/>
    <w:rsid w:val="00670F4D"/>
    <w:rsid w:val="00671095"/>
    <w:rsid w:val="0067279D"/>
    <w:rsid w:val="006739F8"/>
    <w:rsid w:val="0067592A"/>
    <w:rsid w:val="00675A37"/>
    <w:rsid w:val="00675A39"/>
    <w:rsid w:val="00676A57"/>
    <w:rsid w:val="006778DA"/>
    <w:rsid w:val="006818D5"/>
    <w:rsid w:val="006820CE"/>
    <w:rsid w:val="00682C04"/>
    <w:rsid w:val="00683F49"/>
    <w:rsid w:val="00684596"/>
    <w:rsid w:val="00684730"/>
    <w:rsid w:val="006849FC"/>
    <w:rsid w:val="00684E05"/>
    <w:rsid w:val="00685289"/>
    <w:rsid w:val="00685975"/>
    <w:rsid w:val="006859D5"/>
    <w:rsid w:val="00686287"/>
    <w:rsid w:val="006906DE"/>
    <w:rsid w:val="00690C28"/>
    <w:rsid w:val="00691D5C"/>
    <w:rsid w:val="00692C3A"/>
    <w:rsid w:val="00693515"/>
    <w:rsid w:val="0069510C"/>
    <w:rsid w:val="00695CE3"/>
    <w:rsid w:val="006966C3"/>
    <w:rsid w:val="006979CB"/>
    <w:rsid w:val="006A1AE5"/>
    <w:rsid w:val="006A451C"/>
    <w:rsid w:val="006A6750"/>
    <w:rsid w:val="006A77A5"/>
    <w:rsid w:val="006B001B"/>
    <w:rsid w:val="006B105E"/>
    <w:rsid w:val="006B15CF"/>
    <w:rsid w:val="006B27EE"/>
    <w:rsid w:val="006B2F50"/>
    <w:rsid w:val="006B4B16"/>
    <w:rsid w:val="006B4B1F"/>
    <w:rsid w:val="006B58CC"/>
    <w:rsid w:val="006B5BF4"/>
    <w:rsid w:val="006B6A62"/>
    <w:rsid w:val="006C07A5"/>
    <w:rsid w:val="006C36D5"/>
    <w:rsid w:val="006C3964"/>
    <w:rsid w:val="006C3E72"/>
    <w:rsid w:val="006C598B"/>
    <w:rsid w:val="006C5BE9"/>
    <w:rsid w:val="006C71EC"/>
    <w:rsid w:val="006D12E1"/>
    <w:rsid w:val="006D18C8"/>
    <w:rsid w:val="006D28B5"/>
    <w:rsid w:val="006D4564"/>
    <w:rsid w:val="006D47AB"/>
    <w:rsid w:val="006D48B7"/>
    <w:rsid w:val="006D55BF"/>
    <w:rsid w:val="006D61B3"/>
    <w:rsid w:val="006E0636"/>
    <w:rsid w:val="006E06ED"/>
    <w:rsid w:val="006E0DD9"/>
    <w:rsid w:val="006E509D"/>
    <w:rsid w:val="006E51D7"/>
    <w:rsid w:val="006E5233"/>
    <w:rsid w:val="006E5633"/>
    <w:rsid w:val="006E5BA6"/>
    <w:rsid w:val="006E5E4A"/>
    <w:rsid w:val="006E6C70"/>
    <w:rsid w:val="006E7611"/>
    <w:rsid w:val="006E78D9"/>
    <w:rsid w:val="006F36E4"/>
    <w:rsid w:val="006F3752"/>
    <w:rsid w:val="006F4626"/>
    <w:rsid w:val="006F5BFE"/>
    <w:rsid w:val="006F6239"/>
    <w:rsid w:val="006F6589"/>
    <w:rsid w:val="006F70A9"/>
    <w:rsid w:val="007002C3"/>
    <w:rsid w:val="007010A3"/>
    <w:rsid w:val="00702450"/>
    <w:rsid w:val="0070268D"/>
    <w:rsid w:val="00702AEF"/>
    <w:rsid w:val="007039FA"/>
    <w:rsid w:val="00703A39"/>
    <w:rsid w:val="00704301"/>
    <w:rsid w:val="0070633E"/>
    <w:rsid w:val="0070693C"/>
    <w:rsid w:val="007070B3"/>
    <w:rsid w:val="00707801"/>
    <w:rsid w:val="0071303D"/>
    <w:rsid w:val="007138A3"/>
    <w:rsid w:val="00713C61"/>
    <w:rsid w:val="0071507D"/>
    <w:rsid w:val="0071682A"/>
    <w:rsid w:val="00716994"/>
    <w:rsid w:val="007172C4"/>
    <w:rsid w:val="0071769F"/>
    <w:rsid w:val="007176A2"/>
    <w:rsid w:val="00717E64"/>
    <w:rsid w:val="00720DB9"/>
    <w:rsid w:val="007214BE"/>
    <w:rsid w:val="00721878"/>
    <w:rsid w:val="00721E8D"/>
    <w:rsid w:val="00724893"/>
    <w:rsid w:val="007259B0"/>
    <w:rsid w:val="00730573"/>
    <w:rsid w:val="00732349"/>
    <w:rsid w:val="00733AA7"/>
    <w:rsid w:val="00735E12"/>
    <w:rsid w:val="00736F24"/>
    <w:rsid w:val="00737C12"/>
    <w:rsid w:val="007411CE"/>
    <w:rsid w:val="00744375"/>
    <w:rsid w:val="00745812"/>
    <w:rsid w:val="0075124E"/>
    <w:rsid w:val="00751ADF"/>
    <w:rsid w:val="00751F25"/>
    <w:rsid w:val="00752C25"/>
    <w:rsid w:val="00752DC2"/>
    <w:rsid w:val="0075400E"/>
    <w:rsid w:val="0075529F"/>
    <w:rsid w:val="0075784D"/>
    <w:rsid w:val="0076718A"/>
    <w:rsid w:val="007726E1"/>
    <w:rsid w:val="00773E5C"/>
    <w:rsid w:val="00775515"/>
    <w:rsid w:val="00776152"/>
    <w:rsid w:val="00777020"/>
    <w:rsid w:val="00777F6E"/>
    <w:rsid w:val="00777FB2"/>
    <w:rsid w:val="00780E81"/>
    <w:rsid w:val="0078103F"/>
    <w:rsid w:val="007813E5"/>
    <w:rsid w:val="00781E98"/>
    <w:rsid w:val="00782533"/>
    <w:rsid w:val="00782638"/>
    <w:rsid w:val="00783F4C"/>
    <w:rsid w:val="00785642"/>
    <w:rsid w:val="007870DB"/>
    <w:rsid w:val="00790711"/>
    <w:rsid w:val="00790C05"/>
    <w:rsid w:val="00790CC5"/>
    <w:rsid w:val="00791310"/>
    <w:rsid w:val="00793768"/>
    <w:rsid w:val="0079420E"/>
    <w:rsid w:val="00796DF2"/>
    <w:rsid w:val="007A0CE5"/>
    <w:rsid w:val="007A296F"/>
    <w:rsid w:val="007A3744"/>
    <w:rsid w:val="007A38BD"/>
    <w:rsid w:val="007A46AB"/>
    <w:rsid w:val="007A53BD"/>
    <w:rsid w:val="007A5A09"/>
    <w:rsid w:val="007A6DE0"/>
    <w:rsid w:val="007A71DA"/>
    <w:rsid w:val="007B1316"/>
    <w:rsid w:val="007B20DF"/>
    <w:rsid w:val="007B2599"/>
    <w:rsid w:val="007B3E2F"/>
    <w:rsid w:val="007B4815"/>
    <w:rsid w:val="007B55C4"/>
    <w:rsid w:val="007B6AB5"/>
    <w:rsid w:val="007C1243"/>
    <w:rsid w:val="007C192A"/>
    <w:rsid w:val="007C19A5"/>
    <w:rsid w:val="007C2100"/>
    <w:rsid w:val="007C27AF"/>
    <w:rsid w:val="007C36F2"/>
    <w:rsid w:val="007C588E"/>
    <w:rsid w:val="007C6F6A"/>
    <w:rsid w:val="007D2047"/>
    <w:rsid w:val="007D4AFC"/>
    <w:rsid w:val="007D6997"/>
    <w:rsid w:val="007D69BB"/>
    <w:rsid w:val="007E0F8F"/>
    <w:rsid w:val="007E1FA2"/>
    <w:rsid w:val="007E2E1D"/>
    <w:rsid w:val="007E4CFB"/>
    <w:rsid w:val="007E5AF9"/>
    <w:rsid w:val="007E5DDC"/>
    <w:rsid w:val="007E6444"/>
    <w:rsid w:val="007E72CC"/>
    <w:rsid w:val="007E7411"/>
    <w:rsid w:val="007E7CE7"/>
    <w:rsid w:val="007F1D6C"/>
    <w:rsid w:val="007F1E58"/>
    <w:rsid w:val="007F3401"/>
    <w:rsid w:val="007F4B79"/>
    <w:rsid w:val="007F764A"/>
    <w:rsid w:val="00800545"/>
    <w:rsid w:val="00800F5F"/>
    <w:rsid w:val="00801841"/>
    <w:rsid w:val="0080204A"/>
    <w:rsid w:val="00803D1B"/>
    <w:rsid w:val="00804FCE"/>
    <w:rsid w:val="00806A68"/>
    <w:rsid w:val="00806E90"/>
    <w:rsid w:val="00810142"/>
    <w:rsid w:val="0081037C"/>
    <w:rsid w:val="0081056C"/>
    <w:rsid w:val="00812AE9"/>
    <w:rsid w:val="00814154"/>
    <w:rsid w:val="00814AAC"/>
    <w:rsid w:val="008170F6"/>
    <w:rsid w:val="008200E8"/>
    <w:rsid w:val="00820D7F"/>
    <w:rsid w:val="00821CB2"/>
    <w:rsid w:val="00822E6F"/>
    <w:rsid w:val="008261A5"/>
    <w:rsid w:val="0083377D"/>
    <w:rsid w:val="00834961"/>
    <w:rsid w:val="00834E62"/>
    <w:rsid w:val="00835F76"/>
    <w:rsid w:val="00840DCC"/>
    <w:rsid w:val="00840F02"/>
    <w:rsid w:val="0084136A"/>
    <w:rsid w:val="00842F7C"/>
    <w:rsid w:val="00847F70"/>
    <w:rsid w:val="00853441"/>
    <w:rsid w:val="00853E9C"/>
    <w:rsid w:val="00855685"/>
    <w:rsid w:val="008558D0"/>
    <w:rsid w:val="00855BEB"/>
    <w:rsid w:val="008634B6"/>
    <w:rsid w:val="008656CD"/>
    <w:rsid w:val="00865A66"/>
    <w:rsid w:val="0086711D"/>
    <w:rsid w:val="00867A60"/>
    <w:rsid w:val="008716DA"/>
    <w:rsid w:val="00871E32"/>
    <w:rsid w:val="00873657"/>
    <w:rsid w:val="00874079"/>
    <w:rsid w:val="00875951"/>
    <w:rsid w:val="00876CD3"/>
    <w:rsid w:val="00877215"/>
    <w:rsid w:val="008777B1"/>
    <w:rsid w:val="008838AE"/>
    <w:rsid w:val="00883952"/>
    <w:rsid w:val="008848BB"/>
    <w:rsid w:val="008849AA"/>
    <w:rsid w:val="0088596B"/>
    <w:rsid w:val="00886160"/>
    <w:rsid w:val="00890456"/>
    <w:rsid w:val="00890537"/>
    <w:rsid w:val="00890D2A"/>
    <w:rsid w:val="00892901"/>
    <w:rsid w:val="00892ACB"/>
    <w:rsid w:val="00892BE2"/>
    <w:rsid w:val="00893447"/>
    <w:rsid w:val="0089459C"/>
    <w:rsid w:val="00894FEA"/>
    <w:rsid w:val="0089596C"/>
    <w:rsid w:val="00895FF1"/>
    <w:rsid w:val="00896311"/>
    <w:rsid w:val="008A44A1"/>
    <w:rsid w:val="008A5BA4"/>
    <w:rsid w:val="008A6A7F"/>
    <w:rsid w:val="008A743E"/>
    <w:rsid w:val="008A78F2"/>
    <w:rsid w:val="008B4CF9"/>
    <w:rsid w:val="008B556A"/>
    <w:rsid w:val="008B5C97"/>
    <w:rsid w:val="008B607C"/>
    <w:rsid w:val="008B65A5"/>
    <w:rsid w:val="008B6A63"/>
    <w:rsid w:val="008B6EED"/>
    <w:rsid w:val="008B7A91"/>
    <w:rsid w:val="008C008F"/>
    <w:rsid w:val="008C00FE"/>
    <w:rsid w:val="008C063D"/>
    <w:rsid w:val="008C07ED"/>
    <w:rsid w:val="008C1BD6"/>
    <w:rsid w:val="008C51B7"/>
    <w:rsid w:val="008C5A14"/>
    <w:rsid w:val="008C5B88"/>
    <w:rsid w:val="008C721C"/>
    <w:rsid w:val="008D0D91"/>
    <w:rsid w:val="008D2857"/>
    <w:rsid w:val="008D337C"/>
    <w:rsid w:val="008D3916"/>
    <w:rsid w:val="008D41A5"/>
    <w:rsid w:val="008D4BFE"/>
    <w:rsid w:val="008D59FA"/>
    <w:rsid w:val="008D63D9"/>
    <w:rsid w:val="008D6801"/>
    <w:rsid w:val="008D6979"/>
    <w:rsid w:val="008D7AB0"/>
    <w:rsid w:val="008D7BE7"/>
    <w:rsid w:val="008E0505"/>
    <w:rsid w:val="008E1599"/>
    <w:rsid w:val="008E196B"/>
    <w:rsid w:val="008E1A41"/>
    <w:rsid w:val="008E1B01"/>
    <w:rsid w:val="008E3643"/>
    <w:rsid w:val="008F2BB9"/>
    <w:rsid w:val="008F584E"/>
    <w:rsid w:val="009010FD"/>
    <w:rsid w:val="00901E9E"/>
    <w:rsid w:val="00902E34"/>
    <w:rsid w:val="00902F1A"/>
    <w:rsid w:val="00905228"/>
    <w:rsid w:val="009059E6"/>
    <w:rsid w:val="00906646"/>
    <w:rsid w:val="00906ED0"/>
    <w:rsid w:val="0090760F"/>
    <w:rsid w:val="0091090E"/>
    <w:rsid w:val="009116F4"/>
    <w:rsid w:val="009123D8"/>
    <w:rsid w:val="00912692"/>
    <w:rsid w:val="0091358D"/>
    <w:rsid w:val="00917823"/>
    <w:rsid w:val="00917C4C"/>
    <w:rsid w:val="00917C56"/>
    <w:rsid w:val="009208BF"/>
    <w:rsid w:val="00921376"/>
    <w:rsid w:val="009223C6"/>
    <w:rsid w:val="009240A9"/>
    <w:rsid w:val="009252BC"/>
    <w:rsid w:val="009266E6"/>
    <w:rsid w:val="009268E8"/>
    <w:rsid w:val="00926BB1"/>
    <w:rsid w:val="00931A73"/>
    <w:rsid w:val="00934C9E"/>
    <w:rsid w:val="00940EB0"/>
    <w:rsid w:val="00941475"/>
    <w:rsid w:val="00943D17"/>
    <w:rsid w:val="0094682D"/>
    <w:rsid w:val="009469B5"/>
    <w:rsid w:val="00946A14"/>
    <w:rsid w:val="009505A9"/>
    <w:rsid w:val="00950943"/>
    <w:rsid w:val="009513C0"/>
    <w:rsid w:val="00951AE5"/>
    <w:rsid w:val="009543DE"/>
    <w:rsid w:val="00955A60"/>
    <w:rsid w:val="009565DD"/>
    <w:rsid w:val="00956D06"/>
    <w:rsid w:val="009570E4"/>
    <w:rsid w:val="009571FA"/>
    <w:rsid w:val="009602E2"/>
    <w:rsid w:val="0096144B"/>
    <w:rsid w:val="00962258"/>
    <w:rsid w:val="0096502C"/>
    <w:rsid w:val="00965048"/>
    <w:rsid w:val="0097000F"/>
    <w:rsid w:val="00970F4C"/>
    <w:rsid w:val="0097136F"/>
    <w:rsid w:val="00971E3C"/>
    <w:rsid w:val="00971E7E"/>
    <w:rsid w:val="00972392"/>
    <w:rsid w:val="009727FC"/>
    <w:rsid w:val="009737D3"/>
    <w:rsid w:val="00973837"/>
    <w:rsid w:val="009739FE"/>
    <w:rsid w:val="00975AC6"/>
    <w:rsid w:val="00982F96"/>
    <w:rsid w:val="00983E52"/>
    <w:rsid w:val="009844ED"/>
    <w:rsid w:val="009846BB"/>
    <w:rsid w:val="0098492A"/>
    <w:rsid w:val="0098557D"/>
    <w:rsid w:val="00987AF6"/>
    <w:rsid w:val="00990A80"/>
    <w:rsid w:val="00991A38"/>
    <w:rsid w:val="0099306C"/>
    <w:rsid w:val="0099321A"/>
    <w:rsid w:val="00994FBB"/>
    <w:rsid w:val="009951D7"/>
    <w:rsid w:val="00997C13"/>
    <w:rsid w:val="009A112E"/>
    <w:rsid w:val="009A31D1"/>
    <w:rsid w:val="009A4A42"/>
    <w:rsid w:val="009A4E04"/>
    <w:rsid w:val="009A5969"/>
    <w:rsid w:val="009A6B2C"/>
    <w:rsid w:val="009A7492"/>
    <w:rsid w:val="009B1365"/>
    <w:rsid w:val="009B1B1C"/>
    <w:rsid w:val="009B1C54"/>
    <w:rsid w:val="009B2A96"/>
    <w:rsid w:val="009B36BD"/>
    <w:rsid w:val="009B3F8E"/>
    <w:rsid w:val="009B4F6F"/>
    <w:rsid w:val="009B5BA3"/>
    <w:rsid w:val="009B6264"/>
    <w:rsid w:val="009B642B"/>
    <w:rsid w:val="009B69B9"/>
    <w:rsid w:val="009B6DA5"/>
    <w:rsid w:val="009C0500"/>
    <w:rsid w:val="009C1147"/>
    <w:rsid w:val="009C1796"/>
    <w:rsid w:val="009C2055"/>
    <w:rsid w:val="009C38BD"/>
    <w:rsid w:val="009C3DBF"/>
    <w:rsid w:val="009C51AE"/>
    <w:rsid w:val="009C6675"/>
    <w:rsid w:val="009C679D"/>
    <w:rsid w:val="009D125E"/>
    <w:rsid w:val="009D1418"/>
    <w:rsid w:val="009D145F"/>
    <w:rsid w:val="009D1E6A"/>
    <w:rsid w:val="009D1ED2"/>
    <w:rsid w:val="009D33E3"/>
    <w:rsid w:val="009D5FB8"/>
    <w:rsid w:val="009D76F4"/>
    <w:rsid w:val="009E006F"/>
    <w:rsid w:val="009E04BA"/>
    <w:rsid w:val="009E0C41"/>
    <w:rsid w:val="009E1758"/>
    <w:rsid w:val="009E1A06"/>
    <w:rsid w:val="009E1F69"/>
    <w:rsid w:val="009E5C17"/>
    <w:rsid w:val="009E6B9C"/>
    <w:rsid w:val="009E70CE"/>
    <w:rsid w:val="009F00C2"/>
    <w:rsid w:val="009F0523"/>
    <w:rsid w:val="009F079A"/>
    <w:rsid w:val="009F0B8C"/>
    <w:rsid w:val="009F2366"/>
    <w:rsid w:val="009F2A72"/>
    <w:rsid w:val="009F2CEF"/>
    <w:rsid w:val="009F584F"/>
    <w:rsid w:val="009F64FD"/>
    <w:rsid w:val="009F7072"/>
    <w:rsid w:val="00A0195C"/>
    <w:rsid w:val="00A01BCE"/>
    <w:rsid w:val="00A02B3F"/>
    <w:rsid w:val="00A03E64"/>
    <w:rsid w:val="00A04863"/>
    <w:rsid w:val="00A04DE7"/>
    <w:rsid w:val="00A052A2"/>
    <w:rsid w:val="00A0538D"/>
    <w:rsid w:val="00A06C65"/>
    <w:rsid w:val="00A075E6"/>
    <w:rsid w:val="00A077F0"/>
    <w:rsid w:val="00A105C0"/>
    <w:rsid w:val="00A10643"/>
    <w:rsid w:val="00A1115F"/>
    <w:rsid w:val="00A1148F"/>
    <w:rsid w:val="00A11C23"/>
    <w:rsid w:val="00A12798"/>
    <w:rsid w:val="00A1361D"/>
    <w:rsid w:val="00A13797"/>
    <w:rsid w:val="00A15F38"/>
    <w:rsid w:val="00A1609E"/>
    <w:rsid w:val="00A16E24"/>
    <w:rsid w:val="00A175A1"/>
    <w:rsid w:val="00A2145C"/>
    <w:rsid w:val="00A2331F"/>
    <w:rsid w:val="00A23339"/>
    <w:rsid w:val="00A23395"/>
    <w:rsid w:val="00A23FCD"/>
    <w:rsid w:val="00A2480F"/>
    <w:rsid w:val="00A24F7B"/>
    <w:rsid w:val="00A26852"/>
    <w:rsid w:val="00A277FC"/>
    <w:rsid w:val="00A30186"/>
    <w:rsid w:val="00A30BBD"/>
    <w:rsid w:val="00A3218C"/>
    <w:rsid w:val="00A327CC"/>
    <w:rsid w:val="00A34B63"/>
    <w:rsid w:val="00A35DEB"/>
    <w:rsid w:val="00A370EC"/>
    <w:rsid w:val="00A37488"/>
    <w:rsid w:val="00A41820"/>
    <w:rsid w:val="00A41BCC"/>
    <w:rsid w:val="00A422AD"/>
    <w:rsid w:val="00A4427E"/>
    <w:rsid w:val="00A44E3F"/>
    <w:rsid w:val="00A4713B"/>
    <w:rsid w:val="00A4782F"/>
    <w:rsid w:val="00A50295"/>
    <w:rsid w:val="00A50363"/>
    <w:rsid w:val="00A50D05"/>
    <w:rsid w:val="00A5140C"/>
    <w:rsid w:val="00A51C44"/>
    <w:rsid w:val="00A529F7"/>
    <w:rsid w:val="00A533FC"/>
    <w:rsid w:val="00A5750D"/>
    <w:rsid w:val="00A57CC9"/>
    <w:rsid w:val="00A57FE7"/>
    <w:rsid w:val="00A601DB"/>
    <w:rsid w:val="00A610DC"/>
    <w:rsid w:val="00A61687"/>
    <w:rsid w:val="00A61C2B"/>
    <w:rsid w:val="00A62E31"/>
    <w:rsid w:val="00A63E82"/>
    <w:rsid w:val="00A64AA0"/>
    <w:rsid w:val="00A64EDC"/>
    <w:rsid w:val="00A6781C"/>
    <w:rsid w:val="00A67D0E"/>
    <w:rsid w:val="00A706BC"/>
    <w:rsid w:val="00A70CED"/>
    <w:rsid w:val="00A70D76"/>
    <w:rsid w:val="00A71B7A"/>
    <w:rsid w:val="00A722F6"/>
    <w:rsid w:val="00A72B90"/>
    <w:rsid w:val="00A75229"/>
    <w:rsid w:val="00A77278"/>
    <w:rsid w:val="00A77A86"/>
    <w:rsid w:val="00A77F6C"/>
    <w:rsid w:val="00A8321D"/>
    <w:rsid w:val="00A8401F"/>
    <w:rsid w:val="00A8538A"/>
    <w:rsid w:val="00A857C7"/>
    <w:rsid w:val="00A86535"/>
    <w:rsid w:val="00A86BBC"/>
    <w:rsid w:val="00A87529"/>
    <w:rsid w:val="00A87CB0"/>
    <w:rsid w:val="00A90403"/>
    <w:rsid w:val="00A94326"/>
    <w:rsid w:val="00A94646"/>
    <w:rsid w:val="00A953D2"/>
    <w:rsid w:val="00A957A6"/>
    <w:rsid w:val="00A95831"/>
    <w:rsid w:val="00A958A1"/>
    <w:rsid w:val="00A95DB0"/>
    <w:rsid w:val="00A96333"/>
    <w:rsid w:val="00A97104"/>
    <w:rsid w:val="00A97BD7"/>
    <w:rsid w:val="00A97D00"/>
    <w:rsid w:val="00AA09E6"/>
    <w:rsid w:val="00AA0C37"/>
    <w:rsid w:val="00AA1337"/>
    <w:rsid w:val="00AA2BA6"/>
    <w:rsid w:val="00AB0B88"/>
    <w:rsid w:val="00AB23EF"/>
    <w:rsid w:val="00AC0692"/>
    <w:rsid w:val="00AC18C9"/>
    <w:rsid w:val="00AC2DD2"/>
    <w:rsid w:val="00AC461A"/>
    <w:rsid w:val="00AC4F8B"/>
    <w:rsid w:val="00AC60C2"/>
    <w:rsid w:val="00AD074F"/>
    <w:rsid w:val="00AD126F"/>
    <w:rsid w:val="00AD2400"/>
    <w:rsid w:val="00AD2DA6"/>
    <w:rsid w:val="00AD2DB1"/>
    <w:rsid w:val="00AD4B77"/>
    <w:rsid w:val="00AD4FCF"/>
    <w:rsid w:val="00AD5AF6"/>
    <w:rsid w:val="00AD6C1D"/>
    <w:rsid w:val="00AD749F"/>
    <w:rsid w:val="00AE14C0"/>
    <w:rsid w:val="00AE1FAA"/>
    <w:rsid w:val="00AE21F7"/>
    <w:rsid w:val="00AE23CA"/>
    <w:rsid w:val="00AE295E"/>
    <w:rsid w:val="00AE3DC9"/>
    <w:rsid w:val="00AE4238"/>
    <w:rsid w:val="00AE7F10"/>
    <w:rsid w:val="00AF0220"/>
    <w:rsid w:val="00AF1355"/>
    <w:rsid w:val="00AF1684"/>
    <w:rsid w:val="00AF19F9"/>
    <w:rsid w:val="00AF2280"/>
    <w:rsid w:val="00AF3A34"/>
    <w:rsid w:val="00AF4125"/>
    <w:rsid w:val="00AF534B"/>
    <w:rsid w:val="00AF54AF"/>
    <w:rsid w:val="00AF67A8"/>
    <w:rsid w:val="00AF7F73"/>
    <w:rsid w:val="00B00295"/>
    <w:rsid w:val="00B012D5"/>
    <w:rsid w:val="00B016CB"/>
    <w:rsid w:val="00B104BE"/>
    <w:rsid w:val="00B10555"/>
    <w:rsid w:val="00B11879"/>
    <w:rsid w:val="00B12D88"/>
    <w:rsid w:val="00B130DE"/>
    <w:rsid w:val="00B14D22"/>
    <w:rsid w:val="00B16098"/>
    <w:rsid w:val="00B161A1"/>
    <w:rsid w:val="00B173E9"/>
    <w:rsid w:val="00B17F68"/>
    <w:rsid w:val="00B204E9"/>
    <w:rsid w:val="00B21108"/>
    <w:rsid w:val="00B21716"/>
    <w:rsid w:val="00B22207"/>
    <w:rsid w:val="00B231A3"/>
    <w:rsid w:val="00B231E9"/>
    <w:rsid w:val="00B257D7"/>
    <w:rsid w:val="00B30E99"/>
    <w:rsid w:val="00B31759"/>
    <w:rsid w:val="00B32310"/>
    <w:rsid w:val="00B34354"/>
    <w:rsid w:val="00B35C07"/>
    <w:rsid w:val="00B36CAF"/>
    <w:rsid w:val="00B36E16"/>
    <w:rsid w:val="00B37074"/>
    <w:rsid w:val="00B373A0"/>
    <w:rsid w:val="00B37521"/>
    <w:rsid w:val="00B379BE"/>
    <w:rsid w:val="00B413BF"/>
    <w:rsid w:val="00B4144E"/>
    <w:rsid w:val="00B41D35"/>
    <w:rsid w:val="00B43A32"/>
    <w:rsid w:val="00B44452"/>
    <w:rsid w:val="00B44806"/>
    <w:rsid w:val="00B46E82"/>
    <w:rsid w:val="00B47B1C"/>
    <w:rsid w:val="00B47ED5"/>
    <w:rsid w:val="00B50283"/>
    <w:rsid w:val="00B507F6"/>
    <w:rsid w:val="00B50C5C"/>
    <w:rsid w:val="00B50EAC"/>
    <w:rsid w:val="00B515D7"/>
    <w:rsid w:val="00B5251F"/>
    <w:rsid w:val="00B572C0"/>
    <w:rsid w:val="00B57F95"/>
    <w:rsid w:val="00B60494"/>
    <w:rsid w:val="00B61833"/>
    <w:rsid w:val="00B618C1"/>
    <w:rsid w:val="00B61B0D"/>
    <w:rsid w:val="00B628D2"/>
    <w:rsid w:val="00B6341C"/>
    <w:rsid w:val="00B64462"/>
    <w:rsid w:val="00B644C3"/>
    <w:rsid w:val="00B6481C"/>
    <w:rsid w:val="00B65593"/>
    <w:rsid w:val="00B65900"/>
    <w:rsid w:val="00B66780"/>
    <w:rsid w:val="00B6704C"/>
    <w:rsid w:val="00B70A84"/>
    <w:rsid w:val="00B73240"/>
    <w:rsid w:val="00B75A5C"/>
    <w:rsid w:val="00B77D00"/>
    <w:rsid w:val="00B80767"/>
    <w:rsid w:val="00B8081D"/>
    <w:rsid w:val="00B80922"/>
    <w:rsid w:val="00B80E5C"/>
    <w:rsid w:val="00B80F30"/>
    <w:rsid w:val="00B821D3"/>
    <w:rsid w:val="00B82FA3"/>
    <w:rsid w:val="00B83962"/>
    <w:rsid w:val="00B83E13"/>
    <w:rsid w:val="00B8405D"/>
    <w:rsid w:val="00B84E01"/>
    <w:rsid w:val="00B8597B"/>
    <w:rsid w:val="00B85F52"/>
    <w:rsid w:val="00B87B68"/>
    <w:rsid w:val="00B90FAA"/>
    <w:rsid w:val="00B9228C"/>
    <w:rsid w:val="00B9231F"/>
    <w:rsid w:val="00B92E49"/>
    <w:rsid w:val="00B936F7"/>
    <w:rsid w:val="00B96973"/>
    <w:rsid w:val="00B96AD1"/>
    <w:rsid w:val="00B97D78"/>
    <w:rsid w:val="00BA092F"/>
    <w:rsid w:val="00BA11D4"/>
    <w:rsid w:val="00BA156B"/>
    <w:rsid w:val="00BA2381"/>
    <w:rsid w:val="00BA3AF0"/>
    <w:rsid w:val="00BA596D"/>
    <w:rsid w:val="00BA68D6"/>
    <w:rsid w:val="00BB1973"/>
    <w:rsid w:val="00BB1D0E"/>
    <w:rsid w:val="00BB2D6E"/>
    <w:rsid w:val="00BB3C08"/>
    <w:rsid w:val="00BB444A"/>
    <w:rsid w:val="00BB5292"/>
    <w:rsid w:val="00BB54DB"/>
    <w:rsid w:val="00BB6954"/>
    <w:rsid w:val="00BB7652"/>
    <w:rsid w:val="00BB7A6B"/>
    <w:rsid w:val="00BC0846"/>
    <w:rsid w:val="00BC11FE"/>
    <w:rsid w:val="00BC2AAC"/>
    <w:rsid w:val="00BC4FB9"/>
    <w:rsid w:val="00BC5C06"/>
    <w:rsid w:val="00BC6410"/>
    <w:rsid w:val="00BC687D"/>
    <w:rsid w:val="00BC7492"/>
    <w:rsid w:val="00BD0329"/>
    <w:rsid w:val="00BD0A8F"/>
    <w:rsid w:val="00BD2224"/>
    <w:rsid w:val="00BD2980"/>
    <w:rsid w:val="00BD333B"/>
    <w:rsid w:val="00BD3FA7"/>
    <w:rsid w:val="00BD46D3"/>
    <w:rsid w:val="00BD49F5"/>
    <w:rsid w:val="00BD6259"/>
    <w:rsid w:val="00BE03D5"/>
    <w:rsid w:val="00BE16A9"/>
    <w:rsid w:val="00BE2636"/>
    <w:rsid w:val="00BE4B2B"/>
    <w:rsid w:val="00BE598C"/>
    <w:rsid w:val="00BE5BB7"/>
    <w:rsid w:val="00BE6C45"/>
    <w:rsid w:val="00BE70EB"/>
    <w:rsid w:val="00BF1A99"/>
    <w:rsid w:val="00BF2803"/>
    <w:rsid w:val="00BF2C69"/>
    <w:rsid w:val="00BF467F"/>
    <w:rsid w:val="00BF46C3"/>
    <w:rsid w:val="00BF6745"/>
    <w:rsid w:val="00BF76E5"/>
    <w:rsid w:val="00C02861"/>
    <w:rsid w:val="00C02E85"/>
    <w:rsid w:val="00C03FBB"/>
    <w:rsid w:val="00C0723B"/>
    <w:rsid w:val="00C07BCE"/>
    <w:rsid w:val="00C10BB4"/>
    <w:rsid w:val="00C10F5E"/>
    <w:rsid w:val="00C11F01"/>
    <w:rsid w:val="00C12CD8"/>
    <w:rsid w:val="00C12F66"/>
    <w:rsid w:val="00C140CD"/>
    <w:rsid w:val="00C1641C"/>
    <w:rsid w:val="00C17D0D"/>
    <w:rsid w:val="00C21BE2"/>
    <w:rsid w:val="00C21C74"/>
    <w:rsid w:val="00C22582"/>
    <w:rsid w:val="00C22906"/>
    <w:rsid w:val="00C23FCB"/>
    <w:rsid w:val="00C241D9"/>
    <w:rsid w:val="00C25144"/>
    <w:rsid w:val="00C255DB"/>
    <w:rsid w:val="00C2614F"/>
    <w:rsid w:val="00C263C5"/>
    <w:rsid w:val="00C309AD"/>
    <w:rsid w:val="00C335DB"/>
    <w:rsid w:val="00C3384D"/>
    <w:rsid w:val="00C34AEA"/>
    <w:rsid w:val="00C35B6C"/>
    <w:rsid w:val="00C36809"/>
    <w:rsid w:val="00C3682C"/>
    <w:rsid w:val="00C37F74"/>
    <w:rsid w:val="00C418B4"/>
    <w:rsid w:val="00C42994"/>
    <w:rsid w:val="00C435B1"/>
    <w:rsid w:val="00C43919"/>
    <w:rsid w:val="00C43D4C"/>
    <w:rsid w:val="00C4580C"/>
    <w:rsid w:val="00C479E5"/>
    <w:rsid w:val="00C50766"/>
    <w:rsid w:val="00C53773"/>
    <w:rsid w:val="00C54821"/>
    <w:rsid w:val="00C5482A"/>
    <w:rsid w:val="00C54AAB"/>
    <w:rsid w:val="00C5709E"/>
    <w:rsid w:val="00C57DF3"/>
    <w:rsid w:val="00C60D9A"/>
    <w:rsid w:val="00C60FC9"/>
    <w:rsid w:val="00C6161A"/>
    <w:rsid w:val="00C61775"/>
    <w:rsid w:val="00C618EB"/>
    <w:rsid w:val="00C62143"/>
    <w:rsid w:val="00C62209"/>
    <w:rsid w:val="00C633F9"/>
    <w:rsid w:val="00C6398A"/>
    <w:rsid w:val="00C63D3C"/>
    <w:rsid w:val="00C63D8E"/>
    <w:rsid w:val="00C64303"/>
    <w:rsid w:val="00C645A5"/>
    <w:rsid w:val="00C65B40"/>
    <w:rsid w:val="00C66251"/>
    <w:rsid w:val="00C66AF7"/>
    <w:rsid w:val="00C67578"/>
    <w:rsid w:val="00C676B4"/>
    <w:rsid w:val="00C6794A"/>
    <w:rsid w:val="00C70DA1"/>
    <w:rsid w:val="00C715E6"/>
    <w:rsid w:val="00C8248F"/>
    <w:rsid w:val="00C82D3A"/>
    <w:rsid w:val="00C83EAE"/>
    <w:rsid w:val="00C841FE"/>
    <w:rsid w:val="00C91C02"/>
    <w:rsid w:val="00C9528C"/>
    <w:rsid w:val="00C95A48"/>
    <w:rsid w:val="00C95D73"/>
    <w:rsid w:val="00C9622E"/>
    <w:rsid w:val="00C97A5F"/>
    <w:rsid w:val="00CA1180"/>
    <w:rsid w:val="00CA246E"/>
    <w:rsid w:val="00CA34C6"/>
    <w:rsid w:val="00CA3FD6"/>
    <w:rsid w:val="00CA414F"/>
    <w:rsid w:val="00CA545B"/>
    <w:rsid w:val="00CB17A6"/>
    <w:rsid w:val="00CB188E"/>
    <w:rsid w:val="00CB1EF3"/>
    <w:rsid w:val="00CB252E"/>
    <w:rsid w:val="00CB2AD8"/>
    <w:rsid w:val="00CB3E79"/>
    <w:rsid w:val="00CB4344"/>
    <w:rsid w:val="00CB4F16"/>
    <w:rsid w:val="00CB71C1"/>
    <w:rsid w:val="00CC0CDF"/>
    <w:rsid w:val="00CC1452"/>
    <w:rsid w:val="00CC33F7"/>
    <w:rsid w:val="00CC364C"/>
    <w:rsid w:val="00CC6B1B"/>
    <w:rsid w:val="00CC78A4"/>
    <w:rsid w:val="00CD017B"/>
    <w:rsid w:val="00CD22B8"/>
    <w:rsid w:val="00CD5C0F"/>
    <w:rsid w:val="00CD6A5C"/>
    <w:rsid w:val="00CD7DE9"/>
    <w:rsid w:val="00CE2334"/>
    <w:rsid w:val="00CE2BFC"/>
    <w:rsid w:val="00CE2D60"/>
    <w:rsid w:val="00CE35BF"/>
    <w:rsid w:val="00CE6226"/>
    <w:rsid w:val="00CE64FB"/>
    <w:rsid w:val="00CE67AB"/>
    <w:rsid w:val="00CE7461"/>
    <w:rsid w:val="00CF023A"/>
    <w:rsid w:val="00CF15D7"/>
    <w:rsid w:val="00CF3C7E"/>
    <w:rsid w:val="00CF3F44"/>
    <w:rsid w:val="00CF5147"/>
    <w:rsid w:val="00CF5762"/>
    <w:rsid w:val="00CF5DCF"/>
    <w:rsid w:val="00CF6551"/>
    <w:rsid w:val="00CF743A"/>
    <w:rsid w:val="00CF7AD3"/>
    <w:rsid w:val="00D027D0"/>
    <w:rsid w:val="00D04F3F"/>
    <w:rsid w:val="00D07513"/>
    <w:rsid w:val="00D115C6"/>
    <w:rsid w:val="00D11D83"/>
    <w:rsid w:val="00D12EE8"/>
    <w:rsid w:val="00D14267"/>
    <w:rsid w:val="00D14AA5"/>
    <w:rsid w:val="00D16F92"/>
    <w:rsid w:val="00D22231"/>
    <w:rsid w:val="00D22AB9"/>
    <w:rsid w:val="00D24137"/>
    <w:rsid w:val="00D26F8D"/>
    <w:rsid w:val="00D27481"/>
    <w:rsid w:val="00D27E46"/>
    <w:rsid w:val="00D30111"/>
    <w:rsid w:val="00D31E2C"/>
    <w:rsid w:val="00D323D7"/>
    <w:rsid w:val="00D32ADB"/>
    <w:rsid w:val="00D335C1"/>
    <w:rsid w:val="00D33839"/>
    <w:rsid w:val="00D349A5"/>
    <w:rsid w:val="00D40468"/>
    <w:rsid w:val="00D40915"/>
    <w:rsid w:val="00D4184F"/>
    <w:rsid w:val="00D443FD"/>
    <w:rsid w:val="00D44692"/>
    <w:rsid w:val="00D447D9"/>
    <w:rsid w:val="00D44B86"/>
    <w:rsid w:val="00D45FB4"/>
    <w:rsid w:val="00D46EF2"/>
    <w:rsid w:val="00D47941"/>
    <w:rsid w:val="00D47FF2"/>
    <w:rsid w:val="00D5113A"/>
    <w:rsid w:val="00D511A5"/>
    <w:rsid w:val="00D5230D"/>
    <w:rsid w:val="00D53402"/>
    <w:rsid w:val="00D5486E"/>
    <w:rsid w:val="00D553BE"/>
    <w:rsid w:val="00D60AAF"/>
    <w:rsid w:val="00D6123C"/>
    <w:rsid w:val="00D62A73"/>
    <w:rsid w:val="00D63603"/>
    <w:rsid w:val="00D64206"/>
    <w:rsid w:val="00D6591A"/>
    <w:rsid w:val="00D66840"/>
    <w:rsid w:val="00D708FB"/>
    <w:rsid w:val="00D70D63"/>
    <w:rsid w:val="00D73955"/>
    <w:rsid w:val="00D74F58"/>
    <w:rsid w:val="00D75604"/>
    <w:rsid w:val="00D7603A"/>
    <w:rsid w:val="00D77595"/>
    <w:rsid w:val="00D77DDF"/>
    <w:rsid w:val="00D8037D"/>
    <w:rsid w:val="00D809E0"/>
    <w:rsid w:val="00D80C36"/>
    <w:rsid w:val="00D811DB"/>
    <w:rsid w:val="00D81A33"/>
    <w:rsid w:val="00D82F5F"/>
    <w:rsid w:val="00D84349"/>
    <w:rsid w:val="00D87334"/>
    <w:rsid w:val="00D91183"/>
    <w:rsid w:val="00D933D8"/>
    <w:rsid w:val="00D96BC3"/>
    <w:rsid w:val="00D97064"/>
    <w:rsid w:val="00DA1794"/>
    <w:rsid w:val="00DA24E2"/>
    <w:rsid w:val="00DA3B88"/>
    <w:rsid w:val="00DA502A"/>
    <w:rsid w:val="00DA5A03"/>
    <w:rsid w:val="00DA6259"/>
    <w:rsid w:val="00DA7C75"/>
    <w:rsid w:val="00DA7CC1"/>
    <w:rsid w:val="00DB0EDE"/>
    <w:rsid w:val="00DB3805"/>
    <w:rsid w:val="00DB49B1"/>
    <w:rsid w:val="00DB6010"/>
    <w:rsid w:val="00DB682B"/>
    <w:rsid w:val="00DB7340"/>
    <w:rsid w:val="00DB7B3A"/>
    <w:rsid w:val="00DB7BC2"/>
    <w:rsid w:val="00DC135B"/>
    <w:rsid w:val="00DC2CAB"/>
    <w:rsid w:val="00DC36AE"/>
    <w:rsid w:val="00DC3B86"/>
    <w:rsid w:val="00DC45CB"/>
    <w:rsid w:val="00DC49C3"/>
    <w:rsid w:val="00DC4F1E"/>
    <w:rsid w:val="00DC5AA8"/>
    <w:rsid w:val="00DC6D76"/>
    <w:rsid w:val="00DD23DB"/>
    <w:rsid w:val="00DD2DC1"/>
    <w:rsid w:val="00DD43E9"/>
    <w:rsid w:val="00DD504E"/>
    <w:rsid w:val="00DD591A"/>
    <w:rsid w:val="00DD60C6"/>
    <w:rsid w:val="00DD6252"/>
    <w:rsid w:val="00DD64F8"/>
    <w:rsid w:val="00DD6B23"/>
    <w:rsid w:val="00DE001A"/>
    <w:rsid w:val="00DE1E30"/>
    <w:rsid w:val="00DE1FD7"/>
    <w:rsid w:val="00DE2140"/>
    <w:rsid w:val="00DE223A"/>
    <w:rsid w:val="00DE2D08"/>
    <w:rsid w:val="00DE38E5"/>
    <w:rsid w:val="00DE3A28"/>
    <w:rsid w:val="00DE45D7"/>
    <w:rsid w:val="00DE5F87"/>
    <w:rsid w:val="00DE60F4"/>
    <w:rsid w:val="00DE72FD"/>
    <w:rsid w:val="00DE73AE"/>
    <w:rsid w:val="00DF0005"/>
    <w:rsid w:val="00DF19F2"/>
    <w:rsid w:val="00DF1B81"/>
    <w:rsid w:val="00DF2625"/>
    <w:rsid w:val="00DF2687"/>
    <w:rsid w:val="00DF2776"/>
    <w:rsid w:val="00DF3FFE"/>
    <w:rsid w:val="00DF68AD"/>
    <w:rsid w:val="00DF6AE7"/>
    <w:rsid w:val="00E01E6B"/>
    <w:rsid w:val="00E032D5"/>
    <w:rsid w:val="00E039C0"/>
    <w:rsid w:val="00E04299"/>
    <w:rsid w:val="00E049C2"/>
    <w:rsid w:val="00E05483"/>
    <w:rsid w:val="00E057D1"/>
    <w:rsid w:val="00E06339"/>
    <w:rsid w:val="00E06914"/>
    <w:rsid w:val="00E10E41"/>
    <w:rsid w:val="00E111D7"/>
    <w:rsid w:val="00E1135E"/>
    <w:rsid w:val="00E132CB"/>
    <w:rsid w:val="00E132E8"/>
    <w:rsid w:val="00E1350F"/>
    <w:rsid w:val="00E13870"/>
    <w:rsid w:val="00E1538D"/>
    <w:rsid w:val="00E17BD8"/>
    <w:rsid w:val="00E17E86"/>
    <w:rsid w:val="00E2039B"/>
    <w:rsid w:val="00E21406"/>
    <w:rsid w:val="00E21ADE"/>
    <w:rsid w:val="00E21D21"/>
    <w:rsid w:val="00E23B2F"/>
    <w:rsid w:val="00E23D42"/>
    <w:rsid w:val="00E244D0"/>
    <w:rsid w:val="00E2467B"/>
    <w:rsid w:val="00E24A3C"/>
    <w:rsid w:val="00E24F51"/>
    <w:rsid w:val="00E260B3"/>
    <w:rsid w:val="00E264DA"/>
    <w:rsid w:val="00E27759"/>
    <w:rsid w:val="00E30DD3"/>
    <w:rsid w:val="00E315D5"/>
    <w:rsid w:val="00E31746"/>
    <w:rsid w:val="00E35706"/>
    <w:rsid w:val="00E36881"/>
    <w:rsid w:val="00E3721D"/>
    <w:rsid w:val="00E37388"/>
    <w:rsid w:val="00E419B9"/>
    <w:rsid w:val="00E42F52"/>
    <w:rsid w:val="00E43AB6"/>
    <w:rsid w:val="00E43DF7"/>
    <w:rsid w:val="00E44B1A"/>
    <w:rsid w:val="00E46795"/>
    <w:rsid w:val="00E46DF4"/>
    <w:rsid w:val="00E46F38"/>
    <w:rsid w:val="00E52256"/>
    <w:rsid w:val="00E535B8"/>
    <w:rsid w:val="00E54CA5"/>
    <w:rsid w:val="00E56B50"/>
    <w:rsid w:val="00E6058C"/>
    <w:rsid w:val="00E60B09"/>
    <w:rsid w:val="00E61070"/>
    <w:rsid w:val="00E61332"/>
    <w:rsid w:val="00E6270E"/>
    <w:rsid w:val="00E62B43"/>
    <w:rsid w:val="00E63CA7"/>
    <w:rsid w:val="00E6472B"/>
    <w:rsid w:val="00E65BC5"/>
    <w:rsid w:val="00E65C9B"/>
    <w:rsid w:val="00E65D41"/>
    <w:rsid w:val="00E66523"/>
    <w:rsid w:val="00E703F1"/>
    <w:rsid w:val="00E72276"/>
    <w:rsid w:val="00E72E5A"/>
    <w:rsid w:val="00E72EDC"/>
    <w:rsid w:val="00E73831"/>
    <w:rsid w:val="00E76458"/>
    <w:rsid w:val="00E76744"/>
    <w:rsid w:val="00E76F7B"/>
    <w:rsid w:val="00E77F0D"/>
    <w:rsid w:val="00E80876"/>
    <w:rsid w:val="00E81B12"/>
    <w:rsid w:val="00E83972"/>
    <w:rsid w:val="00E84E80"/>
    <w:rsid w:val="00E86E0B"/>
    <w:rsid w:val="00E879B2"/>
    <w:rsid w:val="00E92C47"/>
    <w:rsid w:val="00E93090"/>
    <w:rsid w:val="00E93AD4"/>
    <w:rsid w:val="00E944E8"/>
    <w:rsid w:val="00E960BA"/>
    <w:rsid w:val="00EA00F5"/>
    <w:rsid w:val="00EA09F3"/>
    <w:rsid w:val="00EA11A3"/>
    <w:rsid w:val="00EA420C"/>
    <w:rsid w:val="00EA47C2"/>
    <w:rsid w:val="00EA6760"/>
    <w:rsid w:val="00EA7C41"/>
    <w:rsid w:val="00EA7D73"/>
    <w:rsid w:val="00EB0032"/>
    <w:rsid w:val="00EB1224"/>
    <w:rsid w:val="00EB28BB"/>
    <w:rsid w:val="00EB35DA"/>
    <w:rsid w:val="00EB4F2D"/>
    <w:rsid w:val="00EB6DFC"/>
    <w:rsid w:val="00EB75FD"/>
    <w:rsid w:val="00EB7641"/>
    <w:rsid w:val="00EB773B"/>
    <w:rsid w:val="00EC0020"/>
    <w:rsid w:val="00EC0B90"/>
    <w:rsid w:val="00EC0EC1"/>
    <w:rsid w:val="00EC132C"/>
    <w:rsid w:val="00EC17E2"/>
    <w:rsid w:val="00EC2D8C"/>
    <w:rsid w:val="00EC4525"/>
    <w:rsid w:val="00EC5F80"/>
    <w:rsid w:val="00EC68BC"/>
    <w:rsid w:val="00EC6BE2"/>
    <w:rsid w:val="00EC728A"/>
    <w:rsid w:val="00EC7F1C"/>
    <w:rsid w:val="00ED0BA8"/>
    <w:rsid w:val="00ED15FC"/>
    <w:rsid w:val="00ED23AD"/>
    <w:rsid w:val="00ED41C6"/>
    <w:rsid w:val="00ED4F50"/>
    <w:rsid w:val="00ED5203"/>
    <w:rsid w:val="00ED5287"/>
    <w:rsid w:val="00ED584F"/>
    <w:rsid w:val="00ED6CC6"/>
    <w:rsid w:val="00EE0A78"/>
    <w:rsid w:val="00EE380E"/>
    <w:rsid w:val="00EE3E65"/>
    <w:rsid w:val="00EE7DB7"/>
    <w:rsid w:val="00EF085F"/>
    <w:rsid w:val="00EF133B"/>
    <w:rsid w:val="00EF1CA8"/>
    <w:rsid w:val="00EF3F96"/>
    <w:rsid w:val="00EF4367"/>
    <w:rsid w:val="00EF45C0"/>
    <w:rsid w:val="00EF5047"/>
    <w:rsid w:val="00EF5CFB"/>
    <w:rsid w:val="00F01087"/>
    <w:rsid w:val="00F01921"/>
    <w:rsid w:val="00F01B74"/>
    <w:rsid w:val="00F02754"/>
    <w:rsid w:val="00F02A2E"/>
    <w:rsid w:val="00F0302F"/>
    <w:rsid w:val="00F038A0"/>
    <w:rsid w:val="00F06738"/>
    <w:rsid w:val="00F07934"/>
    <w:rsid w:val="00F106F4"/>
    <w:rsid w:val="00F11A21"/>
    <w:rsid w:val="00F12B30"/>
    <w:rsid w:val="00F14DE3"/>
    <w:rsid w:val="00F15B64"/>
    <w:rsid w:val="00F15E78"/>
    <w:rsid w:val="00F16085"/>
    <w:rsid w:val="00F16CA6"/>
    <w:rsid w:val="00F17648"/>
    <w:rsid w:val="00F20B9B"/>
    <w:rsid w:val="00F20E60"/>
    <w:rsid w:val="00F21D9C"/>
    <w:rsid w:val="00F23924"/>
    <w:rsid w:val="00F23A8B"/>
    <w:rsid w:val="00F23B4B"/>
    <w:rsid w:val="00F2474D"/>
    <w:rsid w:val="00F24D99"/>
    <w:rsid w:val="00F25630"/>
    <w:rsid w:val="00F2585B"/>
    <w:rsid w:val="00F2667D"/>
    <w:rsid w:val="00F26D6D"/>
    <w:rsid w:val="00F275E5"/>
    <w:rsid w:val="00F3078E"/>
    <w:rsid w:val="00F30793"/>
    <w:rsid w:val="00F31FC3"/>
    <w:rsid w:val="00F324D6"/>
    <w:rsid w:val="00F343E3"/>
    <w:rsid w:val="00F34E7C"/>
    <w:rsid w:val="00F3598E"/>
    <w:rsid w:val="00F36F0B"/>
    <w:rsid w:val="00F400F6"/>
    <w:rsid w:val="00F403C2"/>
    <w:rsid w:val="00F40736"/>
    <w:rsid w:val="00F40CA0"/>
    <w:rsid w:val="00F40E31"/>
    <w:rsid w:val="00F425A6"/>
    <w:rsid w:val="00F42D83"/>
    <w:rsid w:val="00F43EAB"/>
    <w:rsid w:val="00F4473A"/>
    <w:rsid w:val="00F45B24"/>
    <w:rsid w:val="00F46A8C"/>
    <w:rsid w:val="00F50DFB"/>
    <w:rsid w:val="00F52DAF"/>
    <w:rsid w:val="00F539EE"/>
    <w:rsid w:val="00F53FF8"/>
    <w:rsid w:val="00F54BFE"/>
    <w:rsid w:val="00F55269"/>
    <w:rsid w:val="00F618CA"/>
    <w:rsid w:val="00F6230A"/>
    <w:rsid w:val="00F6281E"/>
    <w:rsid w:val="00F6303B"/>
    <w:rsid w:val="00F63958"/>
    <w:rsid w:val="00F663AA"/>
    <w:rsid w:val="00F66B5F"/>
    <w:rsid w:val="00F671A6"/>
    <w:rsid w:val="00F67849"/>
    <w:rsid w:val="00F7031C"/>
    <w:rsid w:val="00F705B6"/>
    <w:rsid w:val="00F7108D"/>
    <w:rsid w:val="00F728C8"/>
    <w:rsid w:val="00F759EB"/>
    <w:rsid w:val="00F75A45"/>
    <w:rsid w:val="00F80AE3"/>
    <w:rsid w:val="00F814AE"/>
    <w:rsid w:val="00F82236"/>
    <w:rsid w:val="00F82C31"/>
    <w:rsid w:val="00F85438"/>
    <w:rsid w:val="00F860F8"/>
    <w:rsid w:val="00F8791C"/>
    <w:rsid w:val="00F90026"/>
    <w:rsid w:val="00F90FE4"/>
    <w:rsid w:val="00F92BAB"/>
    <w:rsid w:val="00F92F57"/>
    <w:rsid w:val="00F94914"/>
    <w:rsid w:val="00F9687D"/>
    <w:rsid w:val="00F969FE"/>
    <w:rsid w:val="00F96C7B"/>
    <w:rsid w:val="00F97933"/>
    <w:rsid w:val="00FA11AB"/>
    <w:rsid w:val="00FA222C"/>
    <w:rsid w:val="00FA2B46"/>
    <w:rsid w:val="00FA4219"/>
    <w:rsid w:val="00FA52D1"/>
    <w:rsid w:val="00FA577D"/>
    <w:rsid w:val="00FA6CF6"/>
    <w:rsid w:val="00FB12C4"/>
    <w:rsid w:val="00FB25DE"/>
    <w:rsid w:val="00FB36E6"/>
    <w:rsid w:val="00FB4E95"/>
    <w:rsid w:val="00FB65C2"/>
    <w:rsid w:val="00FB6615"/>
    <w:rsid w:val="00FB6B0E"/>
    <w:rsid w:val="00FB7212"/>
    <w:rsid w:val="00FC0FA6"/>
    <w:rsid w:val="00FC1B67"/>
    <w:rsid w:val="00FC2447"/>
    <w:rsid w:val="00FC48C3"/>
    <w:rsid w:val="00FC60DD"/>
    <w:rsid w:val="00FC7793"/>
    <w:rsid w:val="00FD02AA"/>
    <w:rsid w:val="00FD246B"/>
    <w:rsid w:val="00FD2480"/>
    <w:rsid w:val="00FD3307"/>
    <w:rsid w:val="00FD5298"/>
    <w:rsid w:val="00FD5736"/>
    <w:rsid w:val="00FD5A3E"/>
    <w:rsid w:val="00FD5EBA"/>
    <w:rsid w:val="00FD77B3"/>
    <w:rsid w:val="00FD7A6E"/>
    <w:rsid w:val="00FE18BD"/>
    <w:rsid w:val="00FE260A"/>
    <w:rsid w:val="00FE4DF6"/>
    <w:rsid w:val="00FE5592"/>
    <w:rsid w:val="00FE75E4"/>
    <w:rsid w:val="00FE7879"/>
    <w:rsid w:val="00FF07C6"/>
    <w:rsid w:val="00FF0BEF"/>
    <w:rsid w:val="00FF1936"/>
    <w:rsid w:val="00FF24E5"/>
    <w:rsid w:val="00FF30B7"/>
    <w:rsid w:val="00FF36A1"/>
    <w:rsid w:val="00FF43D4"/>
    <w:rsid w:val="00FF79E8"/>
    <w:rsid w:val="01335876"/>
    <w:rsid w:val="017716F4"/>
    <w:rsid w:val="026B31A7"/>
    <w:rsid w:val="0299122D"/>
    <w:rsid w:val="02D82D72"/>
    <w:rsid w:val="02F760B4"/>
    <w:rsid w:val="0310497C"/>
    <w:rsid w:val="03ED490F"/>
    <w:rsid w:val="04436859"/>
    <w:rsid w:val="046D2AE9"/>
    <w:rsid w:val="04DD5109"/>
    <w:rsid w:val="05040352"/>
    <w:rsid w:val="05395C36"/>
    <w:rsid w:val="05BC744B"/>
    <w:rsid w:val="05CA273A"/>
    <w:rsid w:val="05CB2DF6"/>
    <w:rsid w:val="060F21D2"/>
    <w:rsid w:val="06291452"/>
    <w:rsid w:val="062A5661"/>
    <w:rsid w:val="06920A63"/>
    <w:rsid w:val="06BA261C"/>
    <w:rsid w:val="06BF2D2B"/>
    <w:rsid w:val="06CE1E37"/>
    <w:rsid w:val="073754DC"/>
    <w:rsid w:val="076713A9"/>
    <w:rsid w:val="07A64AE1"/>
    <w:rsid w:val="07AD05D7"/>
    <w:rsid w:val="07D01AF4"/>
    <w:rsid w:val="07E264C7"/>
    <w:rsid w:val="07F56736"/>
    <w:rsid w:val="08014E19"/>
    <w:rsid w:val="08867821"/>
    <w:rsid w:val="08AE366D"/>
    <w:rsid w:val="08D10EBC"/>
    <w:rsid w:val="08D67CAC"/>
    <w:rsid w:val="091561B7"/>
    <w:rsid w:val="092469D9"/>
    <w:rsid w:val="095119D1"/>
    <w:rsid w:val="098115E8"/>
    <w:rsid w:val="09BA2E9E"/>
    <w:rsid w:val="09C123E4"/>
    <w:rsid w:val="09E24A96"/>
    <w:rsid w:val="0A0D0E47"/>
    <w:rsid w:val="0A0F0737"/>
    <w:rsid w:val="0A216B85"/>
    <w:rsid w:val="0AC615E6"/>
    <w:rsid w:val="0B596D61"/>
    <w:rsid w:val="0B686395"/>
    <w:rsid w:val="0B923EB9"/>
    <w:rsid w:val="0B956CD5"/>
    <w:rsid w:val="0BDA02A9"/>
    <w:rsid w:val="0BFD23A0"/>
    <w:rsid w:val="0C5A296F"/>
    <w:rsid w:val="0C6F1EE7"/>
    <w:rsid w:val="0C7C742D"/>
    <w:rsid w:val="0C873133"/>
    <w:rsid w:val="0C961113"/>
    <w:rsid w:val="0CA31A14"/>
    <w:rsid w:val="0CDB347F"/>
    <w:rsid w:val="0CDC3F19"/>
    <w:rsid w:val="0D621BF9"/>
    <w:rsid w:val="0D7B0244"/>
    <w:rsid w:val="0DDA6377"/>
    <w:rsid w:val="0E054667"/>
    <w:rsid w:val="0E9345F5"/>
    <w:rsid w:val="0E97539D"/>
    <w:rsid w:val="0EAB75B3"/>
    <w:rsid w:val="0ECF3031"/>
    <w:rsid w:val="0F296101"/>
    <w:rsid w:val="0F334EC9"/>
    <w:rsid w:val="0F3924BA"/>
    <w:rsid w:val="0F7159FA"/>
    <w:rsid w:val="0FA54784"/>
    <w:rsid w:val="10AF1D60"/>
    <w:rsid w:val="10F17C33"/>
    <w:rsid w:val="111C5253"/>
    <w:rsid w:val="120852D4"/>
    <w:rsid w:val="12307CB5"/>
    <w:rsid w:val="126A24E0"/>
    <w:rsid w:val="12B17E4D"/>
    <w:rsid w:val="130A7FB4"/>
    <w:rsid w:val="135C097A"/>
    <w:rsid w:val="136E0BA9"/>
    <w:rsid w:val="13BC3FD8"/>
    <w:rsid w:val="13C23137"/>
    <w:rsid w:val="13D30DC2"/>
    <w:rsid w:val="142F1AB1"/>
    <w:rsid w:val="144421A2"/>
    <w:rsid w:val="145F1E72"/>
    <w:rsid w:val="146E6B50"/>
    <w:rsid w:val="149C7DE2"/>
    <w:rsid w:val="14B7112A"/>
    <w:rsid w:val="14CB14C7"/>
    <w:rsid w:val="14D07C90"/>
    <w:rsid w:val="14D67E1E"/>
    <w:rsid w:val="14DA741F"/>
    <w:rsid w:val="14F4161D"/>
    <w:rsid w:val="152777E4"/>
    <w:rsid w:val="152F71EF"/>
    <w:rsid w:val="15757437"/>
    <w:rsid w:val="15ED1262"/>
    <w:rsid w:val="15EE2418"/>
    <w:rsid w:val="16BB6463"/>
    <w:rsid w:val="16FA31A3"/>
    <w:rsid w:val="17493535"/>
    <w:rsid w:val="175D48C5"/>
    <w:rsid w:val="17631A58"/>
    <w:rsid w:val="176D39E7"/>
    <w:rsid w:val="17713165"/>
    <w:rsid w:val="17D8096C"/>
    <w:rsid w:val="184F032F"/>
    <w:rsid w:val="1858727D"/>
    <w:rsid w:val="185B78B0"/>
    <w:rsid w:val="18765A65"/>
    <w:rsid w:val="18792B1B"/>
    <w:rsid w:val="18CC0F55"/>
    <w:rsid w:val="18D71029"/>
    <w:rsid w:val="1926409E"/>
    <w:rsid w:val="19284707"/>
    <w:rsid w:val="192A720D"/>
    <w:rsid w:val="19486F7C"/>
    <w:rsid w:val="1A375DA8"/>
    <w:rsid w:val="1B0858F9"/>
    <w:rsid w:val="1B281CDC"/>
    <w:rsid w:val="1BA24015"/>
    <w:rsid w:val="1C096524"/>
    <w:rsid w:val="1C0D4398"/>
    <w:rsid w:val="1C21336F"/>
    <w:rsid w:val="1C253E5D"/>
    <w:rsid w:val="1C3B7815"/>
    <w:rsid w:val="1CB03971"/>
    <w:rsid w:val="1CCC152C"/>
    <w:rsid w:val="1CE85D34"/>
    <w:rsid w:val="1D012BB7"/>
    <w:rsid w:val="1D3468F9"/>
    <w:rsid w:val="1D410293"/>
    <w:rsid w:val="1D7E60F5"/>
    <w:rsid w:val="1D7F67FE"/>
    <w:rsid w:val="1DD90A23"/>
    <w:rsid w:val="1DFB0CEB"/>
    <w:rsid w:val="1E6B03EF"/>
    <w:rsid w:val="1E7C51ED"/>
    <w:rsid w:val="1E8446FA"/>
    <w:rsid w:val="1EE92423"/>
    <w:rsid w:val="1FF86F5B"/>
    <w:rsid w:val="20177557"/>
    <w:rsid w:val="20210D51"/>
    <w:rsid w:val="2028652F"/>
    <w:rsid w:val="203500A8"/>
    <w:rsid w:val="20353900"/>
    <w:rsid w:val="203A2B39"/>
    <w:rsid w:val="20486E2E"/>
    <w:rsid w:val="204A63BE"/>
    <w:rsid w:val="206D2B69"/>
    <w:rsid w:val="20A51E4D"/>
    <w:rsid w:val="20A72045"/>
    <w:rsid w:val="20FF6312"/>
    <w:rsid w:val="21050555"/>
    <w:rsid w:val="215331FE"/>
    <w:rsid w:val="216C2C9F"/>
    <w:rsid w:val="21C24348"/>
    <w:rsid w:val="21EB7BDD"/>
    <w:rsid w:val="221F7172"/>
    <w:rsid w:val="22255A8C"/>
    <w:rsid w:val="22796BD4"/>
    <w:rsid w:val="22887E8E"/>
    <w:rsid w:val="22A243CB"/>
    <w:rsid w:val="22C513C4"/>
    <w:rsid w:val="22D91B54"/>
    <w:rsid w:val="22EA15CD"/>
    <w:rsid w:val="236C6787"/>
    <w:rsid w:val="23794906"/>
    <w:rsid w:val="239340D0"/>
    <w:rsid w:val="24067170"/>
    <w:rsid w:val="24562BBD"/>
    <w:rsid w:val="24B40A4E"/>
    <w:rsid w:val="24B7302C"/>
    <w:rsid w:val="24E37064"/>
    <w:rsid w:val="25250AB7"/>
    <w:rsid w:val="25526483"/>
    <w:rsid w:val="25FA7FB5"/>
    <w:rsid w:val="26457440"/>
    <w:rsid w:val="265A6D93"/>
    <w:rsid w:val="26632A17"/>
    <w:rsid w:val="27245092"/>
    <w:rsid w:val="27685EB4"/>
    <w:rsid w:val="278438E5"/>
    <w:rsid w:val="278A6EDD"/>
    <w:rsid w:val="27AC40C0"/>
    <w:rsid w:val="27B969DF"/>
    <w:rsid w:val="27D306F1"/>
    <w:rsid w:val="27DB66BC"/>
    <w:rsid w:val="280952B0"/>
    <w:rsid w:val="2836450A"/>
    <w:rsid w:val="28AC6852"/>
    <w:rsid w:val="28DB23E5"/>
    <w:rsid w:val="28DE69F9"/>
    <w:rsid w:val="293B2E83"/>
    <w:rsid w:val="293B3029"/>
    <w:rsid w:val="2962430E"/>
    <w:rsid w:val="29A242B7"/>
    <w:rsid w:val="29B83460"/>
    <w:rsid w:val="29FA0737"/>
    <w:rsid w:val="2A1D46B6"/>
    <w:rsid w:val="2A27387F"/>
    <w:rsid w:val="2A490B81"/>
    <w:rsid w:val="2A7D080F"/>
    <w:rsid w:val="2AB424F4"/>
    <w:rsid w:val="2ABF71AA"/>
    <w:rsid w:val="2AC83A90"/>
    <w:rsid w:val="2AF85110"/>
    <w:rsid w:val="2B792D7D"/>
    <w:rsid w:val="2B833718"/>
    <w:rsid w:val="2B9A5A07"/>
    <w:rsid w:val="2BB620E7"/>
    <w:rsid w:val="2C322135"/>
    <w:rsid w:val="2CF577ED"/>
    <w:rsid w:val="2D52499B"/>
    <w:rsid w:val="2D600E06"/>
    <w:rsid w:val="2D7D5151"/>
    <w:rsid w:val="2D875F90"/>
    <w:rsid w:val="2DB24C88"/>
    <w:rsid w:val="2DCC7D6A"/>
    <w:rsid w:val="2DD32CB9"/>
    <w:rsid w:val="2E04084C"/>
    <w:rsid w:val="2E1460FB"/>
    <w:rsid w:val="2EAD6F57"/>
    <w:rsid w:val="2EB536D8"/>
    <w:rsid w:val="2F2A6BCB"/>
    <w:rsid w:val="3014513A"/>
    <w:rsid w:val="302C57EC"/>
    <w:rsid w:val="30BE0B2F"/>
    <w:rsid w:val="30F431BB"/>
    <w:rsid w:val="30F969CE"/>
    <w:rsid w:val="315C1290"/>
    <w:rsid w:val="31C90AB9"/>
    <w:rsid w:val="31EC2D0C"/>
    <w:rsid w:val="31FC68FC"/>
    <w:rsid w:val="32117E86"/>
    <w:rsid w:val="321C24F1"/>
    <w:rsid w:val="325237CE"/>
    <w:rsid w:val="32561085"/>
    <w:rsid w:val="3287708A"/>
    <w:rsid w:val="32950BFF"/>
    <w:rsid w:val="32B41BE4"/>
    <w:rsid w:val="32BB3A95"/>
    <w:rsid w:val="32C268F0"/>
    <w:rsid w:val="32C6487C"/>
    <w:rsid w:val="34690583"/>
    <w:rsid w:val="34793A1C"/>
    <w:rsid w:val="34E55905"/>
    <w:rsid w:val="34F3200A"/>
    <w:rsid w:val="35226702"/>
    <w:rsid w:val="353D7F83"/>
    <w:rsid w:val="35431A3E"/>
    <w:rsid w:val="358A7183"/>
    <w:rsid w:val="35C5106A"/>
    <w:rsid w:val="35DD27E8"/>
    <w:rsid w:val="35E7527E"/>
    <w:rsid w:val="35EA506E"/>
    <w:rsid w:val="36291655"/>
    <w:rsid w:val="365470A9"/>
    <w:rsid w:val="367045FD"/>
    <w:rsid w:val="36A06D23"/>
    <w:rsid w:val="36AF6C5F"/>
    <w:rsid w:val="36D76E54"/>
    <w:rsid w:val="36E70D89"/>
    <w:rsid w:val="37060518"/>
    <w:rsid w:val="37307D23"/>
    <w:rsid w:val="374E46CA"/>
    <w:rsid w:val="374F2F11"/>
    <w:rsid w:val="379C1045"/>
    <w:rsid w:val="37AD24A2"/>
    <w:rsid w:val="37B778E0"/>
    <w:rsid w:val="382C2F15"/>
    <w:rsid w:val="3845755F"/>
    <w:rsid w:val="386D7E8B"/>
    <w:rsid w:val="389C3831"/>
    <w:rsid w:val="38EC3741"/>
    <w:rsid w:val="392503FB"/>
    <w:rsid w:val="397B7D79"/>
    <w:rsid w:val="39835E46"/>
    <w:rsid w:val="398E69FC"/>
    <w:rsid w:val="39DB3766"/>
    <w:rsid w:val="39F51976"/>
    <w:rsid w:val="3A070833"/>
    <w:rsid w:val="3A0A42D2"/>
    <w:rsid w:val="3A20518F"/>
    <w:rsid w:val="3A2332C9"/>
    <w:rsid w:val="3A5740C2"/>
    <w:rsid w:val="3A5D1500"/>
    <w:rsid w:val="3BE437FB"/>
    <w:rsid w:val="3C906D47"/>
    <w:rsid w:val="3CE065C5"/>
    <w:rsid w:val="3D245E27"/>
    <w:rsid w:val="3D254179"/>
    <w:rsid w:val="3D3F5919"/>
    <w:rsid w:val="3D5C31FC"/>
    <w:rsid w:val="3D8449A1"/>
    <w:rsid w:val="3D9E3932"/>
    <w:rsid w:val="3DF70138"/>
    <w:rsid w:val="3E0C4997"/>
    <w:rsid w:val="3E32264F"/>
    <w:rsid w:val="3E7E6654"/>
    <w:rsid w:val="3E8D1F3F"/>
    <w:rsid w:val="3EC160FA"/>
    <w:rsid w:val="3F1A36EF"/>
    <w:rsid w:val="3F3C59A8"/>
    <w:rsid w:val="3FB40F25"/>
    <w:rsid w:val="401001D5"/>
    <w:rsid w:val="40617D3E"/>
    <w:rsid w:val="40A24547"/>
    <w:rsid w:val="40DD5406"/>
    <w:rsid w:val="41053630"/>
    <w:rsid w:val="411272B9"/>
    <w:rsid w:val="41181EBB"/>
    <w:rsid w:val="413C266E"/>
    <w:rsid w:val="41436BE9"/>
    <w:rsid w:val="41916579"/>
    <w:rsid w:val="41B845D5"/>
    <w:rsid w:val="41E36510"/>
    <w:rsid w:val="41E558AB"/>
    <w:rsid w:val="42025547"/>
    <w:rsid w:val="42241380"/>
    <w:rsid w:val="42507CFC"/>
    <w:rsid w:val="42842641"/>
    <w:rsid w:val="42E51D42"/>
    <w:rsid w:val="4303280C"/>
    <w:rsid w:val="432452B4"/>
    <w:rsid w:val="435275BA"/>
    <w:rsid w:val="43856009"/>
    <w:rsid w:val="43AE41E1"/>
    <w:rsid w:val="4407106E"/>
    <w:rsid w:val="448460A4"/>
    <w:rsid w:val="44AD2E35"/>
    <w:rsid w:val="44C6333D"/>
    <w:rsid w:val="44F6667C"/>
    <w:rsid w:val="44F672EF"/>
    <w:rsid w:val="45034F79"/>
    <w:rsid w:val="4554098B"/>
    <w:rsid w:val="458560E2"/>
    <w:rsid w:val="45E025C1"/>
    <w:rsid w:val="467001B9"/>
    <w:rsid w:val="46920466"/>
    <w:rsid w:val="46E26B27"/>
    <w:rsid w:val="471A625D"/>
    <w:rsid w:val="472F3F39"/>
    <w:rsid w:val="473B4D76"/>
    <w:rsid w:val="475C4759"/>
    <w:rsid w:val="476F0470"/>
    <w:rsid w:val="47A0607E"/>
    <w:rsid w:val="482A68F0"/>
    <w:rsid w:val="48366A80"/>
    <w:rsid w:val="487235D1"/>
    <w:rsid w:val="488B044B"/>
    <w:rsid w:val="48B22DEF"/>
    <w:rsid w:val="48B73986"/>
    <w:rsid w:val="48D20A29"/>
    <w:rsid w:val="490D5824"/>
    <w:rsid w:val="49677A99"/>
    <w:rsid w:val="499B1C16"/>
    <w:rsid w:val="49A330F2"/>
    <w:rsid w:val="49C4502F"/>
    <w:rsid w:val="4A404E67"/>
    <w:rsid w:val="4A466B63"/>
    <w:rsid w:val="4B532C27"/>
    <w:rsid w:val="4B813FC9"/>
    <w:rsid w:val="4BB26383"/>
    <w:rsid w:val="4BDD62D8"/>
    <w:rsid w:val="4C2A0631"/>
    <w:rsid w:val="4C500225"/>
    <w:rsid w:val="4C8F7415"/>
    <w:rsid w:val="4CE66408"/>
    <w:rsid w:val="4CF8090C"/>
    <w:rsid w:val="4D121DB1"/>
    <w:rsid w:val="4D433B68"/>
    <w:rsid w:val="4D4963D5"/>
    <w:rsid w:val="4D611B4D"/>
    <w:rsid w:val="4DDD5524"/>
    <w:rsid w:val="4E1C7FE4"/>
    <w:rsid w:val="4E3F46FE"/>
    <w:rsid w:val="4E594982"/>
    <w:rsid w:val="4EB220AB"/>
    <w:rsid w:val="4ED877F5"/>
    <w:rsid w:val="4EEA3190"/>
    <w:rsid w:val="4F1A1E17"/>
    <w:rsid w:val="4F1C79C3"/>
    <w:rsid w:val="4F8F0EC7"/>
    <w:rsid w:val="4FA84483"/>
    <w:rsid w:val="4FE01399"/>
    <w:rsid w:val="50135FEE"/>
    <w:rsid w:val="501871CB"/>
    <w:rsid w:val="50725ED4"/>
    <w:rsid w:val="50E1700B"/>
    <w:rsid w:val="511C3467"/>
    <w:rsid w:val="51C431A9"/>
    <w:rsid w:val="52041C90"/>
    <w:rsid w:val="52405EBE"/>
    <w:rsid w:val="529D7712"/>
    <w:rsid w:val="5304554A"/>
    <w:rsid w:val="53395D6F"/>
    <w:rsid w:val="53753DDA"/>
    <w:rsid w:val="53CB14E5"/>
    <w:rsid w:val="540F2E09"/>
    <w:rsid w:val="54173BBC"/>
    <w:rsid w:val="54771050"/>
    <w:rsid w:val="54CB4CF4"/>
    <w:rsid w:val="559D22F1"/>
    <w:rsid w:val="55E40E17"/>
    <w:rsid w:val="560617A9"/>
    <w:rsid w:val="56095F34"/>
    <w:rsid w:val="56C04012"/>
    <w:rsid w:val="57060078"/>
    <w:rsid w:val="577D3CC0"/>
    <w:rsid w:val="57887024"/>
    <w:rsid w:val="58051478"/>
    <w:rsid w:val="584979A7"/>
    <w:rsid w:val="58601847"/>
    <w:rsid w:val="58767199"/>
    <w:rsid w:val="588545AC"/>
    <w:rsid w:val="589F1B69"/>
    <w:rsid w:val="58A00E3D"/>
    <w:rsid w:val="58B048BA"/>
    <w:rsid w:val="58B44694"/>
    <w:rsid w:val="58D37846"/>
    <w:rsid w:val="58E40B99"/>
    <w:rsid w:val="58F32ED1"/>
    <w:rsid w:val="590464C3"/>
    <w:rsid w:val="5950510D"/>
    <w:rsid w:val="597F4B86"/>
    <w:rsid w:val="59D803CD"/>
    <w:rsid w:val="59DE6025"/>
    <w:rsid w:val="59E843FC"/>
    <w:rsid w:val="5A7914CD"/>
    <w:rsid w:val="5AD75C6C"/>
    <w:rsid w:val="5B102138"/>
    <w:rsid w:val="5B6C6E5B"/>
    <w:rsid w:val="5B7C71A8"/>
    <w:rsid w:val="5BD4436C"/>
    <w:rsid w:val="5BE85E7A"/>
    <w:rsid w:val="5BEC5F82"/>
    <w:rsid w:val="5C1F2E1E"/>
    <w:rsid w:val="5C6E1E8C"/>
    <w:rsid w:val="5C726720"/>
    <w:rsid w:val="5CA03032"/>
    <w:rsid w:val="5CCA732A"/>
    <w:rsid w:val="5CCB65E9"/>
    <w:rsid w:val="5CE14409"/>
    <w:rsid w:val="5D4C0C25"/>
    <w:rsid w:val="5D4E06D0"/>
    <w:rsid w:val="5D4F33AE"/>
    <w:rsid w:val="5D6D04AD"/>
    <w:rsid w:val="5DC62D11"/>
    <w:rsid w:val="5DCE63A1"/>
    <w:rsid w:val="5DCF35BF"/>
    <w:rsid w:val="5DEA3C1C"/>
    <w:rsid w:val="5E761C8C"/>
    <w:rsid w:val="5E8A1D88"/>
    <w:rsid w:val="5F303DDD"/>
    <w:rsid w:val="5F4551FD"/>
    <w:rsid w:val="5F9E0E11"/>
    <w:rsid w:val="5FAB6F5D"/>
    <w:rsid w:val="60110E18"/>
    <w:rsid w:val="605A6879"/>
    <w:rsid w:val="60636240"/>
    <w:rsid w:val="607C02CA"/>
    <w:rsid w:val="60F53F21"/>
    <w:rsid w:val="61122261"/>
    <w:rsid w:val="61145557"/>
    <w:rsid w:val="616055A0"/>
    <w:rsid w:val="6184193F"/>
    <w:rsid w:val="61BF6D6A"/>
    <w:rsid w:val="62002884"/>
    <w:rsid w:val="624A622F"/>
    <w:rsid w:val="62A50A9C"/>
    <w:rsid w:val="63240392"/>
    <w:rsid w:val="63411F2C"/>
    <w:rsid w:val="63944083"/>
    <w:rsid w:val="6441356F"/>
    <w:rsid w:val="645A5BE8"/>
    <w:rsid w:val="64645D98"/>
    <w:rsid w:val="64864222"/>
    <w:rsid w:val="64F74B17"/>
    <w:rsid w:val="653E09AD"/>
    <w:rsid w:val="65456DBD"/>
    <w:rsid w:val="655751E0"/>
    <w:rsid w:val="65AB2B63"/>
    <w:rsid w:val="65C3635F"/>
    <w:rsid w:val="65E0613D"/>
    <w:rsid w:val="660B1F32"/>
    <w:rsid w:val="6623543A"/>
    <w:rsid w:val="66602C97"/>
    <w:rsid w:val="669C06FE"/>
    <w:rsid w:val="670767B9"/>
    <w:rsid w:val="6732634E"/>
    <w:rsid w:val="673A46AD"/>
    <w:rsid w:val="675A53AC"/>
    <w:rsid w:val="679F2254"/>
    <w:rsid w:val="68073321"/>
    <w:rsid w:val="689A69AA"/>
    <w:rsid w:val="6906420A"/>
    <w:rsid w:val="69685F62"/>
    <w:rsid w:val="69E167AE"/>
    <w:rsid w:val="6A2D6B5A"/>
    <w:rsid w:val="6A555CDF"/>
    <w:rsid w:val="6A687ADB"/>
    <w:rsid w:val="6A6F44E0"/>
    <w:rsid w:val="6AB038E6"/>
    <w:rsid w:val="6AEC5B23"/>
    <w:rsid w:val="6B702979"/>
    <w:rsid w:val="6B9E2823"/>
    <w:rsid w:val="6BDF4902"/>
    <w:rsid w:val="6C5A5AB8"/>
    <w:rsid w:val="6CE02BE5"/>
    <w:rsid w:val="6D5D3CA4"/>
    <w:rsid w:val="6D7F3A95"/>
    <w:rsid w:val="6E014538"/>
    <w:rsid w:val="6E1C1582"/>
    <w:rsid w:val="6E576141"/>
    <w:rsid w:val="6EAE4AC9"/>
    <w:rsid w:val="6EB84483"/>
    <w:rsid w:val="6F780B06"/>
    <w:rsid w:val="6FA337E9"/>
    <w:rsid w:val="70185BF1"/>
    <w:rsid w:val="704114F9"/>
    <w:rsid w:val="70CC52F3"/>
    <w:rsid w:val="70EE1B1D"/>
    <w:rsid w:val="71110CB3"/>
    <w:rsid w:val="712F2C90"/>
    <w:rsid w:val="71457253"/>
    <w:rsid w:val="714C35CB"/>
    <w:rsid w:val="717D49AA"/>
    <w:rsid w:val="718B6954"/>
    <w:rsid w:val="71BE3C1E"/>
    <w:rsid w:val="71BF1EAB"/>
    <w:rsid w:val="71E25056"/>
    <w:rsid w:val="72135ED8"/>
    <w:rsid w:val="72485C2F"/>
    <w:rsid w:val="72520EBD"/>
    <w:rsid w:val="72B75EC3"/>
    <w:rsid w:val="73446CB1"/>
    <w:rsid w:val="73AB1F81"/>
    <w:rsid w:val="74195D0A"/>
    <w:rsid w:val="7433750E"/>
    <w:rsid w:val="746A57D9"/>
    <w:rsid w:val="74BB0DE9"/>
    <w:rsid w:val="75534551"/>
    <w:rsid w:val="757449F0"/>
    <w:rsid w:val="757F1A54"/>
    <w:rsid w:val="758058F9"/>
    <w:rsid w:val="759C5B92"/>
    <w:rsid w:val="75B23D64"/>
    <w:rsid w:val="75D51472"/>
    <w:rsid w:val="75F97A75"/>
    <w:rsid w:val="76040399"/>
    <w:rsid w:val="7613796A"/>
    <w:rsid w:val="7655270F"/>
    <w:rsid w:val="765E768E"/>
    <w:rsid w:val="767C5199"/>
    <w:rsid w:val="76832DA7"/>
    <w:rsid w:val="768371E5"/>
    <w:rsid w:val="768A7BA0"/>
    <w:rsid w:val="772E5C7B"/>
    <w:rsid w:val="77CA0A7C"/>
    <w:rsid w:val="780E0EAE"/>
    <w:rsid w:val="783437F2"/>
    <w:rsid w:val="786316D2"/>
    <w:rsid w:val="78B5411D"/>
    <w:rsid w:val="78D146B7"/>
    <w:rsid w:val="7915687B"/>
    <w:rsid w:val="797F420A"/>
    <w:rsid w:val="798E76EC"/>
    <w:rsid w:val="79B271CD"/>
    <w:rsid w:val="7A072E13"/>
    <w:rsid w:val="7A356F99"/>
    <w:rsid w:val="7A7032BF"/>
    <w:rsid w:val="7AB75794"/>
    <w:rsid w:val="7AD91C4F"/>
    <w:rsid w:val="7ADE5D3C"/>
    <w:rsid w:val="7AF11A28"/>
    <w:rsid w:val="7B080E5A"/>
    <w:rsid w:val="7B0C601F"/>
    <w:rsid w:val="7BA7127F"/>
    <w:rsid w:val="7BB0700B"/>
    <w:rsid w:val="7C440367"/>
    <w:rsid w:val="7C605D7C"/>
    <w:rsid w:val="7C6704C2"/>
    <w:rsid w:val="7C6D3A80"/>
    <w:rsid w:val="7C7F2896"/>
    <w:rsid w:val="7CA957A1"/>
    <w:rsid w:val="7CD010E3"/>
    <w:rsid w:val="7CD03AC1"/>
    <w:rsid w:val="7D4905AC"/>
    <w:rsid w:val="7DCF0797"/>
    <w:rsid w:val="7E1652F9"/>
    <w:rsid w:val="7F594F87"/>
    <w:rsid w:val="7F5F75DB"/>
    <w:rsid w:val="7FA725F0"/>
    <w:rsid w:val="7FDE7B28"/>
    <w:rsid w:val="7FF43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qFormat/>
    <w:uiPriority w:val="0"/>
    <w:pPr>
      <w:keepNext/>
      <w:keepLines/>
      <w:numPr>
        <w:ilvl w:val="3"/>
        <w:numId w:val="1"/>
      </w:numPr>
      <w:tabs>
        <w:tab w:val="left" w:pos="1080"/>
      </w:tabs>
      <w:adjustRightInd w:val="0"/>
      <w:spacing w:before="120" w:after="120" w:line="360" w:lineRule="auto"/>
      <w:ind w:left="0" w:firstLine="0"/>
      <w:outlineLvl w:val="3"/>
    </w:pPr>
    <w:rPr>
      <w:rFonts w:ascii="等线 Light" w:hAnsi="等线 Light" w:eastAsia="等线 Light" w:cs="Times New Roman"/>
      <w:b/>
      <w:sz w:val="28"/>
      <w:szCs w:val="28"/>
      <w:lang w:val="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99"/>
    <w:pPr>
      <w:ind w:left="420" w:leftChars="200"/>
    </w:pPr>
  </w:style>
  <w:style w:type="paragraph" w:styleId="7">
    <w:name w:val="Normal Indent"/>
    <w:basedOn w:val="1"/>
    <w:next w:val="1"/>
    <w:qFormat/>
    <w:uiPriority w:val="0"/>
    <w:pPr>
      <w:ind w:firstLine="200" w:firstLineChars="200"/>
    </w:pPr>
  </w:style>
  <w:style w:type="paragraph" w:styleId="8">
    <w:name w:val="annotation text"/>
    <w:basedOn w:val="1"/>
    <w:semiHidden/>
    <w:unhideWhenUsed/>
    <w:qFormat/>
    <w:uiPriority w:val="99"/>
    <w:pPr>
      <w:jc w:val="left"/>
    </w:pPr>
  </w:style>
  <w:style w:type="paragraph" w:styleId="9">
    <w:name w:val="Body Text"/>
    <w:basedOn w:val="1"/>
    <w:next w:val="1"/>
    <w:qFormat/>
    <w:uiPriority w:val="0"/>
    <w:pPr>
      <w:spacing w:after="120"/>
    </w:pPr>
  </w:style>
  <w:style w:type="paragraph" w:styleId="10">
    <w:name w:val="Body Text Indent"/>
    <w:basedOn w:val="1"/>
    <w:link w:val="35"/>
    <w:qFormat/>
    <w:uiPriority w:val="0"/>
    <w:pPr>
      <w:ind w:firstLine="630"/>
    </w:pPr>
    <w:rPr>
      <w:rFonts w:ascii="Times New Roman" w:hAnsi="Times New Roman" w:eastAsia="宋体" w:cs="Times New Roman"/>
      <w:sz w:val="32"/>
      <w:szCs w:val="20"/>
    </w:rPr>
  </w:style>
  <w:style w:type="paragraph" w:styleId="11">
    <w:name w:val="toc 3"/>
    <w:basedOn w:val="1"/>
    <w:next w:val="1"/>
    <w:unhideWhenUsed/>
    <w:qFormat/>
    <w:uiPriority w:val="39"/>
    <w:pPr>
      <w:widowControl/>
      <w:spacing w:after="100" w:line="259" w:lineRule="auto"/>
      <w:ind w:left="440"/>
      <w:jc w:val="left"/>
    </w:pPr>
    <w:rPr>
      <w:rFonts w:cs="Times New Roman"/>
      <w:kern w:val="0"/>
      <w:sz w:val="22"/>
    </w:rPr>
  </w:style>
  <w:style w:type="paragraph" w:styleId="12">
    <w:name w:val="Date"/>
    <w:basedOn w:val="1"/>
    <w:next w:val="1"/>
    <w:link w:val="34"/>
    <w:semiHidden/>
    <w:unhideWhenUsed/>
    <w:qFormat/>
    <w:uiPriority w:val="99"/>
    <w:pPr>
      <w:ind w:left="100" w:leftChars="2500"/>
    </w:pPr>
  </w:style>
  <w:style w:type="paragraph" w:styleId="13">
    <w:name w:val="Balloon Text"/>
    <w:basedOn w:val="1"/>
    <w:link w:val="31"/>
    <w:semiHidden/>
    <w:unhideWhenUsed/>
    <w:qFormat/>
    <w:uiPriority w:val="99"/>
    <w:rPr>
      <w:sz w:val="18"/>
      <w:szCs w:val="18"/>
    </w:r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next w:val="9"/>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Subtitle"/>
    <w:basedOn w:val="1"/>
    <w:next w:val="1"/>
    <w:qFormat/>
    <w:uiPriority w:val="0"/>
    <w:rPr>
      <w:kern w:val="2"/>
      <w:sz w:val="28"/>
    </w:rPr>
  </w:style>
  <w:style w:type="paragraph" w:styleId="18">
    <w:name w:val="toc 2"/>
    <w:basedOn w:val="1"/>
    <w:next w:val="1"/>
    <w:unhideWhenUsed/>
    <w:qFormat/>
    <w:uiPriority w:val="39"/>
    <w:pPr>
      <w:widowControl/>
      <w:spacing w:after="100" w:line="259" w:lineRule="auto"/>
      <w:ind w:left="220"/>
      <w:jc w:val="left"/>
    </w:pPr>
    <w:rPr>
      <w:rFonts w:cs="Times New Roman"/>
      <w:kern w:val="0"/>
      <w:sz w:val="22"/>
    </w:rPr>
  </w:style>
  <w:style w:type="paragraph" w:styleId="19">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0">
    <w:name w:val="Body Text First Indent"/>
    <w:basedOn w:val="9"/>
    <w:qFormat/>
    <w:uiPriority w:val="0"/>
    <w:pPr>
      <w:spacing w:line="360" w:lineRule="auto"/>
      <w:ind w:firstLine="420"/>
    </w:pPr>
    <w:rPr>
      <w:rFonts w:ascii="宋体" w:hAnsi="宋体"/>
      <w:sz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character" w:customStyle="1" w:styleId="25">
    <w:name w:val="标题 1 字符"/>
    <w:basedOn w:val="23"/>
    <w:link w:val="2"/>
    <w:qFormat/>
    <w:uiPriority w:val="9"/>
    <w:rPr>
      <w:b/>
      <w:bCs/>
      <w:kern w:val="44"/>
      <w:sz w:val="44"/>
      <w:szCs w:val="44"/>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sz w:val="21"/>
    </w:rPr>
  </w:style>
  <w:style w:type="paragraph" w:customStyle="1" w:styleId="27">
    <w:name w:val="标题 5（有编号）（绿盟科技）"/>
    <w:basedOn w:val="28"/>
    <w:next w:val="29"/>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2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9">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23"/>
    <w:link w:val="13"/>
    <w:semiHidden/>
    <w:qFormat/>
    <w:uiPriority w:val="99"/>
    <w:rPr>
      <w:sz w:val="18"/>
      <w:szCs w:val="18"/>
    </w:rPr>
  </w:style>
  <w:style w:type="character" w:customStyle="1" w:styleId="32">
    <w:name w:val="页眉 字符"/>
    <w:basedOn w:val="23"/>
    <w:link w:val="15"/>
    <w:qFormat/>
    <w:uiPriority w:val="99"/>
    <w:rPr>
      <w:sz w:val="18"/>
      <w:szCs w:val="18"/>
    </w:rPr>
  </w:style>
  <w:style w:type="character" w:customStyle="1" w:styleId="33">
    <w:name w:val="页脚 字符"/>
    <w:basedOn w:val="23"/>
    <w:link w:val="14"/>
    <w:qFormat/>
    <w:uiPriority w:val="99"/>
    <w:rPr>
      <w:sz w:val="18"/>
      <w:szCs w:val="18"/>
    </w:rPr>
  </w:style>
  <w:style w:type="character" w:customStyle="1" w:styleId="34">
    <w:name w:val="日期 字符"/>
    <w:basedOn w:val="23"/>
    <w:link w:val="12"/>
    <w:semiHidden/>
    <w:qFormat/>
    <w:uiPriority w:val="99"/>
  </w:style>
  <w:style w:type="character" w:customStyle="1" w:styleId="35">
    <w:name w:val="正文文本缩进 字符"/>
    <w:basedOn w:val="23"/>
    <w:link w:val="10"/>
    <w:qFormat/>
    <w:uiPriority w:val="0"/>
    <w:rPr>
      <w:rFonts w:ascii="Times New Roman" w:hAnsi="Times New Roman" w:eastAsia="宋体" w:cs="Times New Roman"/>
      <w:sz w:val="32"/>
      <w:szCs w:val="20"/>
    </w:rPr>
  </w:style>
  <w:style w:type="paragraph" w:customStyle="1" w:styleId="36">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styleId="37">
    <w:name w:val="List Paragraph"/>
    <w:basedOn w:val="1"/>
    <w:qFormat/>
    <w:uiPriority w:val="34"/>
    <w:pPr>
      <w:ind w:firstLine="420" w:firstLineChars="200"/>
    </w:pPr>
  </w:style>
  <w:style w:type="character" w:customStyle="1" w:styleId="38">
    <w:name w:val="标题 3 字符"/>
    <w:basedOn w:val="23"/>
    <w:link w:val="4"/>
    <w:qFormat/>
    <w:uiPriority w:val="0"/>
    <w:rPr>
      <w:rFonts w:ascii="Times New Roman" w:hAnsi="Times New Roman" w:eastAsia="宋体" w:cs="Times New Roman"/>
      <w:b/>
      <w:bCs/>
      <w:sz w:val="32"/>
      <w:szCs w:val="32"/>
    </w:rPr>
  </w:style>
  <w:style w:type="paragraph" w:customStyle="1" w:styleId="39">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40">
    <w:name w:val="Unresolved Mention"/>
    <w:basedOn w:val="23"/>
    <w:semiHidden/>
    <w:unhideWhenUsed/>
    <w:qFormat/>
    <w:uiPriority w:val="99"/>
    <w:rPr>
      <w:color w:val="605E5C"/>
      <w:shd w:val="clear" w:color="auto" w:fill="E1DFDD"/>
    </w:rPr>
  </w:style>
  <w:style w:type="paragraph" w:customStyle="1" w:styleId="41">
    <w:name w:val="Default"/>
    <w:link w:val="42"/>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42">
    <w:name w:val="Default Char"/>
    <w:link w:val="41"/>
    <w:qFormat/>
    <w:uiPriority w:val="0"/>
    <w:rPr>
      <w:rFonts w:ascii="宋体" w:hAnsi="Times New Roman" w:eastAsia="宋体" w:cs="宋体"/>
      <w:color w:val="000000"/>
      <w:kern w:val="0"/>
      <w:sz w:val="24"/>
      <w:szCs w:val="24"/>
    </w:rPr>
  </w:style>
  <w:style w:type="paragraph" w:customStyle="1" w:styleId="43">
    <w:name w:val="Normal_0"/>
    <w:qFormat/>
    <w:uiPriority w:val="0"/>
    <w:rPr>
      <w:rFonts w:ascii="Times New Roman" w:hAnsi="Times New Roman" w:eastAsia="Times New Roman" w:cs="Times New Roman"/>
      <w:kern w:val="0"/>
      <w:sz w:val="24"/>
      <w:szCs w:val="24"/>
      <w:lang w:val="en-US" w:eastAsia="zh-CN" w:bidi="ar-SA"/>
    </w:rPr>
  </w:style>
  <w:style w:type="paragraph" w:customStyle="1" w:styleId="44">
    <w:name w:val="文档正文"/>
    <w:basedOn w:val="1"/>
    <w:qFormat/>
    <w:uiPriority w:val="0"/>
    <w:pPr>
      <w:adjustRightInd w:val="0"/>
      <w:spacing w:line="480" w:lineRule="atLeast"/>
      <w:textAlignment w:val="baseline"/>
    </w:pPr>
    <w:rPr>
      <w:rFonts w:ascii="Arial" w:hAnsi="Arial"/>
      <w:kern w:val="0"/>
    </w:rPr>
  </w:style>
  <w:style w:type="paragraph" w:customStyle="1" w:styleId="45">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46">
    <w:name w:val="02、首行缩进2字符正文"/>
    <w:basedOn w:val="1"/>
    <w:qFormat/>
    <w:uiPriority w:val="0"/>
    <w:pPr>
      <w:tabs>
        <w:tab w:val="left" w:pos="0"/>
      </w:tabs>
      <w:wordWrap w:val="0"/>
      <w:topLinePunct/>
      <w:ind w:firstLine="480" w:firstLineChars="200"/>
    </w:pPr>
  </w:style>
  <w:style w:type="paragraph" w:customStyle="1" w:styleId="47">
    <w:name w:val="样式2"/>
    <w:basedOn w:val="48"/>
    <w:qFormat/>
    <w:uiPriority w:val="0"/>
    <w:pPr>
      <w:keepLines/>
      <w:spacing w:before="240" w:after="120" w:line="360" w:lineRule="auto"/>
      <w:ind w:firstLine="0" w:firstLineChars="0"/>
      <w:contextualSpacing/>
      <w:outlineLvl w:val="1"/>
    </w:pPr>
    <w:rPr>
      <w:rFonts w:ascii="黑体" w:hAnsi="黑体" w:eastAsia="黑体"/>
      <w:sz w:val="32"/>
      <w:szCs w:val="36"/>
      <w:lang w:eastAsia="en-US" w:bidi="en-US"/>
    </w:rPr>
  </w:style>
  <w:style w:type="paragraph" w:customStyle="1" w:styleId="48">
    <w:name w:val="列出段落2"/>
    <w:basedOn w:val="1"/>
    <w:unhideWhenUsed/>
    <w:qFormat/>
    <w:uiPriority w:val="99"/>
    <w:pPr>
      <w:ind w:firstLine="420" w:firstLineChars="200"/>
    </w:pPr>
  </w:style>
  <w:style w:type="paragraph" w:customStyle="1" w:styleId="49">
    <w:name w:val="列出段落1"/>
    <w:basedOn w:val="1"/>
    <w:qFormat/>
    <w:uiPriority w:val="99"/>
    <w:pPr>
      <w:ind w:firstLine="420" w:firstLineChars="200"/>
    </w:pPr>
    <w:rPr>
      <w:rFonts w:eastAsiaTheme="minorEastAsia" w:cstheme="minorBidi"/>
    </w:rPr>
  </w:style>
  <w:style w:type="paragraph" w:customStyle="1" w:styleId="50">
    <w:name w:val="样式3"/>
    <w:basedOn w:val="1"/>
    <w:qFormat/>
    <w:uiPriority w:val="0"/>
    <w:pPr>
      <w:spacing w:line="360" w:lineRule="auto"/>
      <w:jc w:val="center"/>
    </w:pPr>
    <w:rPr>
      <w:rFonts w:hint="eastAsia" w:ascii="Times New Roman" w:hAnsi="Times New Roman" w:eastAsia="仿宋" w:cs="Times New Roman"/>
      <w:kern w:val="0"/>
      <w:sz w:val="22"/>
      <w:lang w:val="zh-CN"/>
    </w:rPr>
  </w:style>
  <w:style w:type="paragraph" w:customStyle="1" w:styleId="51">
    <w:name w:val="表格"/>
    <w:basedOn w:val="1"/>
    <w:qFormat/>
    <w:uiPriority w:val="0"/>
    <w:pPr>
      <w:spacing w:line="400" w:lineRule="exact"/>
    </w:pPr>
    <w:rPr>
      <w:sz w:val="24"/>
      <w:szCs w:val="24"/>
    </w:rPr>
  </w:style>
  <w:style w:type="paragraph" w:customStyle="1" w:styleId="52">
    <w:name w:val="_正文段落"/>
    <w:basedOn w:val="1"/>
    <w:qFormat/>
    <w:uiPriority w:val="0"/>
    <w:pPr>
      <w:spacing w:beforeLines="15" w:afterLines="15" w:line="360" w:lineRule="auto"/>
      <w:ind w:firstLine="200" w:firstLineChars="200"/>
    </w:pPr>
    <w:rPr>
      <w:rFonts w:ascii="宋体" w:eastAsia="仿宋_GB2312"/>
      <w:kern w:val="0"/>
      <w:sz w:val="28"/>
    </w:rPr>
  </w:style>
  <w:style w:type="table" w:customStyle="1" w:styleId="53">
    <w:name w:val="Table Normal"/>
    <w:semiHidden/>
    <w:unhideWhenUsed/>
    <w:qFormat/>
    <w:uiPriority w:val="0"/>
    <w:tblPr>
      <w:tblCellMar>
        <w:top w:w="0" w:type="dxa"/>
        <w:left w:w="0" w:type="dxa"/>
        <w:bottom w:w="0" w:type="dxa"/>
        <w:right w:w="0" w:type="dxa"/>
      </w:tblCellMar>
    </w:tblPr>
  </w:style>
  <w:style w:type="paragraph" w:customStyle="1" w:styleId="54">
    <w:name w:val="GW-正文"/>
    <w:basedOn w:val="1"/>
    <w:autoRedefine/>
    <w:qFormat/>
    <w:uiPriority w:val="0"/>
    <w:pPr>
      <w:spacing w:line="360" w:lineRule="auto"/>
      <w:ind w:firstLine="200" w:firstLineChars="200"/>
    </w:pPr>
    <w:rPr>
      <w:rFonts w:eastAsia="仿宋_GB2312"/>
      <w:sz w:val="24"/>
    </w:rPr>
  </w:style>
  <w:style w:type="paragraph" w:customStyle="1" w:styleId="55">
    <w:name w:val="*正文"/>
    <w:basedOn w:val="1"/>
    <w:autoRedefine/>
    <w:qFormat/>
    <w:uiPriority w:val="0"/>
    <w:pPr>
      <w:spacing w:line="360" w:lineRule="auto"/>
      <w:ind w:firstLine="200" w:firstLineChars="200"/>
    </w:pPr>
    <w:rPr>
      <w:rFonts w:hAnsi="宋体"/>
      <w:sz w:val="22"/>
    </w:rPr>
  </w:style>
  <w:style w:type="paragraph" w:customStyle="1" w:styleId="56">
    <w:name w:val="正文无缩进"/>
    <w:basedOn w:val="1"/>
    <w:qFormat/>
    <w:uiPriority w:val="0"/>
    <w:pPr>
      <w:spacing w:line="400" w:lineRule="exact"/>
      <w:ind w:firstLine="0" w:firstLineChars="0"/>
      <w:jc w:val="center"/>
    </w:pPr>
    <w:rPr>
      <w:rFonts w:ascii="仿宋" w:hAnsi="仿宋" w:eastAsia="仿宋"/>
    </w:rPr>
  </w:style>
  <w:style w:type="paragraph" w:customStyle="1" w:styleId="57">
    <w:name w:val="样式 首行缩进:  2 字符"/>
    <w:basedOn w:val="1"/>
    <w:qFormat/>
    <w:uiPriority w:val="0"/>
    <w:pPr>
      <w:tabs>
        <w:tab w:val="left" w:pos="0"/>
      </w:tabs>
      <w:spacing w:line="400" w:lineRule="exact"/>
      <w:ind w:firstLine="200" w:firstLineChars="200"/>
    </w:pPr>
    <w:rPr>
      <w:rFonts w:cs="宋体"/>
      <w:sz w:val="24"/>
    </w:rPr>
  </w:style>
  <w:style w:type="paragraph" w:customStyle="1" w:styleId="58">
    <w:name w:val="01、普通正文"/>
    <w:basedOn w:val="1"/>
    <w:qFormat/>
    <w:uiPriority w:val="0"/>
    <w:pPr>
      <w:tabs>
        <w:tab w:val="left" w:pos="0"/>
      </w:tabs>
      <w:wordWrap w:val="0"/>
      <w:topLinePunct/>
      <w:ind w:firstLine="0" w:firstLineChars="0"/>
    </w:pPr>
    <w:rPr>
      <w:rFonts w:ascii="宋体" w:hAnsi="宋体" w:eastAsia="宋体"/>
      <w:snapToGrid w:val="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2CEB55-F1C8-46AF-B997-3F6499B7070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62</Pages>
  <Words>1330</Words>
  <Characters>1576</Characters>
  <Lines>262</Lines>
  <Paragraphs>73</Paragraphs>
  <TotalTime>10</TotalTime>
  <ScaleCrop>false</ScaleCrop>
  <LinksUpToDate>false</LinksUpToDate>
  <CharactersWithSpaces>1599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2015-05-26T03:21:00Z</dcterms:created>
  <dc:creator>Zh</dc:creator>
  <cp:lastModifiedBy>WPS_1681879832</cp:lastModifiedBy>
  <cp:lastPrinted>2022-04-14T06:10:00Z</cp:lastPrinted>
  <dcterms:modified xsi:type="dcterms:W3CDTF">2024-11-04T02:11:44Z</dcterms:modified>
  <cp:revision>1565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5ABC9E3525DD4CA29E61B5C7917F6BD6_13</vt:lpwstr>
  </property>
</Properties>
</file>