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4"/>
        <w:spacing w:before="120" w:beforeLines="50" w:line="360" w:lineRule="auto"/>
        <w:rPr>
          <w:b/>
          <w:bCs/>
          <w:sz w:val="40"/>
          <w:szCs w:val="40"/>
        </w:rPr>
      </w:pPr>
      <w:bookmarkStart w:id="0" w:name="_Toc5725"/>
      <w:bookmarkStart w:id="1" w:name="_Toc578"/>
      <w:bookmarkStart w:id="2" w:name="_Toc6478"/>
      <w:r>
        <w:rPr>
          <w:rFonts w:hint="eastAsia"/>
          <w:b/>
          <w:bCs/>
          <w:sz w:val="40"/>
          <w:szCs w:val="40"/>
        </w:rPr>
        <w:t>项目编号：QXZB-2023-1107B</w:t>
      </w:r>
    </w:p>
    <w:p>
      <w:pPr>
        <w:pStyle w:val="34"/>
        <w:spacing w:line="360" w:lineRule="auto"/>
        <w:rPr>
          <w:rFonts w:hint="eastAsia" w:eastAsia="宋体"/>
          <w:b/>
          <w:bCs/>
          <w:sz w:val="40"/>
          <w:szCs w:val="40"/>
          <w:lang w:eastAsia="zh-CN"/>
        </w:rPr>
      </w:pPr>
      <w:r>
        <w:rPr>
          <w:rFonts w:hint="eastAsia"/>
          <w:b/>
          <w:bCs/>
          <w:sz w:val="40"/>
          <w:szCs w:val="40"/>
        </w:rPr>
        <w:t>项目名称：</w:t>
      </w:r>
      <w:r>
        <w:rPr>
          <w:rFonts w:hint="eastAsia"/>
          <w:b/>
          <w:bCs/>
          <w:sz w:val="40"/>
          <w:szCs w:val="40"/>
          <w:lang w:eastAsia="zh-CN"/>
        </w:rPr>
        <w:t>成都市技师学院(成都工贸职业技术学院)私有云平台及网站群等保测评项目</w:t>
      </w:r>
    </w:p>
    <w:p>
      <w:pPr>
        <w:pStyle w:val="34"/>
        <w:wordWrap w:val="0"/>
        <w:topLinePunct/>
        <w:spacing w:before="3600" w:beforeLines="1500" w:after="3600" w:afterLines="1500" w:line="240" w:lineRule="auto"/>
        <w:jc w:val="center"/>
        <w:rPr>
          <w:b/>
          <w:bCs/>
          <w:sz w:val="96"/>
          <w:szCs w:val="96"/>
        </w:rPr>
      </w:pPr>
      <w:r>
        <w:rPr>
          <w:rFonts w:hint="eastAsia" w:asciiTheme="minorEastAsia" w:hAnsiTheme="minorEastAsia" w:eastAsiaTheme="minorEastAsia" w:cstheme="minorEastAsia"/>
          <w:b/>
          <w:sz w:val="96"/>
          <w:szCs w:val="96"/>
        </w:rPr>
        <w:t>竞争性磋商文件</w:t>
      </w:r>
    </w:p>
    <w:p>
      <w:pPr>
        <w:pStyle w:val="34"/>
        <w:spacing w:line="360" w:lineRule="auto"/>
        <w:jc w:val="center"/>
        <w:rPr>
          <w:b/>
          <w:bCs/>
          <w:sz w:val="28"/>
          <w:szCs w:val="28"/>
        </w:rPr>
      </w:pPr>
      <w:r>
        <w:rPr>
          <w:rFonts w:hint="eastAsia"/>
          <w:b/>
          <w:bCs/>
          <w:sz w:val="28"/>
          <w:szCs w:val="28"/>
        </w:rPr>
        <w:t>中国·四川</w:t>
      </w:r>
    </w:p>
    <w:p>
      <w:pPr>
        <w:pStyle w:val="34"/>
        <w:spacing w:line="360" w:lineRule="auto"/>
        <w:ind w:left="2400" w:leftChars="1000"/>
        <w:rPr>
          <w:b/>
          <w:bCs/>
          <w:sz w:val="28"/>
          <w:szCs w:val="28"/>
        </w:rPr>
      </w:pPr>
      <w:r>
        <w:rPr>
          <w:rFonts w:hint="eastAsia"/>
          <w:b/>
          <w:bCs/>
          <w:sz w:val="28"/>
          <w:szCs w:val="28"/>
        </w:rPr>
        <w:t>采   购   人：</w:t>
      </w:r>
      <w:r>
        <w:rPr>
          <w:rFonts w:hint="eastAsia"/>
          <w:b/>
          <w:bCs/>
          <w:sz w:val="28"/>
          <w:szCs w:val="28"/>
          <w:lang w:eastAsia="zh-CN"/>
        </w:rPr>
        <w:t>成都市技师学院</w:t>
      </w:r>
      <w:r>
        <w:rPr>
          <w:rFonts w:hint="eastAsia"/>
          <w:b/>
          <w:bCs/>
          <w:sz w:val="28"/>
          <w:szCs w:val="28"/>
        </w:rPr>
        <w:t xml:space="preserve">         </w:t>
      </w:r>
    </w:p>
    <w:p>
      <w:pPr>
        <w:pStyle w:val="34"/>
        <w:spacing w:line="360" w:lineRule="auto"/>
        <w:ind w:left="2400" w:leftChars="1000"/>
        <w:rPr>
          <w:b/>
          <w:bCs/>
          <w:sz w:val="28"/>
          <w:szCs w:val="28"/>
        </w:rPr>
      </w:pPr>
      <w:r>
        <w:rPr>
          <w:rFonts w:hint="eastAsia"/>
          <w:b/>
          <w:bCs/>
          <w:sz w:val="28"/>
          <w:szCs w:val="28"/>
        </w:rPr>
        <w:t>采购代理机构：四川乾新招投标代理有限公司</w:t>
      </w:r>
    </w:p>
    <w:p>
      <w:pPr>
        <w:pStyle w:val="34"/>
        <w:spacing w:line="360" w:lineRule="auto"/>
        <w:ind w:left="2400" w:leftChars="1000"/>
        <w:rPr>
          <w:b/>
          <w:bCs/>
          <w:sz w:val="28"/>
          <w:szCs w:val="28"/>
        </w:rPr>
      </w:pPr>
      <w:r>
        <w:rPr>
          <w:rFonts w:hint="eastAsia"/>
          <w:b/>
          <w:bCs/>
          <w:sz w:val="28"/>
          <w:szCs w:val="28"/>
        </w:rPr>
        <w:t>文  件 编 制：由采购人和采购代理机构共同编制</w:t>
      </w:r>
    </w:p>
    <w:p>
      <w:pPr>
        <w:pStyle w:val="34"/>
        <w:spacing w:line="360" w:lineRule="auto"/>
        <w:jc w:val="center"/>
        <w:rPr>
          <w:b/>
          <w:bCs/>
          <w:sz w:val="28"/>
          <w:szCs w:val="28"/>
        </w:rPr>
        <w:sectPr>
          <w:headerReference r:id="rId7" w:type="first"/>
          <w:footerReference r:id="rId9" w:type="first"/>
          <w:headerReference r:id="rId5" w:type="default"/>
          <w:headerReference r:id="rId6" w:type="even"/>
          <w:footerReference r:id="rId8" w:type="even"/>
          <w:pgSz w:w="11906" w:h="16838"/>
          <w:pgMar w:top="1440" w:right="1083" w:bottom="1440" w:left="1083" w:header="851" w:footer="992" w:gutter="0"/>
          <w:pgNumType w:start="0"/>
          <w:cols w:space="720" w:num="1"/>
          <w:titlePg/>
          <w:docGrid w:linePitch="312" w:charSpace="0"/>
        </w:sectPr>
      </w:pPr>
      <w:r>
        <w:rPr>
          <w:rFonts w:hint="eastAsia"/>
          <w:b/>
          <w:bCs/>
          <w:sz w:val="28"/>
          <w:szCs w:val="28"/>
        </w:rPr>
        <w:t>2023年</w:t>
      </w:r>
      <w:r>
        <w:rPr>
          <w:rFonts w:hint="eastAsia"/>
          <w:b/>
          <w:bCs/>
          <w:sz w:val="28"/>
          <w:szCs w:val="28"/>
          <w:lang w:val="en-US" w:eastAsia="zh-CN"/>
        </w:rPr>
        <w:t>11</w:t>
      </w:r>
      <w:r>
        <w:rPr>
          <w:rFonts w:hint="eastAsia"/>
          <w:b/>
          <w:bCs/>
          <w:sz w:val="28"/>
          <w:szCs w:val="28"/>
        </w:rPr>
        <w:t>月</w:t>
      </w:r>
    </w:p>
    <w:p>
      <w:pPr>
        <w:pStyle w:val="34"/>
        <w:jc w:val="center"/>
      </w:pPr>
      <w:r>
        <w:rPr>
          <w:rFonts w:hint="eastAsia"/>
        </w:rPr>
        <w:t>目  录</w:t>
      </w:r>
      <w:bookmarkEnd w:id="0"/>
      <w:bookmarkEnd w:id="1"/>
    </w:p>
    <w:p>
      <w:pPr>
        <w:pStyle w:val="17"/>
        <w:tabs>
          <w:tab w:val="clear" w:pos="0"/>
        </w:tabs>
      </w:pPr>
      <w:bookmarkStart w:id="3" w:name="_Toc28748"/>
      <w:bookmarkStart w:id="4" w:name="_Toc26242"/>
      <w:bookmarkStart w:id="5" w:name="_Toc15794"/>
      <w:r>
        <w:fldChar w:fldCharType="begin"/>
      </w:r>
      <w:r>
        <w:instrText xml:space="preserve">TOC \o "1-3" \h \u </w:instrText>
      </w:r>
      <w:r>
        <w:fldChar w:fldCharType="separate"/>
      </w:r>
      <w:r>
        <w:fldChar w:fldCharType="begin"/>
      </w:r>
      <w:r>
        <w:instrText xml:space="preserve"> HYPERLINK \l _Toc21952 </w:instrText>
      </w:r>
      <w:r>
        <w:fldChar w:fldCharType="separate"/>
      </w:r>
      <w:r>
        <w:rPr>
          <w:rFonts w:hint="eastAsia" w:ascii="宋体" w:hAnsi="宋体" w:eastAsia="宋体" w:cs="宋体"/>
        </w:rPr>
        <w:t xml:space="preserve">第一章 </w:t>
      </w:r>
      <w:r>
        <w:rPr>
          <w:rFonts w:hint="eastAsia"/>
        </w:rPr>
        <w:t>竞争性磋商邀请公告</w:t>
      </w:r>
      <w:r>
        <w:tab/>
      </w:r>
      <w:r>
        <w:fldChar w:fldCharType="begin"/>
      </w:r>
      <w:r>
        <w:instrText xml:space="preserve"> PAGEREF _Toc21952 \h </w:instrText>
      </w:r>
      <w:r>
        <w:fldChar w:fldCharType="separate"/>
      </w:r>
      <w:r>
        <w:t>4</w:t>
      </w:r>
      <w:r>
        <w:fldChar w:fldCharType="end"/>
      </w:r>
      <w:r>
        <w:fldChar w:fldCharType="end"/>
      </w:r>
    </w:p>
    <w:p>
      <w:pPr>
        <w:pStyle w:val="17"/>
        <w:tabs>
          <w:tab w:val="clear" w:pos="0"/>
        </w:tabs>
      </w:pPr>
      <w:r>
        <w:fldChar w:fldCharType="begin"/>
      </w:r>
      <w:r>
        <w:instrText xml:space="preserve"> HYPERLINK \l _Toc10158 </w:instrText>
      </w:r>
      <w:r>
        <w:fldChar w:fldCharType="separate"/>
      </w:r>
      <w:r>
        <w:rPr>
          <w:rFonts w:hint="eastAsia" w:ascii="宋体" w:hAnsi="宋体" w:eastAsia="宋体" w:cs="宋体"/>
        </w:rPr>
        <w:t xml:space="preserve">第二章 </w:t>
      </w:r>
      <w:r>
        <w:rPr>
          <w:rFonts w:hint="eastAsia" w:asciiTheme="minorEastAsia" w:hAnsiTheme="minorEastAsia" w:eastAsiaTheme="minorEastAsia" w:cstheme="minorEastAsia"/>
          <w:szCs w:val="36"/>
        </w:rPr>
        <w:t>磋商须知</w:t>
      </w:r>
      <w:r>
        <w:tab/>
      </w:r>
      <w:r>
        <w:fldChar w:fldCharType="begin"/>
      </w:r>
      <w:r>
        <w:instrText xml:space="preserve"> PAGEREF _Toc10158 \h </w:instrText>
      </w:r>
      <w:r>
        <w:fldChar w:fldCharType="separate"/>
      </w:r>
      <w:r>
        <w:t>7</w:t>
      </w:r>
      <w:r>
        <w:fldChar w:fldCharType="end"/>
      </w:r>
      <w:r>
        <w:fldChar w:fldCharType="end"/>
      </w:r>
    </w:p>
    <w:p>
      <w:pPr>
        <w:pStyle w:val="19"/>
        <w:tabs>
          <w:tab w:val="right" w:leader="dot" w:pos="9746"/>
          <w:tab w:val="clear" w:pos="0"/>
        </w:tabs>
      </w:pPr>
      <w:r>
        <w:fldChar w:fldCharType="begin"/>
      </w:r>
      <w:r>
        <w:instrText xml:space="preserve"> HYPERLINK \l _Toc5748 </w:instrText>
      </w:r>
      <w:r>
        <w:fldChar w:fldCharType="separate"/>
      </w:r>
      <w:r>
        <w:rPr>
          <w:rFonts w:hint="eastAsia" w:ascii="宋体" w:hAnsi="宋体" w:eastAsia="宋体" w:cs="宋体"/>
          <w:szCs w:val="36"/>
        </w:rPr>
        <w:t xml:space="preserve">一、 </w:t>
      </w:r>
      <w:r>
        <w:rPr>
          <w:rFonts w:hint="eastAsia"/>
          <w:szCs w:val="36"/>
        </w:rPr>
        <w:t>磋商须知前附表</w:t>
      </w:r>
      <w:r>
        <w:tab/>
      </w:r>
      <w:r>
        <w:fldChar w:fldCharType="begin"/>
      </w:r>
      <w:r>
        <w:instrText xml:space="preserve"> PAGEREF _Toc5748 \h </w:instrText>
      </w:r>
      <w:r>
        <w:fldChar w:fldCharType="separate"/>
      </w:r>
      <w:r>
        <w:t>7</w:t>
      </w:r>
      <w:r>
        <w:fldChar w:fldCharType="end"/>
      </w:r>
      <w:r>
        <w:fldChar w:fldCharType="end"/>
      </w:r>
    </w:p>
    <w:p>
      <w:pPr>
        <w:pStyle w:val="19"/>
        <w:tabs>
          <w:tab w:val="right" w:leader="dot" w:pos="9746"/>
          <w:tab w:val="clear" w:pos="0"/>
        </w:tabs>
      </w:pPr>
      <w:r>
        <w:fldChar w:fldCharType="begin"/>
      </w:r>
      <w:r>
        <w:instrText xml:space="preserve"> HYPERLINK \l _Toc24996 </w:instrText>
      </w:r>
      <w:r>
        <w:fldChar w:fldCharType="separate"/>
      </w:r>
      <w:r>
        <w:rPr>
          <w:rFonts w:hint="eastAsia" w:ascii="宋体" w:hAnsi="宋体" w:eastAsia="宋体" w:cs="宋体"/>
          <w:szCs w:val="36"/>
        </w:rPr>
        <w:t xml:space="preserve">二、 </w:t>
      </w:r>
      <w:r>
        <w:rPr>
          <w:rFonts w:hint="eastAsia"/>
          <w:szCs w:val="36"/>
        </w:rPr>
        <w:t>总则</w:t>
      </w:r>
      <w:r>
        <w:tab/>
      </w:r>
      <w:r>
        <w:fldChar w:fldCharType="begin"/>
      </w:r>
      <w:r>
        <w:instrText xml:space="preserve"> PAGEREF _Toc24996 \h </w:instrText>
      </w:r>
      <w:r>
        <w:fldChar w:fldCharType="separate"/>
      </w:r>
      <w:r>
        <w:t>14</w:t>
      </w:r>
      <w:r>
        <w:fldChar w:fldCharType="end"/>
      </w:r>
      <w:r>
        <w:fldChar w:fldCharType="end"/>
      </w:r>
    </w:p>
    <w:p>
      <w:pPr>
        <w:pStyle w:val="19"/>
        <w:tabs>
          <w:tab w:val="right" w:leader="dot" w:pos="9746"/>
          <w:tab w:val="clear" w:pos="0"/>
        </w:tabs>
      </w:pPr>
      <w:r>
        <w:fldChar w:fldCharType="begin"/>
      </w:r>
      <w:r>
        <w:instrText xml:space="preserve"> HYPERLINK \l _Toc10752 </w:instrText>
      </w:r>
      <w:r>
        <w:fldChar w:fldCharType="separate"/>
      </w:r>
      <w:r>
        <w:rPr>
          <w:rFonts w:hint="eastAsia" w:ascii="宋体" w:hAnsi="宋体" w:eastAsia="宋体" w:cs="宋体"/>
          <w:szCs w:val="36"/>
        </w:rPr>
        <w:t xml:space="preserve">三、 </w:t>
      </w:r>
      <w:r>
        <w:rPr>
          <w:rFonts w:hint="eastAsia"/>
          <w:szCs w:val="36"/>
        </w:rPr>
        <w:t>竞争性磋商文件</w:t>
      </w:r>
      <w:r>
        <w:tab/>
      </w:r>
      <w:r>
        <w:fldChar w:fldCharType="begin"/>
      </w:r>
      <w:r>
        <w:instrText xml:space="preserve"> PAGEREF _Toc10752 \h </w:instrText>
      </w:r>
      <w:r>
        <w:fldChar w:fldCharType="separate"/>
      </w:r>
      <w:r>
        <w:t>17</w:t>
      </w:r>
      <w:r>
        <w:fldChar w:fldCharType="end"/>
      </w:r>
      <w:r>
        <w:fldChar w:fldCharType="end"/>
      </w:r>
    </w:p>
    <w:p>
      <w:pPr>
        <w:pStyle w:val="13"/>
        <w:tabs>
          <w:tab w:val="right" w:leader="dot" w:pos="9746"/>
          <w:tab w:val="clear" w:pos="0"/>
        </w:tabs>
      </w:pPr>
      <w:r>
        <w:fldChar w:fldCharType="begin"/>
      </w:r>
      <w:r>
        <w:instrText xml:space="preserve"> HYPERLINK \l _Toc16855 </w:instrText>
      </w:r>
      <w:r>
        <w:fldChar w:fldCharType="separate"/>
      </w:r>
      <w:r>
        <w:rPr>
          <w:rFonts w:hint="eastAsia" w:ascii="宋体" w:hAnsi="宋体" w:eastAsia="宋体" w:cs="宋体"/>
        </w:rPr>
        <w:t xml:space="preserve">(一) </w:t>
      </w:r>
      <w:r>
        <w:rPr>
          <w:rFonts w:hint="eastAsia"/>
        </w:rPr>
        <w:t>竞争性磋商文件的构成(实质性要求)</w:t>
      </w:r>
      <w:r>
        <w:tab/>
      </w:r>
      <w:r>
        <w:fldChar w:fldCharType="begin"/>
      </w:r>
      <w:r>
        <w:instrText xml:space="preserve"> PAGEREF _Toc16855 \h </w:instrText>
      </w:r>
      <w:r>
        <w:fldChar w:fldCharType="separate"/>
      </w:r>
      <w:r>
        <w:t>17</w:t>
      </w:r>
      <w:r>
        <w:fldChar w:fldCharType="end"/>
      </w:r>
      <w:r>
        <w:fldChar w:fldCharType="end"/>
      </w:r>
    </w:p>
    <w:p>
      <w:pPr>
        <w:pStyle w:val="13"/>
        <w:tabs>
          <w:tab w:val="right" w:leader="dot" w:pos="9746"/>
          <w:tab w:val="clear" w:pos="0"/>
        </w:tabs>
      </w:pPr>
      <w:r>
        <w:fldChar w:fldCharType="begin"/>
      </w:r>
      <w:r>
        <w:instrText xml:space="preserve"> HYPERLINK \l _Toc7038 </w:instrText>
      </w:r>
      <w:r>
        <w:fldChar w:fldCharType="separate"/>
      </w:r>
      <w:r>
        <w:rPr>
          <w:rFonts w:hint="eastAsia" w:ascii="宋体" w:hAnsi="宋体" w:eastAsia="宋体" w:cs="宋体"/>
        </w:rPr>
        <w:t xml:space="preserve">(二) </w:t>
      </w:r>
      <w:r>
        <w:rPr>
          <w:rFonts w:hint="eastAsia"/>
        </w:rPr>
        <w:t>竞争性磋商文件包含内容</w:t>
      </w:r>
      <w:r>
        <w:tab/>
      </w:r>
      <w:r>
        <w:fldChar w:fldCharType="begin"/>
      </w:r>
      <w:r>
        <w:instrText xml:space="preserve"> PAGEREF _Toc7038 \h </w:instrText>
      </w:r>
      <w:r>
        <w:fldChar w:fldCharType="separate"/>
      </w:r>
      <w:r>
        <w:t>17</w:t>
      </w:r>
      <w:r>
        <w:fldChar w:fldCharType="end"/>
      </w:r>
      <w:r>
        <w:fldChar w:fldCharType="end"/>
      </w:r>
    </w:p>
    <w:p>
      <w:pPr>
        <w:pStyle w:val="13"/>
        <w:tabs>
          <w:tab w:val="right" w:leader="dot" w:pos="9746"/>
          <w:tab w:val="clear" w:pos="0"/>
        </w:tabs>
      </w:pPr>
      <w:r>
        <w:fldChar w:fldCharType="begin"/>
      </w:r>
      <w:r>
        <w:instrText xml:space="preserve"> HYPERLINK \l _Toc3896 </w:instrText>
      </w:r>
      <w:r>
        <w:fldChar w:fldCharType="separate"/>
      </w:r>
      <w:r>
        <w:rPr>
          <w:rFonts w:hint="eastAsia" w:ascii="宋体" w:hAnsi="宋体" w:eastAsia="宋体" w:cs="宋体"/>
        </w:rPr>
        <w:t xml:space="preserve">(三) </w:t>
      </w:r>
      <w:r>
        <w:rPr>
          <w:rFonts w:hint="eastAsia"/>
        </w:rPr>
        <w:t>竞争性磋商文件的澄清和修改</w:t>
      </w:r>
      <w:r>
        <w:tab/>
      </w:r>
      <w:r>
        <w:fldChar w:fldCharType="begin"/>
      </w:r>
      <w:r>
        <w:instrText xml:space="preserve"> PAGEREF _Toc3896 \h </w:instrText>
      </w:r>
      <w:r>
        <w:fldChar w:fldCharType="separate"/>
      </w:r>
      <w:r>
        <w:t>18</w:t>
      </w:r>
      <w:r>
        <w:fldChar w:fldCharType="end"/>
      </w:r>
      <w:r>
        <w:fldChar w:fldCharType="end"/>
      </w:r>
    </w:p>
    <w:p>
      <w:pPr>
        <w:pStyle w:val="13"/>
        <w:tabs>
          <w:tab w:val="right" w:leader="dot" w:pos="9746"/>
          <w:tab w:val="clear" w:pos="0"/>
        </w:tabs>
      </w:pPr>
      <w:r>
        <w:fldChar w:fldCharType="begin"/>
      </w:r>
      <w:r>
        <w:instrText xml:space="preserve"> HYPERLINK \l _Toc17776 </w:instrText>
      </w:r>
      <w:r>
        <w:fldChar w:fldCharType="separate"/>
      </w:r>
      <w:r>
        <w:rPr>
          <w:rFonts w:hint="eastAsia" w:ascii="宋体" w:hAnsi="宋体" w:eastAsia="宋体" w:cs="宋体"/>
        </w:rPr>
        <w:t xml:space="preserve">(四) </w:t>
      </w:r>
      <w:r>
        <w:rPr>
          <w:rFonts w:hint="eastAsia"/>
        </w:rPr>
        <w:t>实质性变动</w:t>
      </w:r>
      <w:r>
        <w:tab/>
      </w:r>
      <w:r>
        <w:fldChar w:fldCharType="begin"/>
      </w:r>
      <w:r>
        <w:instrText xml:space="preserve"> PAGEREF _Toc17776 \h </w:instrText>
      </w:r>
      <w:r>
        <w:fldChar w:fldCharType="separate"/>
      </w:r>
      <w:r>
        <w:t>18</w:t>
      </w:r>
      <w:r>
        <w:fldChar w:fldCharType="end"/>
      </w:r>
      <w:r>
        <w:fldChar w:fldCharType="end"/>
      </w:r>
    </w:p>
    <w:p>
      <w:pPr>
        <w:pStyle w:val="13"/>
        <w:tabs>
          <w:tab w:val="right" w:leader="dot" w:pos="9746"/>
          <w:tab w:val="clear" w:pos="0"/>
        </w:tabs>
      </w:pPr>
      <w:r>
        <w:fldChar w:fldCharType="begin"/>
      </w:r>
      <w:r>
        <w:instrText xml:space="preserve"> HYPERLINK \l _Toc29767 </w:instrText>
      </w:r>
      <w:r>
        <w:fldChar w:fldCharType="separate"/>
      </w:r>
      <w:r>
        <w:rPr>
          <w:rFonts w:hint="eastAsia" w:ascii="宋体" w:hAnsi="宋体" w:eastAsia="宋体" w:cs="宋体"/>
        </w:rPr>
        <w:t xml:space="preserve">(五) </w:t>
      </w:r>
      <w:r>
        <w:rPr>
          <w:rFonts w:hint="eastAsia"/>
        </w:rPr>
        <w:t>答疑会和现场考察</w:t>
      </w:r>
      <w:r>
        <w:tab/>
      </w:r>
      <w:r>
        <w:fldChar w:fldCharType="begin"/>
      </w:r>
      <w:r>
        <w:instrText xml:space="preserve"> PAGEREF _Toc29767 \h </w:instrText>
      </w:r>
      <w:r>
        <w:fldChar w:fldCharType="separate"/>
      </w:r>
      <w:r>
        <w:t>19</w:t>
      </w:r>
      <w:r>
        <w:fldChar w:fldCharType="end"/>
      </w:r>
      <w:r>
        <w:fldChar w:fldCharType="end"/>
      </w:r>
    </w:p>
    <w:p>
      <w:pPr>
        <w:pStyle w:val="19"/>
        <w:tabs>
          <w:tab w:val="right" w:leader="dot" w:pos="9746"/>
          <w:tab w:val="clear" w:pos="0"/>
        </w:tabs>
      </w:pPr>
      <w:r>
        <w:fldChar w:fldCharType="begin"/>
      </w:r>
      <w:r>
        <w:instrText xml:space="preserve"> HYPERLINK \l _Toc8756 </w:instrText>
      </w:r>
      <w:r>
        <w:fldChar w:fldCharType="separate"/>
      </w:r>
      <w:r>
        <w:rPr>
          <w:rFonts w:hint="eastAsia" w:ascii="宋体" w:hAnsi="宋体" w:eastAsia="宋体" w:cs="宋体"/>
          <w:szCs w:val="36"/>
        </w:rPr>
        <w:t xml:space="preserve">四、 </w:t>
      </w:r>
      <w:r>
        <w:rPr>
          <w:rFonts w:hint="eastAsia"/>
          <w:szCs w:val="36"/>
        </w:rPr>
        <w:t>响应文件</w:t>
      </w:r>
      <w:r>
        <w:tab/>
      </w:r>
      <w:r>
        <w:fldChar w:fldCharType="begin"/>
      </w:r>
      <w:r>
        <w:instrText xml:space="preserve"> PAGEREF _Toc8756 \h </w:instrText>
      </w:r>
      <w:r>
        <w:fldChar w:fldCharType="separate"/>
      </w:r>
      <w:r>
        <w:t>19</w:t>
      </w:r>
      <w:r>
        <w:fldChar w:fldCharType="end"/>
      </w:r>
      <w:r>
        <w:fldChar w:fldCharType="end"/>
      </w:r>
    </w:p>
    <w:p>
      <w:pPr>
        <w:pStyle w:val="13"/>
        <w:tabs>
          <w:tab w:val="right" w:leader="dot" w:pos="9746"/>
          <w:tab w:val="clear" w:pos="0"/>
        </w:tabs>
      </w:pPr>
      <w:r>
        <w:fldChar w:fldCharType="begin"/>
      </w:r>
      <w:r>
        <w:instrText xml:space="preserve"> HYPERLINK \l _Toc7234 </w:instrText>
      </w:r>
      <w:r>
        <w:fldChar w:fldCharType="separate"/>
      </w:r>
      <w:r>
        <w:rPr>
          <w:rFonts w:hint="eastAsia" w:ascii="宋体" w:hAnsi="宋体" w:eastAsia="宋体" w:cs="宋体"/>
        </w:rPr>
        <w:t xml:space="preserve">(一) </w:t>
      </w:r>
      <w:r>
        <w:rPr>
          <w:rFonts w:hint="eastAsia"/>
        </w:rPr>
        <w:t>响应文件的语言(实质性要求)</w:t>
      </w:r>
      <w:r>
        <w:tab/>
      </w:r>
      <w:r>
        <w:fldChar w:fldCharType="begin"/>
      </w:r>
      <w:r>
        <w:instrText xml:space="preserve"> PAGEREF _Toc7234 \h </w:instrText>
      </w:r>
      <w:r>
        <w:fldChar w:fldCharType="separate"/>
      </w:r>
      <w:r>
        <w:t>19</w:t>
      </w:r>
      <w:r>
        <w:fldChar w:fldCharType="end"/>
      </w:r>
      <w:r>
        <w:fldChar w:fldCharType="end"/>
      </w:r>
    </w:p>
    <w:p>
      <w:pPr>
        <w:pStyle w:val="13"/>
        <w:tabs>
          <w:tab w:val="right" w:leader="dot" w:pos="9746"/>
          <w:tab w:val="clear" w:pos="0"/>
        </w:tabs>
      </w:pPr>
      <w:r>
        <w:fldChar w:fldCharType="begin"/>
      </w:r>
      <w:r>
        <w:instrText xml:space="preserve"> HYPERLINK \l _Toc18694 </w:instrText>
      </w:r>
      <w:r>
        <w:fldChar w:fldCharType="separate"/>
      </w:r>
      <w:r>
        <w:rPr>
          <w:rFonts w:hint="eastAsia" w:ascii="宋体" w:hAnsi="宋体" w:eastAsia="宋体" w:cs="宋体"/>
        </w:rPr>
        <w:t xml:space="preserve">(二) </w:t>
      </w:r>
      <w:r>
        <w:rPr>
          <w:rFonts w:hint="eastAsia"/>
        </w:rPr>
        <w:t>计量单位(实质性要求)</w:t>
      </w:r>
      <w:r>
        <w:tab/>
      </w:r>
      <w:r>
        <w:fldChar w:fldCharType="begin"/>
      </w:r>
      <w:r>
        <w:instrText xml:space="preserve"> PAGEREF _Toc18694 \h </w:instrText>
      </w:r>
      <w:r>
        <w:fldChar w:fldCharType="separate"/>
      </w:r>
      <w:r>
        <w:t>19</w:t>
      </w:r>
      <w:r>
        <w:fldChar w:fldCharType="end"/>
      </w:r>
      <w:r>
        <w:fldChar w:fldCharType="end"/>
      </w:r>
    </w:p>
    <w:p>
      <w:pPr>
        <w:pStyle w:val="13"/>
        <w:tabs>
          <w:tab w:val="right" w:leader="dot" w:pos="9746"/>
          <w:tab w:val="clear" w:pos="0"/>
        </w:tabs>
      </w:pPr>
      <w:r>
        <w:fldChar w:fldCharType="begin"/>
      </w:r>
      <w:r>
        <w:instrText xml:space="preserve"> HYPERLINK \l _Toc16039 </w:instrText>
      </w:r>
      <w:r>
        <w:fldChar w:fldCharType="separate"/>
      </w:r>
      <w:r>
        <w:rPr>
          <w:rFonts w:hint="eastAsia" w:ascii="宋体" w:hAnsi="宋体" w:eastAsia="宋体" w:cs="宋体"/>
        </w:rPr>
        <w:t xml:space="preserve">(三) </w:t>
      </w:r>
      <w:r>
        <w:rPr>
          <w:rFonts w:hint="eastAsia"/>
        </w:rPr>
        <w:t>知识产权(实质性要求)</w:t>
      </w:r>
      <w:r>
        <w:tab/>
      </w:r>
      <w:r>
        <w:fldChar w:fldCharType="begin"/>
      </w:r>
      <w:r>
        <w:instrText xml:space="preserve"> PAGEREF _Toc16039 \h </w:instrText>
      </w:r>
      <w:r>
        <w:fldChar w:fldCharType="separate"/>
      </w:r>
      <w:r>
        <w:t>19</w:t>
      </w:r>
      <w:r>
        <w:fldChar w:fldCharType="end"/>
      </w:r>
      <w:r>
        <w:fldChar w:fldCharType="end"/>
      </w:r>
    </w:p>
    <w:p>
      <w:pPr>
        <w:pStyle w:val="13"/>
        <w:tabs>
          <w:tab w:val="right" w:leader="dot" w:pos="9746"/>
          <w:tab w:val="clear" w:pos="0"/>
        </w:tabs>
      </w:pPr>
      <w:r>
        <w:fldChar w:fldCharType="begin"/>
      </w:r>
      <w:r>
        <w:instrText xml:space="preserve"> HYPERLINK \l _Toc17387 </w:instrText>
      </w:r>
      <w:r>
        <w:fldChar w:fldCharType="separate"/>
      </w:r>
      <w:r>
        <w:rPr>
          <w:rFonts w:hint="eastAsia" w:ascii="宋体" w:hAnsi="宋体" w:eastAsia="宋体" w:cs="宋体"/>
        </w:rPr>
        <w:t xml:space="preserve">(四) </w:t>
      </w:r>
      <w:r>
        <w:rPr>
          <w:rFonts w:hint="eastAsia"/>
        </w:rPr>
        <w:t>响应文件格式要求</w:t>
      </w:r>
      <w:r>
        <w:tab/>
      </w:r>
      <w:r>
        <w:fldChar w:fldCharType="begin"/>
      </w:r>
      <w:r>
        <w:instrText xml:space="preserve"> PAGEREF _Toc17387 \h </w:instrText>
      </w:r>
      <w:r>
        <w:fldChar w:fldCharType="separate"/>
      </w:r>
      <w:r>
        <w:t>20</w:t>
      </w:r>
      <w:r>
        <w:fldChar w:fldCharType="end"/>
      </w:r>
      <w:r>
        <w:fldChar w:fldCharType="end"/>
      </w:r>
    </w:p>
    <w:p>
      <w:pPr>
        <w:pStyle w:val="13"/>
        <w:tabs>
          <w:tab w:val="right" w:leader="dot" w:pos="9746"/>
          <w:tab w:val="clear" w:pos="0"/>
        </w:tabs>
      </w:pPr>
      <w:r>
        <w:fldChar w:fldCharType="begin"/>
      </w:r>
      <w:r>
        <w:instrText xml:space="preserve"> HYPERLINK \l _Toc13274 </w:instrText>
      </w:r>
      <w:r>
        <w:fldChar w:fldCharType="separate"/>
      </w:r>
      <w:r>
        <w:rPr>
          <w:rFonts w:hint="eastAsia" w:ascii="宋体" w:hAnsi="宋体" w:eastAsia="宋体" w:cs="宋体"/>
        </w:rPr>
        <w:t xml:space="preserve">(五) </w:t>
      </w:r>
      <w:r>
        <w:rPr>
          <w:rFonts w:hint="eastAsia"/>
        </w:rPr>
        <w:t>磋商有效期(实质性要求)</w:t>
      </w:r>
      <w:r>
        <w:tab/>
      </w:r>
      <w:r>
        <w:fldChar w:fldCharType="begin"/>
      </w:r>
      <w:r>
        <w:instrText xml:space="preserve"> PAGEREF _Toc13274 \h </w:instrText>
      </w:r>
      <w:r>
        <w:fldChar w:fldCharType="separate"/>
      </w:r>
      <w:r>
        <w:t>20</w:t>
      </w:r>
      <w:r>
        <w:fldChar w:fldCharType="end"/>
      </w:r>
      <w:r>
        <w:fldChar w:fldCharType="end"/>
      </w:r>
    </w:p>
    <w:p>
      <w:pPr>
        <w:pStyle w:val="13"/>
        <w:tabs>
          <w:tab w:val="right" w:leader="dot" w:pos="9746"/>
          <w:tab w:val="clear" w:pos="0"/>
        </w:tabs>
      </w:pPr>
      <w:r>
        <w:fldChar w:fldCharType="begin"/>
      </w:r>
      <w:r>
        <w:instrText xml:space="preserve"> HYPERLINK \l _Toc3658 </w:instrText>
      </w:r>
      <w:r>
        <w:fldChar w:fldCharType="separate"/>
      </w:r>
      <w:r>
        <w:rPr>
          <w:rFonts w:hint="eastAsia" w:ascii="宋体" w:hAnsi="宋体" w:eastAsia="宋体" w:cs="宋体"/>
        </w:rPr>
        <w:t xml:space="preserve">(六) </w:t>
      </w:r>
      <w:r>
        <w:rPr>
          <w:rFonts w:hint="eastAsia"/>
        </w:rPr>
        <w:t>联合体磋商</w:t>
      </w:r>
      <w:r>
        <w:rPr>
          <w:rFonts w:hint="eastAsia"/>
          <w:lang w:val="zh-CN"/>
        </w:rPr>
        <w:t>(实质性要求)</w:t>
      </w:r>
      <w:r>
        <w:tab/>
      </w:r>
      <w:r>
        <w:fldChar w:fldCharType="begin"/>
      </w:r>
      <w:r>
        <w:instrText xml:space="preserve"> PAGEREF _Toc3658 \h </w:instrText>
      </w:r>
      <w:r>
        <w:fldChar w:fldCharType="separate"/>
      </w:r>
      <w:r>
        <w:t>21</w:t>
      </w:r>
      <w:r>
        <w:fldChar w:fldCharType="end"/>
      </w:r>
      <w:r>
        <w:fldChar w:fldCharType="end"/>
      </w:r>
    </w:p>
    <w:p>
      <w:pPr>
        <w:pStyle w:val="13"/>
        <w:tabs>
          <w:tab w:val="right" w:leader="dot" w:pos="9746"/>
          <w:tab w:val="clear" w:pos="0"/>
        </w:tabs>
      </w:pPr>
      <w:r>
        <w:fldChar w:fldCharType="begin"/>
      </w:r>
      <w:r>
        <w:instrText xml:space="preserve"> HYPERLINK \l _Toc17395 </w:instrText>
      </w:r>
      <w:r>
        <w:fldChar w:fldCharType="separate"/>
      </w:r>
      <w:r>
        <w:rPr>
          <w:rFonts w:hint="eastAsia" w:ascii="宋体" w:hAnsi="宋体" w:eastAsia="宋体" w:cs="宋体"/>
        </w:rPr>
        <w:t xml:space="preserve">(七) </w:t>
      </w:r>
      <w:r>
        <w:rPr>
          <w:rFonts w:hint="eastAsia"/>
        </w:rPr>
        <w:t>响应文件组成(实质性要求)</w:t>
      </w:r>
      <w:r>
        <w:tab/>
      </w:r>
      <w:r>
        <w:fldChar w:fldCharType="begin"/>
      </w:r>
      <w:r>
        <w:instrText xml:space="preserve"> PAGEREF _Toc17395 \h </w:instrText>
      </w:r>
      <w:r>
        <w:fldChar w:fldCharType="separate"/>
      </w:r>
      <w:r>
        <w:t>21</w:t>
      </w:r>
      <w:r>
        <w:fldChar w:fldCharType="end"/>
      </w:r>
      <w:r>
        <w:fldChar w:fldCharType="end"/>
      </w:r>
    </w:p>
    <w:p>
      <w:pPr>
        <w:pStyle w:val="13"/>
        <w:tabs>
          <w:tab w:val="right" w:leader="dot" w:pos="9746"/>
          <w:tab w:val="clear" w:pos="0"/>
        </w:tabs>
      </w:pPr>
      <w:r>
        <w:fldChar w:fldCharType="begin"/>
      </w:r>
      <w:r>
        <w:instrText xml:space="preserve"> HYPERLINK \l _Toc18684 </w:instrText>
      </w:r>
      <w:r>
        <w:fldChar w:fldCharType="separate"/>
      </w:r>
      <w:r>
        <w:rPr>
          <w:rFonts w:hint="eastAsia" w:ascii="宋体" w:hAnsi="宋体" w:eastAsia="宋体" w:cs="宋体"/>
        </w:rPr>
        <w:t xml:space="preserve">(八) </w:t>
      </w:r>
      <w:r>
        <w:rPr>
          <w:rFonts w:hint="eastAsia"/>
        </w:rPr>
        <w:t>报价要求(实质性要求)</w:t>
      </w:r>
      <w:r>
        <w:tab/>
      </w:r>
      <w:r>
        <w:fldChar w:fldCharType="begin"/>
      </w:r>
      <w:r>
        <w:instrText xml:space="preserve"> PAGEREF _Toc18684 \h </w:instrText>
      </w:r>
      <w:r>
        <w:fldChar w:fldCharType="separate"/>
      </w:r>
      <w:r>
        <w:t>21</w:t>
      </w:r>
      <w:r>
        <w:fldChar w:fldCharType="end"/>
      </w:r>
      <w:r>
        <w:fldChar w:fldCharType="end"/>
      </w:r>
    </w:p>
    <w:p>
      <w:pPr>
        <w:pStyle w:val="13"/>
        <w:tabs>
          <w:tab w:val="right" w:leader="dot" w:pos="9746"/>
          <w:tab w:val="clear" w:pos="0"/>
        </w:tabs>
      </w:pPr>
      <w:r>
        <w:fldChar w:fldCharType="begin"/>
      </w:r>
      <w:r>
        <w:instrText xml:space="preserve"> HYPERLINK \l _Toc10494 </w:instrText>
      </w:r>
      <w:r>
        <w:fldChar w:fldCharType="separate"/>
      </w:r>
      <w:r>
        <w:rPr>
          <w:rFonts w:hint="eastAsia" w:ascii="宋体" w:hAnsi="宋体" w:eastAsia="宋体" w:cs="宋体"/>
        </w:rPr>
        <w:t xml:space="preserve">(九) </w:t>
      </w:r>
      <w:r>
        <w:rPr>
          <w:rFonts w:hint="eastAsia"/>
        </w:rPr>
        <w:t>响应文件编制要求</w:t>
      </w:r>
      <w:r>
        <w:tab/>
      </w:r>
      <w:r>
        <w:fldChar w:fldCharType="begin"/>
      </w:r>
      <w:r>
        <w:instrText xml:space="preserve"> PAGEREF _Toc10494 \h </w:instrText>
      </w:r>
      <w:r>
        <w:fldChar w:fldCharType="separate"/>
      </w:r>
      <w:r>
        <w:t>21</w:t>
      </w:r>
      <w:r>
        <w:fldChar w:fldCharType="end"/>
      </w:r>
      <w:r>
        <w:fldChar w:fldCharType="end"/>
      </w:r>
    </w:p>
    <w:p>
      <w:pPr>
        <w:pStyle w:val="13"/>
        <w:tabs>
          <w:tab w:val="right" w:leader="dot" w:pos="9746"/>
          <w:tab w:val="clear" w:pos="0"/>
        </w:tabs>
      </w:pPr>
      <w:r>
        <w:fldChar w:fldCharType="begin"/>
      </w:r>
      <w:r>
        <w:instrText xml:space="preserve"> HYPERLINK \l _Toc22549 </w:instrText>
      </w:r>
      <w:r>
        <w:fldChar w:fldCharType="separate"/>
      </w:r>
      <w:r>
        <w:rPr>
          <w:rFonts w:hint="eastAsia" w:ascii="宋体" w:hAnsi="宋体" w:eastAsia="宋体" w:cs="宋体"/>
        </w:rPr>
        <w:t xml:space="preserve">(十) </w:t>
      </w:r>
      <w:r>
        <w:rPr>
          <w:rFonts w:hint="eastAsia"/>
        </w:rPr>
        <w:t>响应文件的密封和标注</w:t>
      </w:r>
      <w:r>
        <w:tab/>
      </w:r>
      <w:r>
        <w:fldChar w:fldCharType="begin"/>
      </w:r>
      <w:r>
        <w:instrText xml:space="preserve"> PAGEREF _Toc22549 \h </w:instrText>
      </w:r>
      <w:r>
        <w:fldChar w:fldCharType="separate"/>
      </w:r>
      <w:r>
        <w:t>23</w:t>
      </w:r>
      <w:r>
        <w:fldChar w:fldCharType="end"/>
      </w:r>
      <w:r>
        <w:fldChar w:fldCharType="end"/>
      </w:r>
    </w:p>
    <w:p>
      <w:pPr>
        <w:pStyle w:val="13"/>
        <w:tabs>
          <w:tab w:val="right" w:leader="dot" w:pos="9746"/>
          <w:tab w:val="clear" w:pos="0"/>
        </w:tabs>
      </w:pPr>
      <w:r>
        <w:fldChar w:fldCharType="begin"/>
      </w:r>
      <w:r>
        <w:instrText xml:space="preserve"> HYPERLINK \l _Toc18479 </w:instrText>
      </w:r>
      <w:r>
        <w:fldChar w:fldCharType="separate"/>
      </w:r>
      <w:r>
        <w:rPr>
          <w:rFonts w:hint="eastAsia" w:ascii="宋体" w:hAnsi="宋体" w:eastAsia="宋体" w:cs="宋体"/>
        </w:rPr>
        <w:t xml:space="preserve">(十一) </w:t>
      </w:r>
      <w:r>
        <w:rPr>
          <w:rFonts w:hint="eastAsia"/>
        </w:rPr>
        <w:t>响应文件的递交</w:t>
      </w:r>
      <w:r>
        <w:tab/>
      </w:r>
      <w:r>
        <w:fldChar w:fldCharType="begin"/>
      </w:r>
      <w:r>
        <w:instrText xml:space="preserve"> PAGEREF _Toc18479 \h </w:instrText>
      </w:r>
      <w:r>
        <w:fldChar w:fldCharType="separate"/>
      </w:r>
      <w:r>
        <w:t>23</w:t>
      </w:r>
      <w:r>
        <w:fldChar w:fldCharType="end"/>
      </w:r>
      <w:r>
        <w:fldChar w:fldCharType="end"/>
      </w:r>
    </w:p>
    <w:p>
      <w:pPr>
        <w:pStyle w:val="13"/>
        <w:tabs>
          <w:tab w:val="right" w:leader="dot" w:pos="9746"/>
          <w:tab w:val="clear" w:pos="0"/>
        </w:tabs>
      </w:pPr>
      <w:r>
        <w:fldChar w:fldCharType="begin"/>
      </w:r>
      <w:r>
        <w:instrText xml:space="preserve"> HYPERLINK \l _Toc32690 </w:instrText>
      </w:r>
      <w:r>
        <w:fldChar w:fldCharType="separate"/>
      </w:r>
      <w:r>
        <w:rPr>
          <w:rFonts w:hint="eastAsia" w:ascii="宋体" w:hAnsi="宋体" w:eastAsia="宋体" w:cs="宋体"/>
        </w:rPr>
        <w:t xml:space="preserve">(十二) </w:t>
      </w:r>
      <w:r>
        <w:rPr>
          <w:rFonts w:hint="eastAsia"/>
        </w:rPr>
        <w:t>响应文件的修改和撤回</w:t>
      </w:r>
      <w:r>
        <w:tab/>
      </w:r>
      <w:r>
        <w:fldChar w:fldCharType="begin"/>
      </w:r>
      <w:r>
        <w:instrText xml:space="preserve"> PAGEREF _Toc32690 \h </w:instrText>
      </w:r>
      <w:r>
        <w:fldChar w:fldCharType="separate"/>
      </w:r>
      <w:r>
        <w:t>23</w:t>
      </w:r>
      <w:r>
        <w:fldChar w:fldCharType="end"/>
      </w:r>
      <w:r>
        <w:fldChar w:fldCharType="end"/>
      </w:r>
    </w:p>
    <w:p>
      <w:pPr>
        <w:pStyle w:val="13"/>
        <w:tabs>
          <w:tab w:val="right" w:leader="dot" w:pos="9746"/>
          <w:tab w:val="clear" w:pos="0"/>
        </w:tabs>
      </w:pPr>
      <w:r>
        <w:fldChar w:fldCharType="begin"/>
      </w:r>
      <w:r>
        <w:instrText xml:space="preserve"> HYPERLINK \l _Toc482 </w:instrText>
      </w:r>
      <w:r>
        <w:fldChar w:fldCharType="separate"/>
      </w:r>
      <w:r>
        <w:rPr>
          <w:rFonts w:hint="eastAsia" w:ascii="宋体" w:hAnsi="宋体" w:eastAsia="宋体" w:cs="宋体"/>
        </w:rPr>
        <w:t xml:space="preserve">(十三) </w:t>
      </w:r>
      <w:r>
        <w:rPr>
          <w:rFonts w:hint="eastAsia"/>
        </w:rPr>
        <w:t>磋商保证金</w:t>
      </w:r>
      <w:r>
        <w:rPr>
          <w:rFonts w:hint="eastAsia" w:cs="宋体"/>
        </w:rPr>
        <w:t>(实质性要求)</w:t>
      </w:r>
      <w:r>
        <w:tab/>
      </w:r>
      <w:r>
        <w:fldChar w:fldCharType="begin"/>
      </w:r>
      <w:r>
        <w:instrText xml:space="preserve"> PAGEREF _Toc482 \h </w:instrText>
      </w:r>
      <w:r>
        <w:fldChar w:fldCharType="separate"/>
      </w:r>
      <w:r>
        <w:t>24</w:t>
      </w:r>
      <w:r>
        <w:fldChar w:fldCharType="end"/>
      </w:r>
      <w:r>
        <w:fldChar w:fldCharType="end"/>
      </w:r>
    </w:p>
    <w:p>
      <w:pPr>
        <w:pStyle w:val="19"/>
        <w:tabs>
          <w:tab w:val="right" w:leader="dot" w:pos="9746"/>
          <w:tab w:val="clear" w:pos="0"/>
        </w:tabs>
      </w:pPr>
      <w:r>
        <w:fldChar w:fldCharType="begin"/>
      </w:r>
      <w:r>
        <w:instrText xml:space="preserve"> HYPERLINK \l _Toc152 </w:instrText>
      </w:r>
      <w:r>
        <w:fldChar w:fldCharType="separate"/>
      </w:r>
      <w:r>
        <w:rPr>
          <w:rFonts w:hint="eastAsia" w:ascii="宋体" w:hAnsi="宋体" w:eastAsia="宋体" w:cs="宋体"/>
          <w:szCs w:val="36"/>
        </w:rPr>
        <w:t xml:space="preserve">五、 </w:t>
      </w:r>
      <w:r>
        <w:rPr>
          <w:rFonts w:hint="eastAsia"/>
          <w:szCs w:val="36"/>
        </w:rPr>
        <w:t>磋商会</w:t>
      </w:r>
      <w:r>
        <w:tab/>
      </w:r>
      <w:r>
        <w:fldChar w:fldCharType="begin"/>
      </w:r>
      <w:r>
        <w:instrText xml:space="preserve"> PAGEREF _Toc152 \h </w:instrText>
      </w:r>
      <w:r>
        <w:fldChar w:fldCharType="separate"/>
      </w:r>
      <w:r>
        <w:t>24</w:t>
      </w:r>
      <w:r>
        <w:fldChar w:fldCharType="end"/>
      </w:r>
      <w:r>
        <w:fldChar w:fldCharType="end"/>
      </w:r>
    </w:p>
    <w:p>
      <w:pPr>
        <w:pStyle w:val="13"/>
        <w:tabs>
          <w:tab w:val="right" w:leader="dot" w:pos="9746"/>
          <w:tab w:val="clear" w:pos="0"/>
        </w:tabs>
      </w:pPr>
      <w:r>
        <w:fldChar w:fldCharType="begin"/>
      </w:r>
      <w:r>
        <w:instrText xml:space="preserve"> HYPERLINK \l _Toc13910 </w:instrText>
      </w:r>
      <w:r>
        <w:fldChar w:fldCharType="separate"/>
      </w:r>
      <w:r>
        <w:rPr>
          <w:rFonts w:hint="eastAsia" w:ascii="宋体" w:hAnsi="宋体" w:eastAsia="宋体" w:cs="宋体"/>
          <w:bCs/>
        </w:rPr>
        <w:t xml:space="preserve">(一) </w:t>
      </w:r>
      <w:r>
        <w:rPr>
          <w:rFonts w:hint="eastAsia"/>
          <w:bCs/>
        </w:rPr>
        <w:t>磋商会人员</w:t>
      </w:r>
      <w:r>
        <w:tab/>
      </w:r>
      <w:r>
        <w:fldChar w:fldCharType="begin"/>
      </w:r>
      <w:r>
        <w:instrText xml:space="preserve"> PAGEREF _Toc13910 \h </w:instrText>
      </w:r>
      <w:r>
        <w:fldChar w:fldCharType="separate"/>
      </w:r>
      <w:r>
        <w:t>24</w:t>
      </w:r>
      <w:r>
        <w:fldChar w:fldCharType="end"/>
      </w:r>
      <w:r>
        <w:fldChar w:fldCharType="end"/>
      </w:r>
    </w:p>
    <w:p>
      <w:pPr>
        <w:pStyle w:val="13"/>
        <w:tabs>
          <w:tab w:val="right" w:leader="dot" w:pos="9746"/>
          <w:tab w:val="clear" w:pos="0"/>
        </w:tabs>
      </w:pPr>
      <w:r>
        <w:fldChar w:fldCharType="begin"/>
      </w:r>
      <w:r>
        <w:instrText xml:space="preserve"> HYPERLINK \l _Toc31335 </w:instrText>
      </w:r>
      <w:r>
        <w:fldChar w:fldCharType="separate"/>
      </w:r>
      <w:r>
        <w:rPr>
          <w:rFonts w:hint="eastAsia" w:ascii="宋体" w:hAnsi="宋体" w:eastAsia="宋体" w:cs="宋体"/>
          <w:bCs/>
        </w:rPr>
        <w:t xml:space="preserve">(二) </w:t>
      </w:r>
      <w:r>
        <w:rPr>
          <w:rFonts w:hint="eastAsia"/>
          <w:bCs/>
        </w:rPr>
        <w:t>磋商会内容</w:t>
      </w:r>
      <w:r>
        <w:tab/>
      </w:r>
      <w:r>
        <w:fldChar w:fldCharType="begin"/>
      </w:r>
      <w:r>
        <w:instrText xml:space="preserve"> PAGEREF _Toc31335 \h </w:instrText>
      </w:r>
      <w:r>
        <w:fldChar w:fldCharType="separate"/>
      </w:r>
      <w:r>
        <w:t>25</w:t>
      </w:r>
      <w:r>
        <w:fldChar w:fldCharType="end"/>
      </w:r>
      <w:r>
        <w:fldChar w:fldCharType="end"/>
      </w:r>
    </w:p>
    <w:p>
      <w:pPr>
        <w:pStyle w:val="13"/>
        <w:tabs>
          <w:tab w:val="right" w:leader="dot" w:pos="9746"/>
          <w:tab w:val="clear" w:pos="0"/>
        </w:tabs>
      </w:pPr>
      <w:r>
        <w:fldChar w:fldCharType="begin"/>
      </w:r>
      <w:r>
        <w:instrText xml:space="preserve"> HYPERLINK \l _Toc19847 </w:instrText>
      </w:r>
      <w:r>
        <w:fldChar w:fldCharType="separate"/>
      </w:r>
      <w:r>
        <w:rPr>
          <w:rFonts w:hint="eastAsia" w:ascii="宋体" w:hAnsi="宋体" w:eastAsia="宋体" w:cs="宋体"/>
          <w:bCs/>
        </w:rPr>
        <w:t xml:space="preserve">(三) </w:t>
      </w:r>
      <w:r>
        <w:rPr>
          <w:rFonts w:hint="eastAsia"/>
          <w:bCs/>
        </w:rPr>
        <w:t>电子监控档案</w:t>
      </w:r>
      <w:r>
        <w:tab/>
      </w:r>
      <w:r>
        <w:fldChar w:fldCharType="begin"/>
      </w:r>
      <w:r>
        <w:instrText xml:space="preserve"> PAGEREF _Toc19847 \h </w:instrText>
      </w:r>
      <w:r>
        <w:fldChar w:fldCharType="separate"/>
      </w:r>
      <w:r>
        <w:t>25</w:t>
      </w:r>
      <w:r>
        <w:fldChar w:fldCharType="end"/>
      </w:r>
      <w:r>
        <w:fldChar w:fldCharType="end"/>
      </w:r>
    </w:p>
    <w:p>
      <w:pPr>
        <w:pStyle w:val="19"/>
        <w:tabs>
          <w:tab w:val="right" w:leader="dot" w:pos="9746"/>
          <w:tab w:val="clear" w:pos="0"/>
        </w:tabs>
      </w:pPr>
      <w:r>
        <w:fldChar w:fldCharType="begin"/>
      </w:r>
      <w:r>
        <w:instrText xml:space="preserve"> HYPERLINK \l _Toc18593 </w:instrText>
      </w:r>
      <w:r>
        <w:fldChar w:fldCharType="separate"/>
      </w:r>
      <w:r>
        <w:rPr>
          <w:rFonts w:hint="eastAsia" w:ascii="宋体" w:hAnsi="宋体" w:eastAsia="宋体" w:cs="宋体"/>
          <w:szCs w:val="36"/>
        </w:rPr>
        <w:t xml:space="preserve">六、 </w:t>
      </w:r>
      <w:r>
        <w:rPr>
          <w:rFonts w:hint="eastAsia"/>
          <w:szCs w:val="36"/>
        </w:rPr>
        <w:t>成交事项</w:t>
      </w:r>
      <w:r>
        <w:tab/>
      </w:r>
      <w:r>
        <w:fldChar w:fldCharType="begin"/>
      </w:r>
      <w:r>
        <w:instrText xml:space="preserve"> PAGEREF _Toc18593 \h </w:instrText>
      </w:r>
      <w:r>
        <w:fldChar w:fldCharType="separate"/>
      </w:r>
      <w:r>
        <w:t>25</w:t>
      </w:r>
      <w:r>
        <w:fldChar w:fldCharType="end"/>
      </w:r>
      <w:r>
        <w:fldChar w:fldCharType="end"/>
      </w:r>
    </w:p>
    <w:p>
      <w:pPr>
        <w:pStyle w:val="13"/>
        <w:tabs>
          <w:tab w:val="right" w:leader="dot" w:pos="9746"/>
          <w:tab w:val="clear" w:pos="0"/>
        </w:tabs>
      </w:pPr>
      <w:r>
        <w:fldChar w:fldCharType="begin"/>
      </w:r>
      <w:r>
        <w:instrText xml:space="preserve"> HYPERLINK \l _Toc17044 </w:instrText>
      </w:r>
      <w:r>
        <w:fldChar w:fldCharType="separate"/>
      </w:r>
      <w:r>
        <w:rPr>
          <w:rFonts w:hint="eastAsia" w:ascii="宋体" w:hAnsi="宋体" w:eastAsia="宋体" w:cs="宋体"/>
        </w:rPr>
        <w:t xml:space="preserve">(一) </w:t>
      </w:r>
      <w:r>
        <w:rPr>
          <w:rFonts w:hint="eastAsia"/>
        </w:rPr>
        <w:t>确定成交供应商</w:t>
      </w:r>
      <w:r>
        <w:tab/>
      </w:r>
      <w:r>
        <w:fldChar w:fldCharType="begin"/>
      </w:r>
      <w:r>
        <w:instrText xml:space="preserve"> PAGEREF _Toc17044 \h </w:instrText>
      </w:r>
      <w:r>
        <w:fldChar w:fldCharType="separate"/>
      </w:r>
      <w:r>
        <w:t>25</w:t>
      </w:r>
      <w:r>
        <w:fldChar w:fldCharType="end"/>
      </w:r>
      <w:r>
        <w:fldChar w:fldCharType="end"/>
      </w:r>
    </w:p>
    <w:p>
      <w:pPr>
        <w:pStyle w:val="13"/>
        <w:tabs>
          <w:tab w:val="right" w:leader="dot" w:pos="9746"/>
          <w:tab w:val="clear" w:pos="0"/>
        </w:tabs>
      </w:pPr>
      <w:r>
        <w:fldChar w:fldCharType="begin"/>
      </w:r>
      <w:r>
        <w:instrText xml:space="preserve"> HYPERLINK \l _Toc30953 </w:instrText>
      </w:r>
      <w:r>
        <w:fldChar w:fldCharType="separate"/>
      </w:r>
      <w:r>
        <w:rPr>
          <w:rFonts w:hint="eastAsia" w:ascii="宋体" w:hAnsi="宋体" w:eastAsia="宋体" w:cs="宋体"/>
        </w:rPr>
        <w:t xml:space="preserve">(二) </w:t>
      </w:r>
      <w:r>
        <w:rPr>
          <w:rFonts w:hint="eastAsia"/>
        </w:rPr>
        <w:t>成交结果</w:t>
      </w:r>
      <w:r>
        <w:tab/>
      </w:r>
      <w:r>
        <w:fldChar w:fldCharType="begin"/>
      </w:r>
      <w:r>
        <w:instrText xml:space="preserve"> PAGEREF _Toc30953 \h </w:instrText>
      </w:r>
      <w:r>
        <w:fldChar w:fldCharType="separate"/>
      </w:r>
      <w:r>
        <w:t>26</w:t>
      </w:r>
      <w:r>
        <w:fldChar w:fldCharType="end"/>
      </w:r>
      <w:r>
        <w:fldChar w:fldCharType="end"/>
      </w:r>
    </w:p>
    <w:p>
      <w:pPr>
        <w:pStyle w:val="13"/>
        <w:tabs>
          <w:tab w:val="right" w:leader="dot" w:pos="9746"/>
          <w:tab w:val="clear" w:pos="0"/>
        </w:tabs>
      </w:pPr>
      <w:r>
        <w:fldChar w:fldCharType="begin"/>
      </w:r>
      <w:r>
        <w:instrText xml:space="preserve"> HYPERLINK \l _Toc30607 </w:instrText>
      </w:r>
      <w:r>
        <w:fldChar w:fldCharType="separate"/>
      </w:r>
      <w:r>
        <w:rPr>
          <w:rFonts w:hint="eastAsia" w:ascii="宋体" w:hAnsi="宋体" w:eastAsia="宋体" w:cs="宋体"/>
        </w:rPr>
        <w:t xml:space="preserve">(三) </w:t>
      </w:r>
      <w:r>
        <w:rPr>
          <w:rFonts w:hint="eastAsia"/>
        </w:rPr>
        <w:t>成交通知书</w:t>
      </w:r>
      <w:r>
        <w:tab/>
      </w:r>
      <w:r>
        <w:fldChar w:fldCharType="begin"/>
      </w:r>
      <w:r>
        <w:instrText xml:space="preserve"> PAGEREF _Toc30607 \h </w:instrText>
      </w:r>
      <w:r>
        <w:fldChar w:fldCharType="separate"/>
      </w:r>
      <w:r>
        <w:t>26</w:t>
      </w:r>
      <w:r>
        <w:fldChar w:fldCharType="end"/>
      </w:r>
      <w:r>
        <w:fldChar w:fldCharType="end"/>
      </w:r>
    </w:p>
    <w:p>
      <w:pPr>
        <w:pStyle w:val="19"/>
        <w:tabs>
          <w:tab w:val="right" w:leader="dot" w:pos="9746"/>
          <w:tab w:val="clear" w:pos="0"/>
        </w:tabs>
      </w:pPr>
      <w:r>
        <w:fldChar w:fldCharType="begin"/>
      </w:r>
      <w:r>
        <w:instrText xml:space="preserve"> HYPERLINK \l _Toc11290 </w:instrText>
      </w:r>
      <w:r>
        <w:fldChar w:fldCharType="separate"/>
      </w:r>
      <w:r>
        <w:rPr>
          <w:rFonts w:hint="eastAsia" w:ascii="宋体" w:hAnsi="宋体" w:eastAsia="宋体" w:cs="宋体"/>
          <w:szCs w:val="36"/>
        </w:rPr>
        <w:t xml:space="preserve">七、 </w:t>
      </w:r>
      <w:r>
        <w:rPr>
          <w:rFonts w:hint="eastAsia"/>
          <w:szCs w:val="36"/>
        </w:rPr>
        <w:t>合同事项</w:t>
      </w:r>
      <w:r>
        <w:tab/>
      </w:r>
      <w:r>
        <w:fldChar w:fldCharType="begin"/>
      </w:r>
      <w:r>
        <w:instrText xml:space="preserve"> PAGEREF _Toc11290 \h </w:instrText>
      </w:r>
      <w:r>
        <w:fldChar w:fldCharType="separate"/>
      </w:r>
      <w:r>
        <w:t>27</w:t>
      </w:r>
      <w:r>
        <w:fldChar w:fldCharType="end"/>
      </w:r>
      <w:r>
        <w:fldChar w:fldCharType="end"/>
      </w:r>
    </w:p>
    <w:p>
      <w:pPr>
        <w:pStyle w:val="13"/>
        <w:tabs>
          <w:tab w:val="right" w:leader="dot" w:pos="9746"/>
          <w:tab w:val="clear" w:pos="0"/>
        </w:tabs>
      </w:pPr>
      <w:r>
        <w:fldChar w:fldCharType="begin"/>
      </w:r>
      <w:r>
        <w:instrText xml:space="preserve"> HYPERLINK \l _Toc31924 </w:instrText>
      </w:r>
      <w:r>
        <w:fldChar w:fldCharType="separate"/>
      </w:r>
      <w:r>
        <w:rPr>
          <w:rFonts w:hint="eastAsia" w:ascii="宋体" w:hAnsi="宋体" w:eastAsia="宋体" w:cs="宋体"/>
        </w:rPr>
        <w:t xml:space="preserve">(一) </w:t>
      </w:r>
      <w:r>
        <w:rPr>
          <w:rFonts w:hint="eastAsia"/>
        </w:rPr>
        <w:t>签订合同</w:t>
      </w:r>
      <w:r>
        <w:tab/>
      </w:r>
      <w:r>
        <w:fldChar w:fldCharType="begin"/>
      </w:r>
      <w:r>
        <w:instrText xml:space="preserve"> PAGEREF _Toc31924 \h </w:instrText>
      </w:r>
      <w:r>
        <w:fldChar w:fldCharType="separate"/>
      </w:r>
      <w:r>
        <w:t>27</w:t>
      </w:r>
      <w:r>
        <w:fldChar w:fldCharType="end"/>
      </w:r>
      <w:r>
        <w:fldChar w:fldCharType="end"/>
      </w:r>
    </w:p>
    <w:p>
      <w:pPr>
        <w:pStyle w:val="13"/>
        <w:tabs>
          <w:tab w:val="right" w:leader="dot" w:pos="9746"/>
          <w:tab w:val="clear" w:pos="0"/>
        </w:tabs>
      </w:pPr>
      <w:r>
        <w:fldChar w:fldCharType="begin"/>
      </w:r>
      <w:r>
        <w:instrText xml:space="preserve"> HYPERLINK \l _Toc291 </w:instrText>
      </w:r>
      <w:r>
        <w:fldChar w:fldCharType="separate"/>
      </w:r>
      <w:r>
        <w:rPr>
          <w:rFonts w:hint="eastAsia" w:ascii="宋体" w:hAnsi="宋体" w:eastAsia="宋体" w:cs="宋体"/>
        </w:rPr>
        <w:t xml:space="preserve">(二) </w:t>
      </w:r>
      <w:r>
        <w:rPr>
          <w:rFonts w:hint="eastAsia"/>
        </w:rPr>
        <w:t>合同分包(实质性要求)</w:t>
      </w:r>
      <w:r>
        <w:tab/>
      </w:r>
      <w:r>
        <w:fldChar w:fldCharType="begin"/>
      </w:r>
      <w:r>
        <w:instrText xml:space="preserve"> PAGEREF _Toc291 \h </w:instrText>
      </w:r>
      <w:r>
        <w:fldChar w:fldCharType="separate"/>
      </w:r>
      <w:r>
        <w:t>27</w:t>
      </w:r>
      <w:r>
        <w:fldChar w:fldCharType="end"/>
      </w:r>
      <w:r>
        <w:fldChar w:fldCharType="end"/>
      </w:r>
    </w:p>
    <w:p>
      <w:pPr>
        <w:pStyle w:val="13"/>
        <w:tabs>
          <w:tab w:val="right" w:leader="dot" w:pos="9746"/>
          <w:tab w:val="clear" w:pos="0"/>
        </w:tabs>
      </w:pPr>
      <w:r>
        <w:fldChar w:fldCharType="begin"/>
      </w:r>
      <w:r>
        <w:instrText xml:space="preserve"> HYPERLINK \l _Toc3664 </w:instrText>
      </w:r>
      <w:r>
        <w:fldChar w:fldCharType="separate"/>
      </w:r>
      <w:r>
        <w:rPr>
          <w:rFonts w:hint="eastAsia" w:ascii="宋体" w:hAnsi="宋体" w:eastAsia="宋体" w:cs="宋体"/>
        </w:rPr>
        <w:t xml:space="preserve">(三) </w:t>
      </w:r>
      <w:r>
        <w:rPr>
          <w:rFonts w:hint="eastAsia"/>
        </w:rPr>
        <w:t>合同转包(实质性要求)</w:t>
      </w:r>
      <w:r>
        <w:tab/>
      </w:r>
      <w:r>
        <w:fldChar w:fldCharType="begin"/>
      </w:r>
      <w:r>
        <w:instrText xml:space="preserve"> PAGEREF _Toc3664 \h </w:instrText>
      </w:r>
      <w:r>
        <w:fldChar w:fldCharType="separate"/>
      </w:r>
      <w:r>
        <w:t>27</w:t>
      </w:r>
      <w:r>
        <w:fldChar w:fldCharType="end"/>
      </w:r>
      <w:r>
        <w:fldChar w:fldCharType="end"/>
      </w:r>
    </w:p>
    <w:p>
      <w:pPr>
        <w:pStyle w:val="13"/>
        <w:tabs>
          <w:tab w:val="right" w:leader="dot" w:pos="9746"/>
          <w:tab w:val="clear" w:pos="0"/>
        </w:tabs>
      </w:pPr>
      <w:r>
        <w:fldChar w:fldCharType="begin"/>
      </w:r>
      <w:r>
        <w:instrText xml:space="preserve"> HYPERLINK \l _Toc24530 </w:instrText>
      </w:r>
      <w:r>
        <w:fldChar w:fldCharType="separate"/>
      </w:r>
      <w:r>
        <w:rPr>
          <w:rFonts w:hint="eastAsia" w:ascii="宋体" w:hAnsi="宋体" w:eastAsia="宋体" w:cs="宋体"/>
        </w:rPr>
        <w:t xml:space="preserve">(四) </w:t>
      </w:r>
      <w:r>
        <w:rPr>
          <w:rFonts w:hint="eastAsia"/>
        </w:rPr>
        <w:t>补充合同</w:t>
      </w:r>
      <w:r>
        <w:tab/>
      </w:r>
      <w:r>
        <w:fldChar w:fldCharType="begin"/>
      </w:r>
      <w:r>
        <w:instrText xml:space="preserve"> PAGEREF _Toc24530 \h </w:instrText>
      </w:r>
      <w:r>
        <w:fldChar w:fldCharType="separate"/>
      </w:r>
      <w:r>
        <w:t>28</w:t>
      </w:r>
      <w:r>
        <w:fldChar w:fldCharType="end"/>
      </w:r>
      <w:r>
        <w:fldChar w:fldCharType="end"/>
      </w:r>
    </w:p>
    <w:p>
      <w:pPr>
        <w:pStyle w:val="13"/>
        <w:tabs>
          <w:tab w:val="right" w:leader="dot" w:pos="9746"/>
          <w:tab w:val="clear" w:pos="0"/>
        </w:tabs>
      </w:pPr>
      <w:r>
        <w:fldChar w:fldCharType="begin"/>
      </w:r>
      <w:r>
        <w:instrText xml:space="preserve"> HYPERLINK \l _Toc26332 </w:instrText>
      </w:r>
      <w:r>
        <w:fldChar w:fldCharType="separate"/>
      </w:r>
      <w:r>
        <w:rPr>
          <w:rFonts w:hint="eastAsia" w:ascii="宋体" w:hAnsi="宋体" w:eastAsia="宋体" w:cs="宋体"/>
        </w:rPr>
        <w:t xml:space="preserve">(五) </w:t>
      </w:r>
      <w:r>
        <w:rPr>
          <w:rFonts w:hint="eastAsia"/>
        </w:rPr>
        <w:t>履行合同</w:t>
      </w:r>
      <w:r>
        <w:tab/>
      </w:r>
      <w:r>
        <w:fldChar w:fldCharType="begin"/>
      </w:r>
      <w:r>
        <w:instrText xml:space="preserve"> PAGEREF _Toc26332 \h </w:instrText>
      </w:r>
      <w:r>
        <w:fldChar w:fldCharType="separate"/>
      </w:r>
      <w:r>
        <w:t>28</w:t>
      </w:r>
      <w:r>
        <w:fldChar w:fldCharType="end"/>
      </w:r>
      <w:r>
        <w:fldChar w:fldCharType="end"/>
      </w:r>
    </w:p>
    <w:p>
      <w:pPr>
        <w:pStyle w:val="13"/>
        <w:tabs>
          <w:tab w:val="right" w:leader="dot" w:pos="9746"/>
          <w:tab w:val="clear" w:pos="0"/>
        </w:tabs>
      </w:pPr>
      <w:r>
        <w:fldChar w:fldCharType="begin"/>
      </w:r>
      <w:r>
        <w:instrText xml:space="preserve"> HYPERLINK \l _Toc27385 </w:instrText>
      </w:r>
      <w:r>
        <w:fldChar w:fldCharType="separate"/>
      </w:r>
      <w:r>
        <w:rPr>
          <w:rFonts w:hint="eastAsia" w:ascii="宋体" w:hAnsi="宋体" w:eastAsia="宋体" w:cs="宋体"/>
        </w:rPr>
        <w:t xml:space="preserve">(六) </w:t>
      </w:r>
      <w:r>
        <w:rPr>
          <w:rFonts w:hint="eastAsia"/>
        </w:rPr>
        <w:t>付款方式及履约验收</w:t>
      </w:r>
      <w:r>
        <w:tab/>
      </w:r>
      <w:r>
        <w:fldChar w:fldCharType="begin"/>
      </w:r>
      <w:r>
        <w:instrText xml:space="preserve"> PAGEREF _Toc27385 \h </w:instrText>
      </w:r>
      <w:r>
        <w:fldChar w:fldCharType="separate"/>
      </w:r>
      <w:r>
        <w:t>28</w:t>
      </w:r>
      <w:r>
        <w:fldChar w:fldCharType="end"/>
      </w:r>
      <w:r>
        <w:fldChar w:fldCharType="end"/>
      </w:r>
    </w:p>
    <w:p>
      <w:pPr>
        <w:pStyle w:val="19"/>
        <w:tabs>
          <w:tab w:val="right" w:leader="dot" w:pos="9746"/>
          <w:tab w:val="clear" w:pos="0"/>
        </w:tabs>
      </w:pPr>
      <w:r>
        <w:fldChar w:fldCharType="begin"/>
      </w:r>
      <w:r>
        <w:instrText xml:space="preserve"> HYPERLINK \l _Toc12071 </w:instrText>
      </w:r>
      <w:r>
        <w:fldChar w:fldCharType="separate"/>
      </w:r>
      <w:r>
        <w:rPr>
          <w:rFonts w:hint="eastAsia" w:ascii="宋体" w:hAnsi="宋体" w:eastAsia="宋体" w:cs="宋体"/>
          <w:szCs w:val="36"/>
        </w:rPr>
        <w:t xml:space="preserve">八、 </w:t>
      </w:r>
      <w:r>
        <w:rPr>
          <w:rFonts w:hint="eastAsia"/>
          <w:szCs w:val="36"/>
        </w:rPr>
        <w:t>磋商纪律要求</w:t>
      </w:r>
      <w:r>
        <w:tab/>
      </w:r>
      <w:r>
        <w:fldChar w:fldCharType="begin"/>
      </w:r>
      <w:r>
        <w:instrText xml:space="preserve"> PAGEREF _Toc12071 \h </w:instrText>
      </w:r>
      <w:r>
        <w:fldChar w:fldCharType="separate"/>
      </w:r>
      <w:r>
        <w:t>28</w:t>
      </w:r>
      <w:r>
        <w:fldChar w:fldCharType="end"/>
      </w:r>
      <w:r>
        <w:fldChar w:fldCharType="end"/>
      </w:r>
    </w:p>
    <w:p>
      <w:pPr>
        <w:pStyle w:val="13"/>
        <w:tabs>
          <w:tab w:val="right" w:leader="dot" w:pos="9746"/>
          <w:tab w:val="clear" w:pos="0"/>
        </w:tabs>
      </w:pPr>
      <w:r>
        <w:fldChar w:fldCharType="begin"/>
      </w:r>
      <w:r>
        <w:instrText xml:space="preserve"> HYPERLINK \l _Toc23681 </w:instrText>
      </w:r>
      <w:r>
        <w:fldChar w:fldCharType="separate"/>
      </w:r>
      <w:r>
        <w:rPr>
          <w:rFonts w:hint="eastAsia" w:ascii="宋体" w:hAnsi="宋体" w:eastAsia="宋体" w:cs="宋体"/>
        </w:rPr>
        <w:t xml:space="preserve">(一) </w:t>
      </w:r>
      <w:r>
        <w:rPr>
          <w:rFonts w:hint="eastAsia"/>
        </w:rPr>
        <w:t>供应商参加本项目采购活动不得具有的情形</w:t>
      </w:r>
      <w:r>
        <w:tab/>
      </w:r>
      <w:r>
        <w:fldChar w:fldCharType="begin"/>
      </w:r>
      <w:r>
        <w:instrText xml:space="preserve"> PAGEREF _Toc23681 \h </w:instrText>
      </w:r>
      <w:r>
        <w:fldChar w:fldCharType="separate"/>
      </w:r>
      <w:r>
        <w:t>28</w:t>
      </w:r>
      <w:r>
        <w:fldChar w:fldCharType="end"/>
      </w:r>
      <w:r>
        <w:fldChar w:fldCharType="end"/>
      </w:r>
    </w:p>
    <w:p>
      <w:pPr>
        <w:pStyle w:val="13"/>
        <w:tabs>
          <w:tab w:val="right" w:leader="dot" w:pos="9746"/>
          <w:tab w:val="clear" w:pos="0"/>
        </w:tabs>
      </w:pPr>
      <w:r>
        <w:fldChar w:fldCharType="begin"/>
      </w:r>
      <w:r>
        <w:instrText xml:space="preserve"> HYPERLINK \l _Toc25720 </w:instrText>
      </w:r>
      <w:r>
        <w:fldChar w:fldCharType="separate"/>
      </w:r>
      <w:r>
        <w:rPr>
          <w:rFonts w:hint="eastAsia" w:ascii="宋体" w:hAnsi="宋体" w:eastAsia="宋体" w:cs="宋体"/>
        </w:rPr>
        <w:t xml:space="preserve">(二) </w:t>
      </w:r>
      <w:r>
        <w:rPr>
          <w:rFonts w:hint="eastAsia"/>
        </w:rPr>
        <w:t>磋商现场纪律要求</w:t>
      </w:r>
      <w:r>
        <w:tab/>
      </w:r>
      <w:r>
        <w:fldChar w:fldCharType="begin"/>
      </w:r>
      <w:r>
        <w:instrText xml:space="preserve"> PAGEREF _Toc25720 \h </w:instrText>
      </w:r>
      <w:r>
        <w:fldChar w:fldCharType="separate"/>
      </w:r>
      <w:r>
        <w:t>29</w:t>
      </w:r>
      <w:r>
        <w:fldChar w:fldCharType="end"/>
      </w:r>
      <w:r>
        <w:fldChar w:fldCharType="end"/>
      </w:r>
    </w:p>
    <w:p>
      <w:pPr>
        <w:pStyle w:val="19"/>
        <w:tabs>
          <w:tab w:val="right" w:leader="dot" w:pos="9746"/>
          <w:tab w:val="clear" w:pos="0"/>
        </w:tabs>
      </w:pPr>
      <w:r>
        <w:fldChar w:fldCharType="begin"/>
      </w:r>
      <w:r>
        <w:instrText xml:space="preserve"> HYPERLINK \l _Toc25459 </w:instrText>
      </w:r>
      <w:r>
        <w:fldChar w:fldCharType="separate"/>
      </w:r>
      <w:r>
        <w:rPr>
          <w:rFonts w:hint="eastAsia" w:ascii="宋体" w:hAnsi="宋体" w:eastAsia="宋体" w:cs="宋体"/>
          <w:szCs w:val="36"/>
        </w:rPr>
        <w:t xml:space="preserve">九、 </w:t>
      </w:r>
      <w:r>
        <w:rPr>
          <w:rFonts w:hint="eastAsia"/>
          <w:szCs w:val="36"/>
        </w:rPr>
        <w:t>其他</w:t>
      </w:r>
      <w:r>
        <w:tab/>
      </w:r>
      <w:r>
        <w:fldChar w:fldCharType="begin"/>
      </w:r>
      <w:r>
        <w:instrText xml:space="preserve"> PAGEREF _Toc25459 \h </w:instrText>
      </w:r>
      <w:r>
        <w:fldChar w:fldCharType="separate"/>
      </w:r>
      <w:r>
        <w:t>29</w:t>
      </w:r>
      <w:r>
        <w:fldChar w:fldCharType="end"/>
      </w:r>
      <w:r>
        <w:fldChar w:fldCharType="end"/>
      </w:r>
    </w:p>
    <w:p>
      <w:pPr>
        <w:pStyle w:val="13"/>
        <w:tabs>
          <w:tab w:val="right" w:leader="dot" w:pos="9746"/>
          <w:tab w:val="clear" w:pos="0"/>
        </w:tabs>
      </w:pPr>
      <w:r>
        <w:fldChar w:fldCharType="begin"/>
      </w:r>
      <w:r>
        <w:instrText xml:space="preserve"> HYPERLINK \l _Toc3342 </w:instrText>
      </w:r>
      <w:r>
        <w:fldChar w:fldCharType="separate"/>
      </w:r>
      <w:r>
        <w:rPr>
          <w:rFonts w:hint="eastAsia" w:ascii="宋体" w:hAnsi="宋体" w:eastAsia="宋体" w:cs="宋体"/>
        </w:rPr>
        <w:t xml:space="preserve">(一) </w:t>
      </w:r>
      <w:r>
        <w:rPr>
          <w:rFonts w:hint="eastAsia"/>
        </w:rPr>
        <w:t>询问、质疑和投诉</w:t>
      </w:r>
      <w:r>
        <w:tab/>
      </w:r>
      <w:r>
        <w:fldChar w:fldCharType="begin"/>
      </w:r>
      <w:r>
        <w:instrText xml:space="preserve"> PAGEREF _Toc3342 \h </w:instrText>
      </w:r>
      <w:r>
        <w:fldChar w:fldCharType="separate"/>
      </w:r>
      <w:r>
        <w:t>29</w:t>
      </w:r>
      <w:r>
        <w:fldChar w:fldCharType="end"/>
      </w:r>
      <w:r>
        <w:fldChar w:fldCharType="end"/>
      </w:r>
    </w:p>
    <w:p>
      <w:pPr>
        <w:pStyle w:val="13"/>
        <w:tabs>
          <w:tab w:val="right" w:leader="dot" w:pos="9746"/>
          <w:tab w:val="clear" w:pos="0"/>
        </w:tabs>
      </w:pPr>
      <w:r>
        <w:fldChar w:fldCharType="begin"/>
      </w:r>
      <w:r>
        <w:instrText xml:space="preserve"> HYPERLINK \l _Toc6918 </w:instrText>
      </w:r>
      <w:r>
        <w:fldChar w:fldCharType="separate"/>
      </w:r>
      <w:r>
        <w:rPr>
          <w:rFonts w:hint="eastAsia" w:ascii="宋体" w:hAnsi="宋体" w:eastAsia="宋体" w:cs="宋体"/>
        </w:rPr>
        <w:t xml:space="preserve">(二) </w:t>
      </w:r>
      <w:r>
        <w:rPr>
          <w:rFonts w:hint="eastAsia"/>
        </w:rPr>
        <w:t>关于行贿犯罪档案查询工作的规定</w:t>
      </w:r>
      <w:r>
        <w:tab/>
      </w:r>
      <w:r>
        <w:fldChar w:fldCharType="begin"/>
      </w:r>
      <w:r>
        <w:instrText xml:space="preserve"> PAGEREF _Toc6918 \h </w:instrText>
      </w:r>
      <w:r>
        <w:fldChar w:fldCharType="separate"/>
      </w:r>
      <w:r>
        <w:t>29</w:t>
      </w:r>
      <w:r>
        <w:fldChar w:fldCharType="end"/>
      </w:r>
      <w:r>
        <w:fldChar w:fldCharType="end"/>
      </w:r>
    </w:p>
    <w:p>
      <w:pPr>
        <w:pStyle w:val="13"/>
        <w:tabs>
          <w:tab w:val="right" w:leader="dot" w:pos="9746"/>
          <w:tab w:val="clear" w:pos="0"/>
        </w:tabs>
      </w:pPr>
      <w:r>
        <w:fldChar w:fldCharType="begin"/>
      </w:r>
      <w:r>
        <w:instrText xml:space="preserve"> HYPERLINK \l _Toc5492 </w:instrText>
      </w:r>
      <w:r>
        <w:fldChar w:fldCharType="separate"/>
      </w:r>
      <w:r>
        <w:rPr>
          <w:rFonts w:hint="eastAsia" w:ascii="宋体" w:hAnsi="宋体" w:eastAsia="宋体" w:cs="宋体"/>
        </w:rPr>
        <w:t xml:space="preserve">(三) </w:t>
      </w:r>
      <w:r>
        <w:rPr>
          <w:rFonts w:hint="eastAsia"/>
        </w:rPr>
        <w:t>供应商信用信息查询</w:t>
      </w:r>
      <w:r>
        <w:tab/>
      </w:r>
      <w:r>
        <w:fldChar w:fldCharType="begin"/>
      </w:r>
      <w:r>
        <w:instrText xml:space="preserve"> PAGEREF _Toc5492 \h </w:instrText>
      </w:r>
      <w:r>
        <w:fldChar w:fldCharType="separate"/>
      </w:r>
      <w:r>
        <w:t>29</w:t>
      </w:r>
      <w:r>
        <w:fldChar w:fldCharType="end"/>
      </w:r>
      <w:r>
        <w:fldChar w:fldCharType="end"/>
      </w:r>
    </w:p>
    <w:p>
      <w:pPr>
        <w:pStyle w:val="13"/>
        <w:tabs>
          <w:tab w:val="right" w:leader="dot" w:pos="9746"/>
          <w:tab w:val="clear" w:pos="0"/>
        </w:tabs>
      </w:pPr>
      <w:r>
        <w:fldChar w:fldCharType="begin"/>
      </w:r>
      <w:r>
        <w:instrText xml:space="preserve"> HYPERLINK \l _Toc11038 </w:instrText>
      </w:r>
      <w:r>
        <w:fldChar w:fldCharType="separate"/>
      </w:r>
      <w:r>
        <w:rPr>
          <w:rFonts w:hint="eastAsia" w:ascii="宋体" w:hAnsi="宋体" w:eastAsia="宋体" w:cs="宋体"/>
        </w:rPr>
        <w:t xml:space="preserve">(四) </w:t>
      </w:r>
      <w:r>
        <w:rPr>
          <w:rFonts w:hint="eastAsia"/>
        </w:rPr>
        <w:t>保密</w:t>
      </w:r>
      <w:r>
        <w:tab/>
      </w:r>
      <w:r>
        <w:fldChar w:fldCharType="begin"/>
      </w:r>
      <w:r>
        <w:instrText xml:space="preserve"> PAGEREF _Toc11038 \h </w:instrText>
      </w:r>
      <w:r>
        <w:fldChar w:fldCharType="separate"/>
      </w:r>
      <w:r>
        <w:t>30</w:t>
      </w:r>
      <w:r>
        <w:fldChar w:fldCharType="end"/>
      </w:r>
      <w:r>
        <w:fldChar w:fldCharType="end"/>
      </w:r>
    </w:p>
    <w:p>
      <w:pPr>
        <w:pStyle w:val="13"/>
        <w:tabs>
          <w:tab w:val="right" w:leader="dot" w:pos="9746"/>
          <w:tab w:val="clear" w:pos="0"/>
        </w:tabs>
      </w:pPr>
      <w:r>
        <w:fldChar w:fldCharType="begin"/>
      </w:r>
      <w:r>
        <w:instrText xml:space="preserve"> HYPERLINK \l _Toc17777 </w:instrText>
      </w:r>
      <w:r>
        <w:fldChar w:fldCharType="separate"/>
      </w:r>
      <w:r>
        <w:rPr>
          <w:rFonts w:hint="eastAsia" w:ascii="宋体" w:hAnsi="宋体" w:eastAsia="宋体" w:cs="宋体"/>
        </w:rPr>
        <w:t xml:space="preserve">(五) </w:t>
      </w:r>
      <w:r>
        <w:rPr>
          <w:rFonts w:hint="eastAsia"/>
        </w:rPr>
        <w:t>回避</w:t>
      </w:r>
      <w:r>
        <w:tab/>
      </w:r>
      <w:r>
        <w:fldChar w:fldCharType="begin"/>
      </w:r>
      <w:r>
        <w:instrText xml:space="preserve"> PAGEREF _Toc17777 \h </w:instrText>
      </w:r>
      <w:r>
        <w:fldChar w:fldCharType="separate"/>
      </w:r>
      <w:r>
        <w:t>30</w:t>
      </w:r>
      <w:r>
        <w:fldChar w:fldCharType="end"/>
      </w:r>
      <w:r>
        <w:fldChar w:fldCharType="end"/>
      </w:r>
    </w:p>
    <w:p>
      <w:pPr>
        <w:pStyle w:val="13"/>
        <w:tabs>
          <w:tab w:val="right" w:leader="dot" w:pos="9746"/>
          <w:tab w:val="clear" w:pos="0"/>
        </w:tabs>
      </w:pPr>
      <w:r>
        <w:fldChar w:fldCharType="begin"/>
      </w:r>
      <w:r>
        <w:instrText xml:space="preserve"> HYPERLINK \l _Toc26098 </w:instrText>
      </w:r>
      <w:r>
        <w:fldChar w:fldCharType="separate"/>
      </w:r>
      <w:r>
        <w:rPr>
          <w:rFonts w:hint="eastAsia" w:ascii="宋体" w:hAnsi="宋体" w:eastAsia="宋体" w:cs="宋体"/>
        </w:rPr>
        <w:t xml:space="preserve">(六) </w:t>
      </w:r>
      <w:r>
        <w:rPr>
          <w:rFonts w:hint="eastAsia"/>
        </w:rPr>
        <w:t>解释说明</w:t>
      </w:r>
      <w:r>
        <w:tab/>
      </w:r>
      <w:r>
        <w:fldChar w:fldCharType="begin"/>
      </w:r>
      <w:r>
        <w:instrText xml:space="preserve"> PAGEREF _Toc26098 \h </w:instrText>
      </w:r>
      <w:r>
        <w:fldChar w:fldCharType="separate"/>
      </w:r>
      <w:r>
        <w:t>30</w:t>
      </w:r>
      <w:r>
        <w:fldChar w:fldCharType="end"/>
      </w:r>
      <w:r>
        <w:fldChar w:fldCharType="end"/>
      </w:r>
    </w:p>
    <w:p>
      <w:pPr>
        <w:pStyle w:val="17"/>
        <w:tabs>
          <w:tab w:val="clear" w:pos="0"/>
        </w:tabs>
      </w:pPr>
      <w:r>
        <w:fldChar w:fldCharType="begin"/>
      </w:r>
      <w:r>
        <w:instrText xml:space="preserve"> HYPERLINK \l _Toc29102 </w:instrText>
      </w:r>
      <w:r>
        <w:fldChar w:fldCharType="separate"/>
      </w:r>
      <w:r>
        <w:rPr>
          <w:rFonts w:hint="eastAsia" w:ascii="宋体" w:hAnsi="宋体" w:eastAsia="宋体" w:cs="宋体"/>
        </w:rPr>
        <w:t xml:space="preserve">第三章 </w:t>
      </w:r>
      <w:r>
        <w:rPr>
          <w:rFonts w:hint="eastAsia"/>
        </w:rPr>
        <w:t>响应文件格式</w:t>
      </w:r>
      <w:r>
        <w:tab/>
      </w:r>
      <w:r>
        <w:fldChar w:fldCharType="begin"/>
      </w:r>
      <w:r>
        <w:instrText xml:space="preserve"> PAGEREF _Toc29102 \h </w:instrText>
      </w:r>
      <w:r>
        <w:fldChar w:fldCharType="separate"/>
      </w:r>
      <w:r>
        <w:t>32</w:t>
      </w:r>
      <w:r>
        <w:fldChar w:fldCharType="end"/>
      </w:r>
      <w:r>
        <w:fldChar w:fldCharType="end"/>
      </w:r>
    </w:p>
    <w:p>
      <w:pPr>
        <w:pStyle w:val="19"/>
        <w:tabs>
          <w:tab w:val="right" w:leader="dot" w:pos="9746"/>
          <w:tab w:val="clear" w:pos="0"/>
        </w:tabs>
      </w:pPr>
      <w:r>
        <w:fldChar w:fldCharType="begin"/>
      </w:r>
      <w:r>
        <w:instrText xml:space="preserve"> HYPERLINK \l _Toc5039 </w:instrText>
      </w:r>
      <w:r>
        <w:fldChar w:fldCharType="separate"/>
      </w:r>
      <w:r>
        <w:rPr>
          <w:rFonts w:hint="eastAsia"/>
          <w:szCs w:val="32"/>
        </w:rPr>
        <w:t>第一部分 资格、资质性及其他类似效力响应文件(格式)</w:t>
      </w:r>
      <w:r>
        <w:tab/>
      </w:r>
      <w:r>
        <w:fldChar w:fldCharType="begin"/>
      </w:r>
      <w:r>
        <w:instrText xml:space="preserve"> PAGEREF _Toc5039 \h </w:instrText>
      </w:r>
      <w:r>
        <w:fldChar w:fldCharType="separate"/>
      </w:r>
      <w:r>
        <w:t>35</w:t>
      </w:r>
      <w:r>
        <w:fldChar w:fldCharType="end"/>
      </w:r>
      <w:r>
        <w:fldChar w:fldCharType="end"/>
      </w:r>
    </w:p>
    <w:p>
      <w:pPr>
        <w:pStyle w:val="13"/>
        <w:tabs>
          <w:tab w:val="right" w:leader="dot" w:pos="9746"/>
          <w:tab w:val="clear" w:pos="0"/>
        </w:tabs>
      </w:pPr>
      <w:r>
        <w:fldChar w:fldCharType="begin"/>
      </w:r>
      <w:r>
        <w:instrText xml:space="preserve"> HYPERLINK \l _Toc30526 </w:instrText>
      </w:r>
      <w:r>
        <w:fldChar w:fldCharType="separate"/>
      </w:r>
      <w:r>
        <w:rPr>
          <w:rFonts w:hint="eastAsia"/>
        </w:rPr>
        <w:t>一、 法定代表人/单位负责人授权书</w:t>
      </w:r>
      <w:r>
        <w:tab/>
      </w:r>
      <w:r>
        <w:fldChar w:fldCharType="begin"/>
      </w:r>
      <w:r>
        <w:instrText xml:space="preserve"> PAGEREF _Toc30526 \h </w:instrText>
      </w:r>
      <w:r>
        <w:fldChar w:fldCharType="separate"/>
      </w:r>
      <w:r>
        <w:t>36</w:t>
      </w:r>
      <w:r>
        <w:fldChar w:fldCharType="end"/>
      </w:r>
      <w:r>
        <w:fldChar w:fldCharType="end"/>
      </w:r>
    </w:p>
    <w:p>
      <w:pPr>
        <w:pStyle w:val="13"/>
        <w:tabs>
          <w:tab w:val="right" w:leader="dot" w:pos="9746"/>
          <w:tab w:val="clear" w:pos="0"/>
        </w:tabs>
      </w:pPr>
      <w:r>
        <w:fldChar w:fldCharType="begin"/>
      </w:r>
      <w:r>
        <w:instrText xml:space="preserve"> HYPERLINK \l _Toc25674 </w:instrText>
      </w:r>
      <w:r>
        <w:fldChar w:fldCharType="separate"/>
      </w:r>
      <w:r>
        <w:rPr>
          <w:rFonts w:hint="eastAsia"/>
        </w:rPr>
        <w:t>一、 法定代表人/单位负责人证明书</w:t>
      </w:r>
      <w:r>
        <w:tab/>
      </w:r>
      <w:r>
        <w:fldChar w:fldCharType="begin"/>
      </w:r>
      <w:r>
        <w:instrText xml:space="preserve"> PAGEREF _Toc25674 \h </w:instrText>
      </w:r>
      <w:r>
        <w:fldChar w:fldCharType="separate"/>
      </w:r>
      <w:r>
        <w:t>37</w:t>
      </w:r>
      <w:r>
        <w:fldChar w:fldCharType="end"/>
      </w:r>
      <w:r>
        <w:fldChar w:fldCharType="end"/>
      </w:r>
    </w:p>
    <w:p>
      <w:pPr>
        <w:pStyle w:val="13"/>
        <w:tabs>
          <w:tab w:val="right" w:leader="dot" w:pos="9746"/>
          <w:tab w:val="clear" w:pos="0"/>
        </w:tabs>
      </w:pPr>
      <w:r>
        <w:fldChar w:fldCharType="begin"/>
      </w:r>
      <w:r>
        <w:instrText xml:space="preserve"> HYPERLINK \l _Toc234 </w:instrText>
      </w:r>
      <w:r>
        <w:fldChar w:fldCharType="separate"/>
      </w:r>
      <w:r>
        <w:rPr>
          <w:rFonts w:hint="eastAsia"/>
        </w:rPr>
        <w:t>二、 供应商具有独立承担民事责任的能力的证明材料</w:t>
      </w:r>
      <w:r>
        <w:tab/>
      </w:r>
      <w:r>
        <w:fldChar w:fldCharType="begin"/>
      </w:r>
      <w:r>
        <w:instrText xml:space="preserve"> PAGEREF _Toc234 \h </w:instrText>
      </w:r>
      <w:r>
        <w:fldChar w:fldCharType="separate"/>
      </w:r>
      <w:r>
        <w:t>38</w:t>
      </w:r>
      <w:r>
        <w:fldChar w:fldCharType="end"/>
      </w:r>
      <w:r>
        <w:fldChar w:fldCharType="end"/>
      </w:r>
    </w:p>
    <w:p>
      <w:pPr>
        <w:pStyle w:val="13"/>
        <w:tabs>
          <w:tab w:val="right" w:leader="dot" w:pos="9746"/>
          <w:tab w:val="clear" w:pos="0"/>
        </w:tabs>
      </w:pPr>
      <w:r>
        <w:fldChar w:fldCharType="begin"/>
      </w:r>
      <w:r>
        <w:instrText xml:space="preserve"> HYPERLINK \l _Toc20540 </w:instrText>
      </w:r>
      <w:r>
        <w:fldChar w:fldCharType="separate"/>
      </w:r>
      <w:r>
        <w:rPr>
          <w:rFonts w:hint="eastAsia"/>
        </w:rPr>
        <w:t>三、 供应商具有良好的商业信誉和健全的财务会计制度的证明材料</w:t>
      </w:r>
      <w:r>
        <w:tab/>
      </w:r>
      <w:r>
        <w:fldChar w:fldCharType="begin"/>
      </w:r>
      <w:r>
        <w:instrText xml:space="preserve"> PAGEREF _Toc20540 \h </w:instrText>
      </w:r>
      <w:r>
        <w:fldChar w:fldCharType="separate"/>
      </w:r>
      <w:r>
        <w:t>39</w:t>
      </w:r>
      <w:r>
        <w:fldChar w:fldCharType="end"/>
      </w:r>
      <w:r>
        <w:fldChar w:fldCharType="end"/>
      </w:r>
    </w:p>
    <w:p>
      <w:pPr>
        <w:pStyle w:val="13"/>
        <w:tabs>
          <w:tab w:val="right" w:leader="dot" w:pos="9746"/>
          <w:tab w:val="clear" w:pos="0"/>
        </w:tabs>
      </w:pPr>
      <w:r>
        <w:fldChar w:fldCharType="begin"/>
      </w:r>
      <w:r>
        <w:instrText xml:space="preserve"> HYPERLINK \l _Toc16777 </w:instrText>
      </w:r>
      <w:r>
        <w:fldChar w:fldCharType="separate"/>
      </w:r>
      <w:r>
        <w:rPr>
          <w:rFonts w:hint="eastAsia"/>
        </w:rPr>
        <w:t>四、 供应商有依法缴纳税收和社会保障资金的良好记录的证明材料</w:t>
      </w:r>
      <w:r>
        <w:tab/>
      </w:r>
      <w:r>
        <w:fldChar w:fldCharType="begin"/>
      </w:r>
      <w:r>
        <w:instrText xml:space="preserve"> PAGEREF _Toc16777 \h </w:instrText>
      </w:r>
      <w:r>
        <w:fldChar w:fldCharType="separate"/>
      </w:r>
      <w:r>
        <w:t>40</w:t>
      </w:r>
      <w:r>
        <w:fldChar w:fldCharType="end"/>
      </w:r>
      <w:r>
        <w:fldChar w:fldCharType="end"/>
      </w:r>
    </w:p>
    <w:p>
      <w:pPr>
        <w:pStyle w:val="13"/>
        <w:tabs>
          <w:tab w:val="right" w:leader="dot" w:pos="9746"/>
          <w:tab w:val="clear" w:pos="0"/>
        </w:tabs>
      </w:pPr>
      <w:r>
        <w:fldChar w:fldCharType="begin"/>
      </w:r>
      <w:r>
        <w:instrText xml:space="preserve"> HYPERLINK \l _Toc2441 </w:instrText>
      </w:r>
      <w:r>
        <w:fldChar w:fldCharType="separate"/>
      </w:r>
      <w:r>
        <w:rPr>
          <w:rFonts w:hint="eastAsia"/>
        </w:rPr>
        <w:t>五、 供应商具有履行合同所必需的设备和专业技术能力证明材料</w:t>
      </w:r>
      <w:r>
        <w:tab/>
      </w:r>
      <w:r>
        <w:fldChar w:fldCharType="begin"/>
      </w:r>
      <w:r>
        <w:instrText xml:space="preserve"> PAGEREF _Toc2441 \h </w:instrText>
      </w:r>
      <w:r>
        <w:fldChar w:fldCharType="separate"/>
      </w:r>
      <w:r>
        <w:t>41</w:t>
      </w:r>
      <w:r>
        <w:fldChar w:fldCharType="end"/>
      </w:r>
      <w:r>
        <w:fldChar w:fldCharType="end"/>
      </w:r>
    </w:p>
    <w:p>
      <w:pPr>
        <w:pStyle w:val="13"/>
        <w:tabs>
          <w:tab w:val="right" w:leader="dot" w:pos="9746"/>
          <w:tab w:val="clear" w:pos="0"/>
        </w:tabs>
      </w:pPr>
      <w:r>
        <w:fldChar w:fldCharType="begin"/>
      </w:r>
      <w:r>
        <w:instrText xml:space="preserve"> HYPERLINK \l _Toc28866 </w:instrText>
      </w:r>
      <w:r>
        <w:fldChar w:fldCharType="separate"/>
      </w:r>
      <w:r>
        <w:rPr>
          <w:rFonts w:hint="eastAsia"/>
        </w:rPr>
        <w:t>六、 供应商参加采购活动前三年内，在经营活动中没有重大违法记录的证明材料</w:t>
      </w:r>
      <w:r>
        <w:tab/>
      </w:r>
      <w:r>
        <w:fldChar w:fldCharType="begin"/>
      </w:r>
      <w:r>
        <w:instrText xml:space="preserve"> PAGEREF _Toc28866 \h </w:instrText>
      </w:r>
      <w:r>
        <w:fldChar w:fldCharType="separate"/>
      </w:r>
      <w:r>
        <w:t>42</w:t>
      </w:r>
      <w:r>
        <w:fldChar w:fldCharType="end"/>
      </w:r>
      <w:r>
        <w:fldChar w:fldCharType="end"/>
      </w:r>
    </w:p>
    <w:p>
      <w:pPr>
        <w:pStyle w:val="13"/>
        <w:tabs>
          <w:tab w:val="right" w:leader="dot" w:pos="9746"/>
          <w:tab w:val="clear" w:pos="0"/>
        </w:tabs>
      </w:pPr>
      <w:r>
        <w:fldChar w:fldCharType="begin"/>
      </w:r>
      <w:r>
        <w:instrText xml:space="preserve"> HYPERLINK \l _Toc1181 </w:instrText>
      </w:r>
      <w:r>
        <w:fldChar w:fldCharType="separate"/>
      </w:r>
      <w:r>
        <w:rPr>
          <w:rFonts w:hint="eastAsia"/>
          <w:lang w:val="zh-CN"/>
        </w:rPr>
        <w:t xml:space="preserve">七、 </w:t>
      </w:r>
      <w:r>
        <w:rPr>
          <w:rFonts w:hint="eastAsia"/>
          <w:w w:val="95"/>
        </w:rPr>
        <w:t>供应商单位</w:t>
      </w:r>
      <w:r>
        <w:rPr>
          <w:rFonts w:hint="eastAsia"/>
          <w:w w:val="95"/>
          <w:lang w:val="zh-CN"/>
        </w:rPr>
        <w:t>及其现任法定代表人、主要负责人不得具有行贿犯罪记录</w:t>
      </w:r>
      <w:r>
        <w:rPr>
          <w:rFonts w:hint="eastAsia"/>
          <w:w w:val="95"/>
        </w:rPr>
        <w:t>的承诺函</w:t>
      </w:r>
      <w:r>
        <w:tab/>
      </w:r>
      <w:r>
        <w:fldChar w:fldCharType="begin"/>
      </w:r>
      <w:r>
        <w:instrText xml:space="preserve"> PAGEREF _Toc1181 \h </w:instrText>
      </w:r>
      <w:r>
        <w:fldChar w:fldCharType="separate"/>
      </w:r>
      <w:r>
        <w:t>43</w:t>
      </w:r>
      <w:r>
        <w:fldChar w:fldCharType="end"/>
      </w:r>
      <w:r>
        <w:fldChar w:fldCharType="end"/>
      </w:r>
    </w:p>
    <w:p>
      <w:pPr>
        <w:pStyle w:val="13"/>
        <w:tabs>
          <w:tab w:val="right" w:leader="dot" w:pos="9746"/>
          <w:tab w:val="clear" w:pos="0"/>
        </w:tabs>
      </w:pPr>
      <w:r>
        <w:fldChar w:fldCharType="begin"/>
      </w:r>
      <w:r>
        <w:instrText xml:space="preserve"> HYPERLINK \l _Toc5861 </w:instrText>
      </w:r>
      <w:r>
        <w:fldChar w:fldCharType="separate"/>
      </w:r>
      <w:r>
        <w:rPr>
          <w:rFonts w:hint="eastAsia"/>
        </w:rPr>
        <w:t>八、 根据采购项目的特殊要求，规定供应商提供的特定条件的证明材料</w:t>
      </w:r>
      <w:r>
        <w:tab/>
      </w:r>
      <w:r>
        <w:fldChar w:fldCharType="begin"/>
      </w:r>
      <w:r>
        <w:instrText xml:space="preserve"> PAGEREF _Toc5861 \h </w:instrText>
      </w:r>
      <w:r>
        <w:fldChar w:fldCharType="separate"/>
      </w:r>
      <w:r>
        <w:t>44</w:t>
      </w:r>
      <w:r>
        <w:fldChar w:fldCharType="end"/>
      </w:r>
      <w:r>
        <w:fldChar w:fldCharType="end"/>
      </w:r>
    </w:p>
    <w:p>
      <w:pPr>
        <w:pStyle w:val="13"/>
        <w:tabs>
          <w:tab w:val="right" w:leader="dot" w:pos="9746"/>
          <w:tab w:val="clear" w:pos="0"/>
        </w:tabs>
      </w:pPr>
      <w:r>
        <w:fldChar w:fldCharType="begin"/>
      </w:r>
      <w:r>
        <w:instrText xml:space="preserve"> HYPERLINK \l _Toc20162 </w:instrText>
      </w:r>
      <w:r>
        <w:fldChar w:fldCharType="separate"/>
      </w:r>
      <w:r>
        <w:rPr>
          <w:rFonts w:hint="eastAsia" w:cs="宋体"/>
          <w:kern w:val="0"/>
          <w:szCs w:val="20"/>
        </w:rPr>
        <w:t>九、 提供有效的磋商保证金提交凭证</w:t>
      </w:r>
      <w:r>
        <w:tab/>
      </w:r>
      <w:r>
        <w:fldChar w:fldCharType="begin"/>
      </w:r>
      <w:r>
        <w:instrText xml:space="preserve"> PAGEREF _Toc20162 \h </w:instrText>
      </w:r>
      <w:r>
        <w:fldChar w:fldCharType="separate"/>
      </w:r>
      <w:r>
        <w:t>45</w:t>
      </w:r>
      <w:r>
        <w:fldChar w:fldCharType="end"/>
      </w:r>
      <w:r>
        <w:fldChar w:fldCharType="end"/>
      </w:r>
    </w:p>
    <w:p>
      <w:pPr>
        <w:pStyle w:val="13"/>
        <w:tabs>
          <w:tab w:val="right" w:leader="dot" w:pos="9746"/>
          <w:tab w:val="clear" w:pos="0"/>
        </w:tabs>
      </w:pPr>
      <w:r>
        <w:fldChar w:fldCharType="begin"/>
      </w:r>
      <w:r>
        <w:instrText xml:space="preserve"> HYPERLINK \l _Toc31187 </w:instrText>
      </w:r>
      <w:r>
        <w:fldChar w:fldCharType="separate"/>
      </w:r>
      <w:r>
        <w:rPr>
          <w:rFonts w:hint="eastAsia"/>
          <w:w w:val="95"/>
        </w:rPr>
        <w:t>十、 承诺及声明函</w:t>
      </w:r>
      <w:r>
        <w:tab/>
      </w:r>
      <w:r>
        <w:fldChar w:fldCharType="begin"/>
      </w:r>
      <w:r>
        <w:instrText xml:space="preserve"> PAGEREF _Toc31187 \h </w:instrText>
      </w:r>
      <w:r>
        <w:fldChar w:fldCharType="separate"/>
      </w:r>
      <w:r>
        <w:t>46</w:t>
      </w:r>
      <w:r>
        <w:fldChar w:fldCharType="end"/>
      </w:r>
      <w:r>
        <w:fldChar w:fldCharType="end"/>
      </w:r>
    </w:p>
    <w:p>
      <w:pPr>
        <w:pStyle w:val="19"/>
        <w:tabs>
          <w:tab w:val="right" w:leader="dot" w:pos="9746"/>
          <w:tab w:val="clear" w:pos="0"/>
        </w:tabs>
      </w:pPr>
      <w:r>
        <w:fldChar w:fldCharType="begin"/>
      </w:r>
      <w:r>
        <w:instrText xml:space="preserve"> HYPERLINK \l _Toc11485 </w:instrText>
      </w:r>
      <w:r>
        <w:fldChar w:fldCharType="separate"/>
      </w:r>
      <w:r>
        <w:rPr>
          <w:rFonts w:hint="eastAsia"/>
          <w:szCs w:val="32"/>
        </w:rPr>
        <w:t>第二部分 其他响应文件(格式)</w:t>
      </w:r>
      <w:r>
        <w:tab/>
      </w:r>
      <w:r>
        <w:fldChar w:fldCharType="begin"/>
      </w:r>
      <w:r>
        <w:instrText xml:space="preserve"> PAGEREF _Toc11485 \h </w:instrText>
      </w:r>
      <w:r>
        <w:fldChar w:fldCharType="separate"/>
      </w:r>
      <w:r>
        <w:t>47</w:t>
      </w:r>
      <w:r>
        <w:fldChar w:fldCharType="end"/>
      </w:r>
      <w:r>
        <w:fldChar w:fldCharType="end"/>
      </w:r>
    </w:p>
    <w:p>
      <w:pPr>
        <w:pStyle w:val="13"/>
        <w:tabs>
          <w:tab w:val="right" w:leader="dot" w:pos="9746"/>
          <w:tab w:val="clear" w:pos="0"/>
        </w:tabs>
      </w:pPr>
      <w:r>
        <w:fldChar w:fldCharType="begin"/>
      </w:r>
      <w:r>
        <w:instrText xml:space="preserve"> HYPERLINK \l _Toc5803 </w:instrText>
      </w:r>
      <w:r>
        <w:fldChar w:fldCharType="separate"/>
      </w:r>
      <w:r>
        <w:rPr>
          <w:rFonts w:hint="eastAsia"/>
        </w:rPr>
        <w:t>一、 磋商函</w:t>
      </w:r>
      <w:r>
        <w:tab/>
      </w:r>
      <w:r>
        <w:fldChar w:fldCharType="begin"/>
      </w:r>
      <w:r>
        <w:instrText xml:space="preserve"> PAGEREF _Toc5803 \h </w:instrText>
      </w:r>
      <w:r>
        <w:fldChar w:fldCharType="separate"/>
      </w:r>
      <w:r>
        <w:t>48</w:t>
      </w:r>
      <w:r>
        <w:fldChar w:fldCharType="end"/>
      </w:r>
      <w:r>
        <w:fldChar w:fldCharType="end"/>
      </w:r>
    </w:p>
    <w:p>
      <w:pPr>
        <w:pStyle w:val="13"/>
        <w:tabs>
          <w:tab w:val="right" w:leader="dot" w:pos="9746"/>
          <w:tab w:val="clear" w:pos="0"/>
        </w:tabs>
      </w:pPr>
      <w:r>
        <w:fldChar w:fldCharType="begin"/>
      </w:r>
      <w:r>
        <w:instrText xml:space="preserve"> HYPERLINK \l _Toc1454 </w:instrText>
      </w:r>
      <w:r>
        <w:fldChar w:fldCharType="separate"/>
      </w:r>
      <w:r>
        <w:rPr>
          <w:rFonts w:hint="eastAsia"/>
        </w:rPr>
        <w:t>二、 实质性要求承诺</w:t>
      </w:r>
      <w:r>
        <w:tab/>
      </w:r>
      <w:r>
        <w:fldChar w:fldCharType="begin"/>
      </w:r>
      <w:r>
        <w:instrText xml:space="preserve"> PAGEREF _Toc1454 \h </w:instrText>
      </w:r>
      <w:r>
        <w:fldChar w:fldCharType="separate"/>
      </w:r>
      <w:r>
        <w:t>50</w:t>
      </w:r>
      <w:r>
        <w:fldChar w:fldCharType="end"/>
      </w:r>
      <w:r>
        <w:fldChar w:fldCharType="end"/>
      </w:r>
    </w:p>
    <w:p>
      <w:pPr>
        <w:pStyle w:val="13"/>
        <w:tabs>
          <w:tab w:val="right" w:leader="dot" w:pos="9746"/>
          <w:tab w:val="clear" w:pos="0"/>
        </w:tabs>
      </w:pPr>
      <w:r>
        <w:fldChar w:fldCharType="begin"/>
      </w:r>
      <w:r>
        <w:instrText xml:space="preserve"> HYPERLINK \l _Toc21453 </w:instrText>
      </w:r>
      <w:r>
        <w:fldChar w:fldCharType="separate"/>
      </w:r>
      <w:r>
        <w:rPr>
          <w:rFonts w:hint="eastAsia"/>
        </w:rPr>
        <w:t>三、 供应商基本情况表</w:t>
      </w:r>
      <w:r>
        <w:tab/>
      </w:r>
      <w:r>
        <w:fldChar w:fldCharType="begin"/>
      </w:r>
      <w:r>
        <w:instrText xml:space="preserve"> PAGEREF _Toc21453 \h </w:instrText>
      </w:r>
      <w:r>
        <w:fldChar w:fldCharType="separate"/>
      </w:r>
      <w:r>
        <w:t>52</w:t>
      </w:r>
      <w:r>
        <w:fldChar w:fldCharType="end"/>
      </w:r>
      <w:r>
        <w:fldChar w:fldCharType="end"/>
      </w:r>
    </w:p>
    <w:p>
      <w:pPr>
        <w:pStyle w:val="13"/>
        <w:tabs>
          <w:tab w:val="right" w:leader="dot" w:pos="9746"/>
          <w:tab w:val="clear" w:pos="0"/>
        </w:tabs>
      </w:pPr>
      <w:r>
        <w:fldChar w:fldCharType="begin"/>
      </w:r>
      <w:r>
        <w:instrText xml:space="preserve"> HYPERLINK \l _Toc30376 </w:instrText>
      </w:r>
      <w:r>
        <w:fldChar w:fldCharType="separate"/>
      </w:r>
      <w:r>
        <w:rPr>
          <w:rFonts w:hint="eastAsia"/>
        </w:rPr>
        <w:t>四、 商务应答表</w:t>
      </w:r>
      <w:r>
        <w:tab/>
      </w:r>
      <w:r>
        <w:fldChar w:fldCharType="begin"/>
      </w:r>
      <w:r>
        <w:instrText xml:space="preserve"> PAGEREF _Toc30376 \h </w:instrText>
      </w:r>
      <w:r>
        <w:fldChar w:fldCharType="separate"/>
      </w:r>
      <w:r>
        <w:t>53</w:t>
      </w:r>
      <w:r>
        <w:fldChar w:fldCharType="end"/>
      </w:r>
      <w:r>
        <w:fldChar w:fldCharType="end"/>
      </w:r>
    </w:p>
    <w:p>
      <w:pPr>
        <w:pStyle w:val="13"/>
        <w:tabs>
          <w:tab w:val="right" w:leader="dot" w:pos="9746"/>
          <w:tab w:val="clear" w:pos="0"/>
        </w:tabs>
      </w:pPr>
      <w:r>
        <w:fldChar w:fldCharType="begin"/>
      </w:r>
      <w:r>
        <w:instrText xml:space="preserve"> HYPERLINK \l _Toc2655 </w:instrText>
      </w:r>
      <w:r>
        <w:fldChar w:fldCharType="separate"/>
      </w:r>
      <w:r>
        <w:rPr>
          <w:rFonts w:hint="eastAsia"/>
        </w:rPr>
        <w:t>五、 技术及服务应答表</w:t>
      </w:r>
      <w:r>
        <w:tab/>
      </w:r>
      <w:r>
        <w:fldChar w:fldCharType="begin"/>
      </w:r>
      <w:r>
        <w:instrText xml:space="preserve"> PAGEREF _Toc2655 \h </w:instrText>
      </w:r>
      <w:r>
        <w:fldChar w:fldCharType="separate"/>
      </w:r>
      <w:r>
        <w:t>54</w:t>
      </w:r>
      <w:r>
        <w:fldChar w:fldCharType="end"/>
      </w:r>
      <w:r>
        <w:fldChar w:fldCharType="end"/>
      </w:r>
    </w:p>
    <w:p>
      <w:pPr>
        <w:pStyle w:val="13"/>
        <w:tabs>
          <w:tab w:val="right" w:leader="dot" w:pos="9746"/>
          <w:tab w:val="clear" w:pos="0"/>
        </w:tabs>
      </w:pPr>
      <w:r>
        <w:fldChar w:fldCharType="begin"/>
      </w:r>
      <w:r>
        <w:instrText xml:space="preserve"> HYPERLINK \l _Toc11925 </w:instrText>
      </w:r>
      <w:r>
        <w:fldChar w:fldCharType="separate"/>
      </w:r>
      <w:r>
        <w:rPr>
          <w:rFonts w:hint="eastAsia"/>
        </w:rPr>
        <w:t>六、 供应商针对本项目人员配置情况表</w:t>
      </w:r>
      <w:r>
        <w:tab/>
      </w:r>
      <w:r>
        <w:fldChar w:fldCharType="begin"/>
      </w:r>
      <w:r>
        <w:instrText xml:space="preserve"> PAGEREF _Toc11925 \h </w:instrText>
      </w:r>
      <w:r>
        <w:fldChar w:fldCharType="separate"/>
      </w:r>
      <w:r>
        <w:t>55</w:t>
      </w:r>
      <w:r>
        <w:fldChar w:fldCharType="end"/>
      </w:r>
      <w:r>
        <w:fldChar w:fldCharType="end"/>
      </w:r>
    </w:p>
    <w:p>
      <w:pPr>
        <w:pStyle w:val="13"/>
        <w:tabs>
          <w:tab w:val="right" w:leader="dot" w:pos="9746"/>
          <w:tab w:val="clear" w:pos="0"/>
        </w:tabs>
      </w:pPr>
      <w:r>
        <w:fldChar w:fldCharType="begin"/>
      </w:r>
      <w:r>
        <w:instrText xml:space="preserve"> HYPERLINK \l _Toc26451 </w:instrText>
      </w:r>
      <w:r>
        <w:fldChar w:fldCharType="separate"/>
      </w:r>
      <w:r>
        <w:rPr>
          <w:rFonts w:hint="eastAsia"/>
        </w:rPr>
        <w:t>七、 小微企业、监狱企业、残疾人福利性单位价格扣除</w:t>
      </w:r>
      <w:r>
        <w:tab/>
      </w:r>
      <w:r>
        <w:fldChar w:fldCharType="begin"/>
      </w:r>
      <w:r>
        <w:instrText xml:space="preserve"> PAGEREF _Toc26451 \h </w:instrText>
      </w:r>
      <w:r>
        <w:fldChar w:fldCharType="separate"/>
      </w:r>
      <w:r>
        <w:t>56</w:t>
      </w:r>
      <w:r>
        <w:fldChar w:fldCharType="end"/>
      </w:r>
      <w:r>
        <w:fldChar w:fldCharType="end"/>
      </w:r>
    </w:p>
    <w:p>
      <w:pPr>
        <w:pStyle w:val="13"/>
        <w:tabs>
          <w:tab w:val="right" w:leader="dot" w:pos="9746"/>
          <w:tab w:val="clear" w:pos="0"/>
        </w:tabs>
      </w:pPr>
      <w:r>
        <w:fldChar w:fldCharType="begin"/>
      </w:r>
      <w:r>
        <w:instrText xml:space="preserve"> HYPERLINK \l _Toc17061 </w:instrText>
      </w:r>
      <w:r>
        <w:fldChar w:fldCharType="separate"/>
      </w:r>
      <w:r>
        <w:rPr>
          <w:rFonts w:hint="eastAsia"/>
        </w:rPr>
        <w:t>(一)中小企业声明函</w:t>
      </w:r>
      <w:r>
        <w:tab/>
      </w:r>
      <w:r>
        <w:fldChar w:fldCharType="begin"/>
      </w:r>
      <w:r>
        <w:instrText xml:space="preserve"> PAGEREF _Toc17061 \h </w:instrText>
      </w:r>
      <w:r>
        <w:fldChar w:fldCharType="separate"/>
      </w:r>
      <w:r>
        <w:t>56</w:t>
      </w:r>
      <w:r>
        <w:fldChar w:fldCharType="end"/>
      </w:r>
      <w:r>
        <w:fldChar w:fldCharType="end"/>
      </w:r>
    </w:p>
    <w:p>
      <w:pPr>
        <w:pStyle w:val="13"/>
        <w:tabs>
          <w:tab w:val="right" w:leader="dot" w:pos="9746"/>
          <w:tab w:val="clear" w:pos="0"/>
        </w:tabs>
      </w:pPr>
      <w:r>
        <w:fldChar w:fldCharType="begin"/>
      </w:r>
      <w:r>
        <w:instrText xml:space="preserve"> HYPERLINK \l _Toc32509 </w:instrText>
      </w:r>
      <w:r>
        <w:fldChar w:fldCharType="separate"/>
      </w:r>
      <w:r>
        <w:rPr>
          <w:rFonts w:hint="eastAsia"/>
        </w:rPr>
        <w:t>(二)监狱企业相关证明材料(如涉及)</w:t>
      </w:r>
      <w:r>
        <w:tab/>
      </w:r>
      <w:r>
        <w:fldChar w:fldCharType="begin"/>
      </w:r>
      <w:r>
        <w:instrText xml:space="preserve"> PAGEREF _Toc32509 \h </w:instrText>
      </w:r>
      <w:r>
        <w:fldChar w:fldCharType="separate"/>
      </w:r>
      <w:r>
        <w:t>57</w:t>
      </w:r>
      <w:r>
        <w:fldChar w:fldCharType="end"/>
      </w:r>
      <w:r>
        <w:fldChar w:fldCharType="end"/>
      </w:r>
    </w:p>
    <w:p>
      <w:pPr>
        <w:pStyle w:val="13"/>
        <w:tabs>
          <w:tab w:val="right" w:leader="dot" w:pos="9746"/>
          <w:tab w:val="clear" w:pos="0"/>
        </w:tabs>
      </w:pPr>
      <w:r>
        <w:fldChar w:fldCharType="begin"/>
      </w:r>
      <w:r>
        <w:instrText xml:space="preserve"> HYPERLINK \l _Toc568 </w:instrText>
      </w:r>
      <w:r>
        <w:fldChar w:fldCharType="separate"/>
      </w:r>
      <w:r>
        <w:rPr>
          <w:rFonts w:hint="eastAsia"/>
        </w:rPr>
        <w:t>(三)残疾人福利性单位声明函(如涉及)</w:t>
      </w:r>
      <w:r>
        <w:tab/>
      </w:r>
      <w:r>
        <w:fldChar w:fldCharType="begin"/>
      </w:r>
      <w:r>
        <w:instrText xml:space="preserve"> PAGEREF _Toc568 \h </w:instrText>
      </w:r>
      <w:r>
        <w:fldChar w:fldCharType="separate"/>
      </w:r>
      <w:r>
        <w:t>58</w:t>
      </w:r>
      <w:r>
        <w:fldChar w:fldCharType="end"/>
      </w:r>
      <w:r>
        <w:fldChar w:fldCharType="end"/>
      </w:r>
    </w:p>
    <w:p>
      <w:pPr>
        <w:pStyle w:val="13"/>
        <w:tabs>
          <w:tab w:val="right" w:leader="dot" w:pos="9746"/>
          <w:tab w:val="clear" w:pos="0"/>
        </w:tabs>
      </w:pPr>
      <w:r>
        <w:fldChar w:fldCharType="begin"/>
      </w:r>
      <w:r>
        <w:instrText xml:space="preserve"> HYPERLINK \l _Toc9776 </w:instrText>
      </w:r>
      <w:r>
        <w:fldChar w:fldCharType="separate"/>
      </w:r>
      <w:r>
        <w:rPr>
          <w:rFonts w:hint="eastAsia"/>
        </w:rPr>
        <w:t>八、 履约能力及相关证明</w:t>
      </w:r>
      <w:r>
        <w:tab/>
      </w:r>
      <w:r>
        <w:fldChar w:fldCharType="begin"/>
      </w:r>
      <w:r>
        <w:instrText xml:space="preserve"> PAGEREF _Toc9776 \h </w:instrText>
      </w:r>
      <w:r>
        <w:fldChar w:fldCharType="separate"/>
      </w:r>
      <w:r>
        <w:t>59</w:t>
      </w:r>
      <w:r>
        <w:fldChar w:fldCharType="end"/>
      </w:r>
      <w:r>
        <w:fldChar w:fldCharType="end"/>
      </w:r>
    </w:p>
    <w:p>
      <w:pPr>
        <w:pStyle w:val="13"/>
        <w:tabs>
          <w:tab w:val="right" w:leader="dot" w:pos="9746"/>
          <w:tab w:val="clear" w:pos="0"/>
        </w:tabs>
      </w:pPr>
      <w:r>
        <w:fldChar w:fldCharType="begin"/>
      </w:r>
      <w:r>
        <w:instrText xml:space="preserve"> HYPERLINK \l _Toc28162 </w:instrText>
      </w:r>
      <w:r>
        <w:fldChar w:fldCharType="separate"/>
      </w:r>
      <w:r>
        <w:rPr>
          <w:rFonts w:hint="eastAsia"/>
        </w:rPr>
        <w:t xml:space="preserve">九、 </w:t>
      </w:r>
      <w:r>
        <w:rPr>
          <w:rFonts w:hint="eastAsia"/>
          <w:lang w:val="en-US" w:eastAsia="zh-CN"/>
        </w:rPr>
        <w:t>测评</w:t>
      </w:r>
      <w:r>
        <w:rPr>
          <w:rFonts w:hint="eastAsia"/>
        </w:rPr>
        <w:t>方案</w:t>
      </w:r>
      <w:r>
        <w:tab/>
      </w:r>
      <w:r>
        <w:fldChar w:fldCharType="begin"/>
      </w:r>
      <w:r>
        <w:instrText xml:space="preserve"> PAGEREF _Toc28162 \h </w:instrText>
      </w:r>
      <w:r>
        <w:fldChar w:fldCharType="separate"/>
      </w:r>
      <w:r>
        <w:t>60</w:t>
      </w:r>
      <w:r>
        <w:fldChar w:fldCharType="end"/>
      </w:r>
      <w:r>
        <w:fldChar w:fldCharType="end"/>
      </w:r>
    </w:p>
    <w:p>
      <w:pPr>
        <w:pStyle w:val="13"/>
        <w:tabs>
          <w:tab w:val="right" w:leader="dot" w:pos="9746"/>
          <w:tab w:val="clear" w:pos="0"/>
        </w:tabs>
      </w:pPr>
      <w:r>
        <w:fldChar w:fldCharType="begin"/>
      </w:r>
      <w:r>
        <w:instrText xml:space="preserve"> HYPERLINK \l _Toc1358 </w:instrText>
      </w:r>
      <w:r>
        <w:fldChar w:fldCharType="separate"/>
      </w:r>
      <w:r>
        <w:rPr>
          <w:rFonts w:hint="eastAsia"/>
        </w:rPr>
        <w:t>十、 招标代理服务费承诺函</w:t>
      </w:r>
      <w:r>
        <w:tab/>
      </w:r>
      <w:r>
        <w:fldChar w:fldCharType="begin"/>
      </w:r>
      <w:r>
        <w:instrText xml:space="preserve"> PAGEREF _Toc1358 \h </w:instrText>
      </w:r>
      <w:r>
        <w:fldChar w:fldCharType="separate"/>
      </w:r>
      <w:r>
        <w:t>61</w:t>
      </w:r>
      <w:r>
        <w:fldChar w:fldCharType="end"/>
      </w:r>
      <w:r>
        <w:fldChar w:fldCharType="end"/>
      </w:r>
    </w:p>
    <w:p>
      <w:pPr>
        <w:pStyle w:val="13"/>
        <w:tabs>
          <w:tab w:val="right" w:leader="dot" w:pos="9746"/>
          <w:tab w:val="clear" w:pos="0"/>
        </w:tabs>
      </w:pPr>
      <w:r>
        <w:fldChar w:fldCharType="begin"/>
      </w:r>
      <w:r>
        <w:instrText xml:space="preserve"> HYPERLINK \l _Toc5458 </w:instrText>
      </w:r>
      <w:r>
        <w:fldChar w:fldCharType="separate"/>
      </w:r>
      <w:r>
        <w:rPr>
          <w:rFonts w:hint="eastAsia"/>
        </w:rPr>
        <w:t>十一、 报价表</w:t>
      </w:r>
      <w:r>
        <w:tab/>
      </w:r>
      <w:r>
        <w:fldChar w:fldCharType="begin"/>
      </w:r>
      <w:r>
        <w:instrText xml:space="preserve"> PAGEREF _Toc5458 \h </w:instrText>
      </w:r>
      <w:r>
        <w:fldChar w:fldCharType="separate"/>
      </w:r>
      <w:r>
        <w:t>62</w:t>
      </w:r>
      <w:r>
        <w:fldChar w:fldCharType="end"/>
      </w:r>
      <w:r>
        <w:fldChar w:fldCharType="end"/>
      </w:r>
    </w:p>
    <w:p>
      <w:pPr>
        <w:pStyle w:val="17"/>
        <w:tabs>
          <w:tab w:val="clear" w:pos="0"/>
        </w:tabs>
      </w:pPr>
      <w:r>
        <w:fldChar w:fldCharType="begin"/>
      </w:r>
      <w:r>
        <w:instrText xml:space="preserve"> HYPERLINK \l _Toc15614 </w:instrText>
      </w:r>
      <w:r>
        <w:fldChar w:fldCharType="separate"/>
      </w:r>
      <w:r>
        <w:rPr>
          <w:rFonts w:hint="eastAsia" w:ascii="宋体" w:hAnsi="宋体" w:eastAsia="宋体" w:cs="宋体"/>
        </w:rPr>
        <w:t xml:space="preserve">第四章 </w:t>
      </w:r>
      <w:r>
        <w:rPr>
          <w:rFonts w:hint="eastAsia"/>
        </w:rPr>
        <w:t>资格性审查内容</w:t>
      </w:r>
      <w:r>
        <w:tab/>
      </w:r>
      <w:r>
        <w:fldChar w:fldCharType="begin"/>
      </w:r>
      <w:r>
        <w:instrText xml:space="preserve"> PAGEREF _Toc15614 \h </w:instrText>
      </w:r>
      <w:r>
        <w:fldChar w:fldCharType="separate"/>
      </w:r>
      <w:r>
        <w:t>63</w:t>
      </w:r>
      <w:r>
        <w:fldChar w:fldCharType="end"/>
      </w:r>
      <w:r>
        <w:fldChar w:fldCharType="end"/>
      </w:r>
    </w:p>
    <w:p>
      <w:pPr>
        <w:pStyle w:val="17"/>
        <w:tabs>
          <w:tab w:val="clear" w:pos="0"/>
        </w:tabs>
      </w:pPr>
      <w:r>
        <w:fldChar w:fldCharType="begin"/>
      </w:r>
      <w:r>
        <w:instrText xml:space="preserve"> HYPERLINK \l _Toc29311 </w:instrText>
      </w:r>
      <w:r>
        <w:fldChar w:fldCharType="separate"/>
      </w:r>
      <w:r>
        <w:rPr>
          <w:rFonts w:hint="eastAsia" w:ascii="宋体" w:hAnsi="宋体" w:eastAsia="宋体" w:cs="宋体"/>
        </w:rPr>
        <w:t xml:space="preserve">第五章 </w:t>
      </w:r>
      <w:r>
        <w:rPr>
          <w:rFonts w:hint="eastAsia" w:asciiTheme="minorEastAsia" w:hAnsiTheme="minorEastAsia" w:eastAsiaTheme="minorEastAsia" w:cstheme="minorEastAsia"/>
          <w:szCs w:val="36"/>
        </w:rPr>
        <w:t>采购项目技术、服务、合同内容条款及商务要求</w:t>
      </w:r>
      <w:r>
        <w:tab/>
      </w:r>
      <w:r>
        <w:fldChar w:fldCharType="begin"/>
      </w:r>
      <w:r>
        <w:instrText xml:space="preserve"> PAGEREF _Toc29311 \h </w:instrText>
      </w:r>
      <w:r>
        <w:fldChar w:fldCharType="separate"/>
      </w:r>
      <w:r>
        <w:t>66</w:t>
      </w:r>
      <w:r>
        <w:fldChar w:fldCharType="end"/>
      </w:r>
      <w:r>
        <w:fldChar w:fldCharType="end"/>
      </w:r>
    </w:p>
    <w:p>
      <w:pPr>
        <w:pStyle w:val="19"/>
        <w:tabs>
          <w:tab w:val="right" w:leader="dot" w:pos="9746"/>
          <w:tab w:val="clear" w:pos="0"/>
        </w:tabs>
      </w:pPr>
      <w:r>
        <w:fldChar w:fldCharType="begin"/>
      </w:r>
      <w:r>
        <w:instrText xml:space="preserve"> HYPERLINK \l _Toc29024 </w:instrText>
      </w:r>
      <w:r>
        <w:fldChar w:fldCharType="separate"/>
      </w:r>
      <w:r>
        <w:rPr>
          <w:rFonts w:hint="eastAsia" w:ascii="宋体" w:hAnsi="宋体" w:eastAsia="宋体" w:cs="宋体"/>
        </w:rPr>
        <w:t xml:space="preserve">一、 </w:t>
      </w:r>
      <w:r>
        <w:rPr>
          <w:rFonts w:hint="eastAsia"/>
        </w:rPr>
        <w:t>项目概况</w:t>
      </w:r>
      <w:r>
        <w:tab/>
      </w:r>
      <w:r>
        <w:fldChar w:fldCharType="begin"/>
      </w:r>
      <w:r>
        <w:instrText xml:space="preserve"> PAGEREF _Toc29024 \h </w:instrText>
      </w:r>
      <w:r>
        <w:fldChar w:fldCharType="separate"/>
      </w:r>
      <w:r>
        <w:t>66</w:t>
      </w:r>
      <w:r>
        <w:fldChar w:fldCharType="end"/>
      </w:r>
      <w:r>
        <w:fldChar w:fldCharType="end"/>
      </w:r>
    </w:p>
    <w:p>
      <w:pPr>
        <w:pStyle w:val="19"/>
        <w:tabs>
          <w:tab w:val="right" w:leader="dot" w:pos="9746"/>
          <w:tab w:val="clear" w:pos="0"/>
        </w:tabs>
      </w:pPr>
      <w:r>
        <w:fldChar w:fldCharType="begin"/>
      </w:r>
      <w:r>
        <w:instrText xml:space="preserve"> HYPERLINK \l _Toc26565 </w:instrText>
      </w:r>
      <w:r>
        <w:fldChar w:fldCharType="separate"/>
      </w:r>
      <w:r>
        <w:rPr>
          <w:rFonts w:hint="eastAsia" w:ascii="宋体" w:hAnsi="宋体" w:eastAsia="宋体" w:cs="宋体"/>
        </w:rPr>
        <w:t xml:space="preserve">二、 </w:t>
      </w:r>
      <w:r>
        <w:rPr>
          <w:rFonts w:hint="eastAsia"/>
        </w:rPr>
        <w:t>★采购标的</w:t>
      </w:r>
      <w:r>
        <w:tab/>
      </w:r>
      <w:r>
        <w:fldChar w:fldCharType="begin"/>
      </w:r>
      <w:r>
        <w:instrText xml:space="preserve"> PAGEREF _Toc26565 \h </w:instrText>
      </w:r>
      <w:r>
        <w:fldChar w:fldCharType="separate"/>
      </w:r>
      <w:r>
        <w:t>66</w:t>
      </w:r>
      <w:r>
        <w:fldChar w:fldCharType="end"/>
      </w:r>
      <w:r>
        <w:fldChar w:fldCharType="end"/>
      </w:r>
    </w:p>
    <w:p>
      <w:pPr>
        <w:pStyle w:val="19"/>
        <w:tabs>
          <w:tab w:val="right" w:leader="dot" w:pos="9746"/>
          <w:tab w:val="clear" w:pos="0"/>
        </w:tabs>
      </w:pPr>
      <w:r>
        <w:fldChar w:fldCharType="begin"/>
      </w:r>
      <w:r>
        <w:instrText xml:space="preserve"> HYPERLINK \l _Toc30700 </w:instrText>
      </w:r>
      <w:r>
        <w:fldChar w:fldCharType="separate"/>
      </w:r>
      <w:r>
        <w:rPr>
          <w:rFonts w:hint="eastAsia" w:ascii="宋体" w:hAnsi="宋体" w:eastAsia="宋体" w:cs="宋体"/>
        </w:rPr>
        <w:t xml:space="preserve">三、 </w:t>
      </w:r>
      <w:r>
        <w:rPr>
          <w:rFonts w:hint="eastAsia"/>
        </w:rPr>
        <w:t>★技术及服务要求</w:t>
      </w:r>
      <w:r>
        <w:tab/>
      </w:r>
      <w:r>
        <w:fldChar w:fldCharType="begin"/>
      </w:r>
      <w:r>
        <w:instrText xml:space="preserve"> PAGEREF _Toc30700 \h </w:instrText>
      </w:r>
      <w:r>
        <w:fldChar w:fldCharType="separate"/>
      </w:r>
      <w:r>
        <w:t>66</w:t>
      </w:r>
      <w:r>
        <w:fldChar w:fldCharType="end"/>
      </w:r>
      <w:r>
        <w:fldChar w:fldCharType="end"/>
      </w:r>
    </w:p>
    <w:p>
      <w:pPr>
        <w:pStyle w:val="19"/>
        <w:tabs>
          <w:tab w:val="right" w:leader="dot" w:pos="9746"/>
          <w:tab w:val="clear" w:pos="0"/>
        </w:tabs>
      </w:pPr>
      <w:r>
        <w:fldChar w:fldCharType="begin"/>
      </w:r>
      <w:r>
        <w:instrText xml:space="preserve"> HYPERLINK \l _Toc18465 </w:instrText>
      </w:r>
      <w:r>
        <w:fldChar w:fldCharType="separate"/>
      </w:r>
      <w:r>
        <w:rPr>
          <w:rFonts w:hint="eastAsia" w:ascii="宋体" w:hAnsi="宋体" w:eastAsia="宋体" w:cs="宋体"/>
        </w:rPr>
        <w:t xml:space="preserve">四、 </w:t>
      </w:r>
      <w:r>
        <w:rPr>
          <w:rFonts w:hint="eastAsia"/>
        </w:rPr>
        <w:t>★商务要求</w:t>
      </w:r>
      <w:r>
        <w:tab/>
      </w:r>
      <w:r>
        <w:fldChar w:fldCharType="begin"/>
      </w:r>
      <w:r>
        <w:instrText xml:space="preserve"> PAGEREF _Toc18465 \h </w:instrText>
      </w:r>
      <w:r>
        <w:fldChar w:fldCharType="separate"/>
      </w:r>
      <w:r>
        <w:t>71</w:t>
      </w:r>
      <w:r>
        <w:fldChar w:fldCharType="end"/>
      </w:r>
      <w:r>
        <w:fldChar w:fldCharType="end"/>
      </w:r>
    </w:p>
    <w:p>
      <w:pPr>
        <w:pStyle w:val="19"/>
        <w:tabs>
          <w:tab w:val="right" w:leader="dot" w:pos="9746"/>
          <w:tab w:val="clear" w:pos="0"/>
        </w:tabs>
      </w:pPr>
      <w:r>
        <w:fldChar w:fldCharType="begin"/>
      </w:r>
      <w:r>
        <w:instrText xml:space="preserve"> HYPERLINK \l _Toc1392 </w:instrText>
      </w:r>
      <w:r>
        <w:fldChar w:fldCharType="separate"/>
      </w:r>
      <w:r>
        <w:rPr>
          <w:rFonts w:hint="eastAsia" w:ascii="宋体" w:hAnsi="宋体" w:eastAsia="宋体" w:cs="宋体"/>
          <w:bCs/>
        </w:rPr>
        <w:t xml:space="preserve">五、 </w:t>
      </w:r>
      <w:r>
        <w:rPr>
          <w:rFonts w:hint="eastAsia" w:cs="宋体"/>
        </w:rPr>
        <w:t>★</w:t>
      </w:r>
      <w:r>
        <w:rPr>
          <w:rFonts w:hint="eastAsia" w:asciiTheme="minorEastAsia" w:hAnsiTheme="minorEastAsia" w:eastAsiaTheme="minorEastAsia" w:cstheme="minorEastAsia"/>
          <w:bCs/>
        </w:rPr>
        <w:t>履约保证金</w:t>
      </w:r>
      <w:r>
        <w:tab/>
      </w:r>
      <w:r>
        <w:fldChar w:fldCharType="begin"/>
      </w:r>
      <w:r>
        <w:instrText xml:space="preserve"> PAGEREF _Toc1392 \h </w:instrText>
      </w:r>
      <w:r>
        <w:fldChar w:fldCharType="separate"/>
      </w:r>
      <w:r>
        <w:t>73</w:t>
      </w:r>
      <w:r>
        <w:fldChar w:fldCharType="end"/>
      </w:r>
      <w:r>
        <w:fldChar w:fldCharType="end"/>
      </w:r>
    </w:p>
    <w:p>
      <w:pPr>
        <w:pStyle w:val="19"/>
        <w:tabs>
          <w:tab w:val="right" w:leader="dot" w:pos="9746"/>
          <w:tab w:val="clear" w:pos="0"/>
        </w:tabs>
      </w:pPr>
      <w:r>
        <w:fldChar w:fldCharType="begin"/>
      </w:r>
      <w:r>
        <w:instrText xml:space="preserve"> HYPERLINK \l _Toc29673 </w:instrText>
      </w:r>
      <w:r>
        <w:fldChar w:fldCharType="separate"/>
      </w:r>
      <w:r>
        <w:rPr>
          <w:rFonts w:hint="eastAsia" w:ascii="宋体" w:hAnsi="宋体" w:eastAsia="宋体" w:cs="宋体"/>
        </w:rPr>
        <w:t xml:space="preserve">六、 </w:t>
      </w:r>
      <w:r>
        <w:rPr>
          <w:rFonts w:hint="eastAsia"/>
        </w:rPr>
        <w:t>技术服务水平</w:t>
      </w:r>
      <w:r>
        <w:tab/>
      </w:r>
      <w:r>
        <w:fldChar w:fldCharType="begin"/>
      </w:r>
      <w:r>
        <w:instrText xml:space="preserve"> PAGEREF _Toc29673 \h </w:instrText>
      </w:r>
      <w:r>
        <w:fldChar w:fldCharType="separate"/>
      </w:r>
      <w:r>
        <w:t>74</w:t>
      </w:r>
      <w:r>
        <w:fldChar w:fldCharType="end"/>
      </w:r>
      <w:r>
        <w:fldChar w:fldCharType="end"/>
      </w:r>
    </w:p>
    <w:p>
      <w:pPr>
        <w:pStyle w:val="17"/>
        <w:tabs>
          <w:tab w:val="clear" w:pos="0"/>
        </w:tabs>
      </w:pPr>
      <w:r>
        <w:fldChar w:fldCharType="begin"/>
      </w:r>
      <w:r>
        <w:instrText xml:space="preserve"> HYPERLINK \l _Toc25791 </w:instrText>
      </w:r>
      <w:r>
        <w:fldChar w:fldCharType="separate"/>
      </w:r>
      <w:r>
        <w:rPr>
          <w:rFonts w:hint="eastAsia" w:ascii="宋体" w:hAnsi="宋体" w:eastAsia="宋体" w:cs="宋体"/>
        </w:rPr>
        <w:t xml:space="preserve">第六章 </w:t>
      </w:r>
      <w:r>
        <w:rPr>
          <w:rFonts w:hint="eastAsia"/>
        </w:rPr>
        <w:t>磋商内容、磋商过程中可实质性变动的内容</w:t>
      </w:r>
      <w:r>
        <w:tab/>
      </w:r>
      <w:r>
        <w:fldChar w:fldCharType="begin"/>
      </w:r>
      <w:r>
        <w:instrText xml:space="preserve"> PAGEREF _Toc25791 \h </w:instrText>
      </w:r>
      <w:r>
        <w:fldChar w:fldCharType="separate"/>
      </w:r>
      <w:r>
        <w:t>76</w:t>
      </w:r>
      <w:r>
        <w:fldChar w:fldCharType="end"/>
      </w:r>
      <w:r>
        <w:fldChar w:fldCharType="end"/>
      </w:r>
    </w:p>
    <w:p>
      <w:pPr>
        <w:pStyle w:val="17"/>
        <w:tabs>
          <w:tab w:val="clear" w:pos="0"/>
        </w:tabs>
      </w:pPr>
      <w:r>
        <w:fldChar w:fldCharType="begin"/>
      </w:r>
      <w:r>
        <w:instrText xml:space="preserve"> HYPERLINK \l _Toc3883 </w:instrText>
      </w:r>
      <w:r>
        <w:fldChar w:fldCharType="separate"/>
      </w:r>
      <w:r>
        <w:rPr>
          <w:rFonts w:hint="eastAsia" w:ascii="宋体" w:hAnsi="宋体" w:eastAsia="宋体" w:cs="宋体"/>
        </w:rPr>
        <w:t xml:space="preserve">第七章 </w:t>
      </w:r>
      <w:r>
        <w:rPr>
          <w:rFonts w:hint="eastAsia"/>
        </w:rPr>
        <w:t>磋商程序</w:t>
      </w:r>
      <w:r>
        <w:tab/>
      </w:r>
      <w:r>
        <w:fldChar w:fldCharType="begin"/>
      </w:r>
      <w:r>
        <w:instrText xml:space="preserve"> PAGEREF _Toc3883 \h </w:instrText>
      </w:r>
      <w:r>
        <w:fldChar w:fldCharType="separate"/>
      </w:r>
      <w:r>
        <w:t>77</w:t>
      </w:r>
      <w:r>
        <w:fldChar w:fldCharType="end"/>
      </w:r>
      <w:r>
        <w:fldChar w:fldCharType="end"/>
      </w:r>
    </w:p>
    <w:p>
      <w:pPr>
        <w:pStyle w:val="19"/>
        <w:tabs>
          <w:tab w:val="right" w:leader="dot" w:pos="9746"/>
          <w:tab w:val="clear" w:pos="0"/>
        </w:tabs>
      </w:pPr>
      <w:r>
        <w:fldChar w:fldCharType="begin"/>
      </w:r>
      <w:r>
        <w:instrText xml:space="preserve"> HYPERLINK \l _Toc17421 </w:instrText>
      </w:r>
      <w:r>
        <w:fldChar w:fldCharType="separate"/>
      </w:r>
      <w:r>
        <w:rPr>
          <w:rFonts w:hint="eastAsia" w:ascii="宋体" w:hAnsi="宋体" w:eastAsia="宋体" w:cs="宋体"/>
        </w:rPr>
        <w:t xml:space="preserve">一、 </w:t>
      </w:r>
      <w:r>
        <w:rPr>
          <w:rFonts w:hint="eastAsia"/>
        </w:rPr>
        <w:t>磋商小组及专家组成</w:t>
      </w:r>
      <w:r>
        <w:tab/>
      </w:r>
      <w:r>
        <w:fldChar w:fldCharType="begin"/>
      </w:r>
      <w:r>
        <w:instrText xml:space="preserve"> PAGEREF _Toc17421 \h </w:instrText>
      </w:r>
      <w:r>
        <w:fldChar w:fldCharType="separate"/>
      </w:r>
      <w:r>
        <w:t>77</w:t>
      </w:r>
      <w:r>
        <w:fldChar w:fldCharType="end"/>
      </w:r>
      <w:r>
        <w:fldChar w:fldCharType="end"/>
      </w:r>
    </w:p>
    <w:p>
      <w:pPr>
        <w:pStyle w:val="19"/>
        <w:tabs>
          <w:tab w:val="right" w:leader="dot" w:pos="9746"/>
          <w:tab w:val="clear" w:pos="0"/>
        </w:tabs>
      </w:pPr>
      <w:r>
        <w:fldChar w:fldCharType="begin"/>
      </w:r>
      <w:r>
        <w:instrText xml:space="preserve"> HYPERLINK \l _Toc18468 </w:instrText>
      </w:r>
      <w:r>
        <w:fldChar w:fldCharType="separate"/>
      </w:r>
      <w:r>
        <w:rPr>
          <w:rFonts w:hint="eastAsia" w:ascii="宋体" w:hAnsi="宋体" w:eastAsia="宋体" w:cs="宋体"/>
        </w:rPr>
        <w:t xml:space="preserve">二、 </w:t>
      </w:r>
      <w:r>
        <w:rPr>
          <w:rFonts w:hint="eastAsia"/>
        </w:rPr>
        <w:t>磋商组织</w:t>
      </w:r>
      <w:r>
        <w:tab/>
      </w:r>
      <w:r>
        <w:fldChar w:fldCharType="begin"/>
      </w:r>
      <w:r>
        <w:instrText xml:space="preserve"> PAGEREF _Toc18468 \h </w:instrText>
      </w:r>
      <w:r>
        <w:fldChar w:fldCharType="separate"/>
      </w:r>
      <w:r>
        <w:t>77</w:t>
      </w:r>
      <w:r>
        <w:fldChar w:fldCharType="end"/>
      </w:r>
      <w:r>
        <w:fldChar w:fldCharType="end"/>
      </w:r>
    </w:p>
    <w:p>
      <w:pPr>
        <w:pStyle w:val="19"/>
        <w:tabs>
          <w:tab w:val="right" w:leader="dot" w:pos="9746"/>
          <w:tab w:val="clear" w:pos="0"/>
        </w:tabs>
      </w:pPr>
      <w:r>
        <w:fldChar w:fldCharType="begin"/>
      </w:r>
      <w:r>
        <w:instrText xml:space="preserve"> HYPERLINK \l _Toc22039 </w:instrText>
      </w:r>
      <w:r>
        <w:fldChar w:fldCharType="separate"/>
      </w:r>
      <w:r>
        <w:rPr>
          <w:rFonts w:hint="eastAsia" w:ascii="宋体" w:hAnsi="宋体" w:eastAsia="宋体" w:cs="宋体"/>
        </w:rPr>
        <w:t xml:space="preserve">三、 </w:t>
      </w:r>
      <w:r>
        <w:rPr>
          <w:rFonts w:hint="eastAsia"/>
        </w:rPr>
        <w:t>评审程序</w:t>
      </w:r>
      <w:r>
        <w:tab/>
      </w:r>
      <w:r>
        <w:fldChar w:fldCharType="begin"/>
      </w:r>
      <w:r>
        <w:instrText xml:space="preserve"> PAGEREF _Toc22039 \h </w:instrText>
      </w:r>
      <w:r>
        <w:fldChar w:fldCharType="separate"/>
      </w:r>
      <w:r>
        <w:t>78</w:t>
      </w:r>
      <w:r>
        <w:fldChar w:fldCharType="end"/>
      </w:r>
      <w:r>
        <w:fldChar w:fldCharType="end"/>
      </w:r>
    </w:p>
    <w:p>
      <w:pPr>
        <w:pStyle w:val="17"/>
        <w:tabs>
          <w:tab w:val="clear" w:pos="0"/>
        </w:tabs>
      </w:pPr>
      <w:r>
        <w:fldChar w:fldCharType="begin"/>
      </w:r>
      <w:r>
        <w:instrText xml:space="preserve"> HYPERLINK \l _Toc4771 </w:instrText>
      </w:r>
      <w:r>
        <w:fldChar w:fldCharType="separate"/>
      </w:r>
      <w:r>
        <w:rPr>
          <w:rFonts w:hint="eastAsia" w:ascii="宋体" w:hAnsi="宋体" w:eastAsia="宋体" w:cs="宋体"/>
        </w:rPr>
        <w:t xml:space="preserve">第八章 </w:t>
      </w:r>
      <w:r>
        <w:rPr>
          <w:rFonts w:hint="eastAsia"/>
        </w:rPr>
        <w:t>采购合同</w:t>
      </w:r>
      <w:r>
        <w:tab/>
      </w:r>
      <w:r>
        <w:fldChar w:fldCharType="begin"/>
      </w:r>
      <w:r>
        <w:instrText xml:space="preserve"> PAGEREF _Toc4771 \h </w:instrText>
      </w:r>
      <w:r>
        <w:fldChar w:fldCharType="separate"/>
      </w:r>
      <w:r>
        <w:t>87</w:t>
      </w:r>
      <w:r>
        <w:fldChar w:fldCharType="end"/>
      </w:r>
      <w:r>
        <w:fldChar w:fldCharType="end"/>
      </w:r>
    </w:p>
    <w:p>
      <w:pPr>
        <w:pStyle w:val="17"/>
        <w:tabs>
          <w:tab w:val="clear" w:pos="0"/>
        </w:tabs>
      </w:pPr>
      <w:r>
        <w:fldChar w:fldCharType="begin"/>
      </w:r>
      <w:r>
        <w:instrText xml:space="preserve"> HYPERLINK \l _Toc13687 </w:instrText>
      </w:r>
      <w:r>
        <w:fldChar w:fldCharType="separate"/>
      </w:r>
      <w:r>
        <w:rPr>
          <w:rFonts w:hint="eastAsia" w:ascii="宋体" w:hAnsi="宋体" w:eastAsia="宋体" w:cs="宋体"/>
        </w:rPr>
        <w:t xml:space="preserve">第九章 </w:t>
      </w:r>
      <w:r>
        <w:rPr>
          <w:rFonts w:hint="eastAsia"/>
        </w:rPr>
        <w:t>附件</w:t>
      </w:r>
      <w:r>
        <w:tab/>
      </w:r>
      <w:r>
        <w:fldChar w:fldCharType="begin"/>
      </w:r>
      <w:r>
        <w:instrText xml:space="preserve"> PAGEREF _Toc13687 \h </w:instrText>
      </w:r>
      <w:r>
        <w:fldChar w:fldCharType="separate"/>
      </w:r>
      <w:r>
        <w:t>100</w:t>
      </w:r>
      <w:r>
        <w:fldChar w:fldCharType="end"/>
      </w:r>
      <w:r>
        <w:fldChar w:fldCharType="end"/>
      </w:r>
    </w:p>
    <w:p>
      <w:pPr>
        <w:pStyle w:val="19"/>
        <w:tabs>
          <w:tab w:val="right" w:leader="dot" w:pos="9746"/>
          <w:tab w:val="clear" w:pos="0"/>
        </w:tabs>
      </w:pPr>
      <w:r>
        <w:fldChar w:fldCharType="begin"/>
      </w:r>
      <w:r>
        <w:instrText xml:space="preserve"> HYPERLINK \l _Toc31276 </w:instrText>
      </w:r>
      <w:r>
        <w:fldChar w:fldCharType="separate"/>
      </w:r>
      <w:r>
        <w:rPr>
          <w:rFonts w:hint="eastAsia"/>
        </w:rPr>
        <w:t>附件一：问题的澄清、说明、更正通知</w:t>
      </w:r>
      <w:r>
        <w:tab/>
      </w:r>
      <w:r>
        <w:fldChar w:fldCharType="begin"/>
      </w:r>
      <w:r>
        <w:instrText xml:space="preserve"> PAGEREF _Toc31276 \h </w:instrText>
      </w:r>
      <w:r>
        <w:fldChar w:fldCharType="separate"/>
      </w:r>
      <w:r>
        <w:t>100</w:t>
      </w:r>
      <w:r>
        <w:fldChar w:fldCharType="end"/>
      </w:r>
      <w:r>
        <w:fldChar w:fldCharType="end"/>
      </w:r>
    </w:p>
    <w:p>
      <w:pPr>
        <w:pStyle w:val="19"/>
        <w:tabs>
          <w:tab w:val="right" w:leader="dot" w:pos="9746"/>
          <w:tab w:val="clear" w:pos="0"/>
        </w:tabs>
      </w:pPr>
      <w:r>
        <w:fldChar w:fldCharType="begin"/>
      </w:r>
      <w:r>
        <w:instrText xml:space="preserve"> HYPERLINK \l _Toc16367 </w:instrText>
      </w:r>
      <w:r>
        <w:fldChar w:fldCharType="separate"/>
      </w:r>
      <w:r>
        <w:rPr>
          <w:rFonts w:hint="eastAsia" w:asciiTheme="minorEastAsia" w:hAnsiTheme="minorEastAsia" w:eastAsiaTheme="minorEastAsia" w:cstheme="minorEastAsia"/>
        </w:rPr>
        <w:t>附件二：问题的澄清、说明、更正</w:t>
      </w:r>
      <w:r>
        <w:tab/>
      </w:r>
      <w:r>
        <w:fldChar w:fldCharType="begin"/>
      </w:r>
      <w:r>
        <w:instrText xml:space="preserve"> PAGEREF _Toc16367 \h </w:instrText>
      </w:r>
      <w:r>
        <w:fldChar w:fldCharType="separate"/>
      </w:r>
      <w:r>
        <w:t>101</w:t>
      </w:r>
      <w:r>
        <w:fldChar w:fldCharType="end"/>
      </w:r>
      <w:r>
        <w:fldChar w:fldCharType="end"/>
      </w:r>
    </w:p>
    <w:p>
      <w:pPr>
        <w:pStyle w:val="19"/>
        <w:tabs>
          <w:tab w:val="right" w:leader="dot" w:pos="9746"/>
          <w:tab w:val="clear" w:pos="0"/>
        </w:tabs>
      </w:pPr>
      <w:r>
        <w:fldChar w:fldCharType="begin"/>
      </w:r>
      <w:r>
        <w:instrText xml:space="preserve"> HYPERLINK \l _Toc8375 </w:instrText>
      </w:r>
      <w:r>
        <w:fldChar w:fldCharType="separate"/>
      </w:r>
      <w:r>
        <w:rPr>
          <w:rFonts w:hint="eastAsia"/>
        </w:rPr>
        <w:t>附件三：2023年度信用评价服务效果调查表</w:t>
      </w:r>
      <w:r>
        <w:tab/>
      </w:r>
      <w:r>
        <w:fldChar w:fldCharType="begin"/>
      </w:r>
      <w:r>
        <w:instrText xml:space="preserve"> PAGEREF _Toc8375 \h </w:instrText>
      </w:r>
      <w:r>
        <w:fldChar w:fldCharType="separate"/>
      </w:r>
      <w:r>
        <w:t>102</w:t>
      </w:r>
      <w:r>
        <w:fldChar w:fldCharType="end"/>
      </w:r>
      <w:r>
        <w:fldChar w:fldCharType="end"/>
      </w:r>
    </w:p>
    <w:p>
      <w:pPr>
        <w:pStyle w:val="19"/>
        <w:tabs>
          <w:tab w:val="right" w:leader="dot" w:pos="9746"/>
          <w:tab w:val="clear" w:pos="0"/>
        </w:tabs>
      </w:pPr>
      <w:r>
        <w:fldChar w:fldCharType="begin"/>
      </w:r>
      <w:r>
        <w:instrText xml:space="preserve"> HYPERLINK \l _Toc24348 </w:instrText>
      </w:r>
      <w:r>
        <w:fldChar w:fldCharType="separate"/>
      </w:r>
      <w:r>
        <w:rPr>
          <w:rFonts w:hint="eastAsia" w:asciiTheme="minorEastAsia" w:hAnsiTheme="minorEastAsia" w:eastAsiaTheme="minorEastAsia" w:cstheme="minorEastAsia"/>
        </w:rPr>
        <w:t>附件四：统计上大中小微型企业划分标准</w:t>
      </w:r>
      <w:r>
        <w:tab/>
      </w:r>
      <w:r>
        <w:fldChar w:fldCharType="begin"/>
      </w:r>
      <w:r>
        <w:instrText xml:space="preserve"> PAGEREF _Toc24348 \h </w:instrText>
      </w:r>
      <w:r>
        <w:fldChar w:fldCharType="separate"/>
      </w:r>
      <w:r>
        <w:t>103</w:t>
      </w:r>
      <w:r>
        <w:fldChar w:fldCharType="end"/>
      </w:r>
      <w:r>
        <w:fldChar w:fldCharType="end"/>
      </w:r>
    </w:p>
    <w:p>
      <w:r>
        <w:fldChar w:fldCharType="end"/>
      </w:r>
    </w:p>
    <w:p>
      <w:pPr>
        <w:pStyle w:val="48"/>
        <w:spacing w:before="120" w:after="120"/>
      </w:pPr>
      <w:r>
        <w:rPr>
          <w:rFonts w:hint="eastAsia"/>
        </w:rPr>
        <w:br w:type="page"/>
      </w:r>
      <w:bookmarkEnd w:id="2"/>
      <w:bookmarkEnd w:id="3"/>
      <w:bookmarkEnd w:id="4"/>
      <w:bookmarkEnd w:id="5"/>
      <w:bookmarkStart w:id="6" w:name="_Toc21952"/>
      <w:bookmarkStart w:id="7" w:name="_Toc15291"/>
      <w:bookmarkStart w:id="8" w:name="_Toc213396759"/>
      <w:bookmarkStart w:id="9" w:name="_Toc213396945"/>
      <w:bookmarkStart w:id="10" w:name="_Toc213496267"/>
      <w:bookmarkStart w:id="11" w:name="_Toc213397009"/>
      <w:bookmarkStart w:id="12" w:name="_Toc217446031"/>
      <w:r>
        <w:rPr>
          <w:rFonts w:hint="eastAsia"/>
        </w:rPr>
        <w:t>竞争性磋商邀请公告</w:t>
      </w:r>
      <w:bookmarkEnd w:id="6"/>
      <w:bookmarkEnd w:id="7"/>
    </w:p>
    <w:p>
      <w:pPr>
        <w:pStyle w:val="46"/>
        <w:spacing w:line="520" w:lineRule="exact"/>
        <w:rPr>
          <w:rFonts w:cs="宋体"/>
        </w:rPr>
      </w:pPr>
      <w:r>
        <w:rPr>
          <w:rFonts w:hint="eastAsia" w:cs="宋体"/>
          <w:lang w:val="zh-CN"/>
        </w:rPr>
        <w:t>四川乾新招投标代理有限公司</w:t>
      </w:r>
      <w:r>
        <w:rPr>
          <w:rFonts w:hint="eastAsia" w:cs="宋体"/>
        </w:rPr>
        <w:t>受</w:t>
      </w:r>
      <w:r>
        <w:rPr>
          <w:rFonts w:hint="eastAsia" w:cs="宋体"/>
          <w:lang w:eastAsia="zh-CN"/>
        </w:rPr>
        <w:t>成都市技师学院</w:t>
      </w:r>
      <w:r>
        <w:rPr>
          <w:rFonts w:hint="eastAsia" w:cs="宋体"/>
        </w:rPr>
        <w:t>的委托，拟对</w:t>
      </w:r>
      <w:r>
        <w:rPr>
          <w:rFonts w:hint="eastAsia" w:cs="宋体"/>
          <w:lang w:eastAsia="zh-CN"/>
        </w:rPr>
        <w:t>成都市技师学院(成都工贸职业技术学院)私有云平台及网站群等保测评项目</w:t>
      </w:r>
      <w:r>
        <w:rPr>
          <w:rFonts w:hint="eastAsia" w:cs="宋体"/>
        </w:rPr>
        <w:t>采用竞争性磋商方式进行采购，特邀请合格的供应商参加该项目的竞争性磋商。</w:t>
      </w:r>
    </w:p>
    <w:p>
      <w:pPr>
        <w:pStyle w:val="43"/>
        <w:numPr>
          <w:ilvl w:val="0"/>
          <w:numId w:val="7"/>
        </w:numPr>
        <w:spacing w:line="520" w:lineRule="exact"/>
        <w:ind w:firstLine="482" w:firstLineChars="200"/>
        <w:rPr>
          <w:rFonts w:cs="宋体"/>
        </w:rPr>
      </w:pPr>
      <w:r>
        <w:rPr>
          <w:rFonts w:hint="eastAsia" w:cs="宋体"/>
          <w:b/>
          <w:bCs/>
        </w:rPr>
        <w:t>项目编号：</w:t>
      </w:r>
      <w:bookmarkStart w:id="553" w:name="_GoBack"/>
      <w:r>
        <w:rPr>
          <w:rFonts w:hint="eastAsia" w:cs="宋体"/>
        </w:rPr>
        <w:t>QXZB-2023-1107B</w:t>
      </w:r>
      <w:bookmarkEnd w:id="553"/>
    </w:p>
    <w:p>
      <w:pPr>
        <w:pStyle w:val="43"/>
        <w:numPr>
          <w:ilvl w:val="0"/>
          <w:numId w:val="7"/>
        </w:numPr>
        <w:spacing w:line="520" w:lineRule="exact"/>
        <w:ind w:firstLine="482" w:firstLineChars="200"/>
        <w:rPr>
          <w:rFonts w:cs="宋体"/>
        </w:rPr>
      </w:pPr>
      <w:r>
        <w:rPr>
          <w:rFonts w:hint="eastAsia" w:cs="宋体"/>
          <w:b/>
          <w:bCs/>
        </w:rPr>
        <w:t>项目名称：</w:t>
      </w:r>
      <w:r>
        <w:rPr>
          <w:rFonts w:hint="eastAsia" w:cs="宋体"/>
          <w:spacing w:val="-6"/>
          <w:sz w:val="24"/>
          <w:lang w:eastAsia="zh-CN"/>
        </w:rPr>
        <w:t>成都市技师学院(成都工贸职业技术学院)私有云平台及网站群等保测评项目</w:t>
      </w:r>
    </w:p>
    <w:p>
      <w:pPr>
        <w:pStyle w:val="43"/>
        <w:numPr>
          <w:ilvl w:val="0"/>
          <w:numId w:val="7"/>
        </w:numPr>
        <w:spacing w:line="520" w:lineRule="exact"/>
        <w:ind w:firstLine="482" w:firstLineChars="200"/>
        <w:rPr>
          <w:rFonts w:cs="宋体"/>
        </w:rPr>
      </w:pPr>
      <w:r>
        <w:rPr>
          <w:rFonts w:hint="eastAsia" w:cs="宋体"/>
          <w:b/>
          <w:bCs/>
        </w:rPr>
        <w:t>资金来源：</w:t>
      </w:r>
      <w:r>
        <w:rPr>
          <w:rFonts w:hint="eastAsia" w:cs="宋体"/>
        </w:rPr>
        <w:t>资金已落实，本项目采购预算为</w:t>
      </w:r>
      <w:r>
        <w:rPr>
          <w:rFonts w:hint="eastAsia" w:cs="宋体"/>
          <w:lang w:val="en-US" w:eastAsia="zh-CN"/>
        </w:rPr>
        <w:t>14</w:t>
      </w:r>
      <w:r>
        <w:rPr>
          <w:rFonts w:hint="eastAsia" w:cs="宋体"/>
        </w:rPr>
        <w:t>万元。</w:t>
      </w:r>
    </w:p>
    <w:p>
      <w:pPr>
        <w:pStyle w:val="43"/>
        <w:numPr>
          <w:ilvl w:val="0"/>
          <w:numId w:val="7"/>
        </w:numPr>
        <w:spacing w:line="520" w:lineRule="exact"/>
        <w:ind w:firstLine="482" w:firstLineChars="200"/>
        <w:rPr>
          <w:rFonts w:cs="宋体"/>
          <w:b/>
          <w:bCs/>
        </w:rPr>
      </w:pPr>
      <w:r>
        <w:rPr>
          <w:rFonts w:hint="eastAsia" w:cs="宋体"/>
          <w:b/>
          <w:bCs/>
        </w:rPr>
        <w:t>采购项目简介：</w:t>
      </w:r>
    </w:p>
    <w:p>
      <w:pPr>
        <w:pStyle w:val="43"/>
        <w:spacing w:line="520" w:lineRule="exact"/>
        <w:ind w:firstLine="482" w:firstLineChars="200"/>
        <w:rPr>
          <w:rFonts w:cs="宋体"/>
        </w:rPr>
      </w:pPr>
      <w:r>
        <w:rPr>
          <w:rFonts w:hint="eastAsia" w:cs="宋体"/>
          <w:b/>
          <w:bCs/>
        </w:rPr>
        <w:t>(一)采购内容：</w:t>
      </w:r>
      <w:r>
        <w:rPr>
          <w:rFonts w:hint="eastAsia" w:cs="宋体"/>
          <w:lang w:eastAsia="zh-CN"/>
        </w:rPr>
        <w:t>私有云平台及网站群等保测评</w:t>
      </w:r>
      <w:r>
        <w:rPr>
          <w:rFonts w:hint="eastAsia" w:cs="宋体"/>
        </w:rPr>
        <w:t>，具体详见竞争性磋商文件第五章。</w:t>
      </w:r>
    </w:p>
    <w:p>
      <w:pPr>
        <w:pStyle w:val="43"/>
        <w:spacing w:line="520" w:lineRule="exact"/>
        <w:ind w:firstLine="482" w:firstLineChars="200"/>
        <w:rPr>
          <w:rFonts w:cs="宋体"/>
          <w:b/>
          <w:bCs/>
        </w:rPr>
      </w:pPr>
      <w:r>
        <w:rPr>
          <w:rFonts w:hint="eastAsia" w:cs="宋体"/>
          <w:b/>
          <w:bCs/>
        </w:rPr>
        <w:t>(二)采购包划分：</w:t>
      </w:r>
      <w:r>
        <w:rPr>
          <w:rFonts w:hint="eastAsia" w:cs="宋体"/>
        </w:rPr>
        <w:t>本项目共计1个包，设置1名成交供应商。</w:t>
      </w:r>
    </w:p>
    <w:p>
      <w:pPr>
        <w:pStyle w:val="43"/>
        <w:spacing w:line="520" w:lineRule="exact"/>
        <w:ind w:firstLine="482" w:firstLineChars="200"/>
        <w:rPr>
          <w:rFonts w:cs="宋体"/>
        </w:rPr>
      </w:pPr>
      <w:r>
        <w:rPr>
          <w:rFonts w:hint="eastAsia" w:cs="宋体"/>
          <w:b/>
          <w:bCs/>
        </w:rPr>
        <w:t>(三)采购用途：</w:t>
      </w:r>
      <w:r>
        <w:rPr>
          <w:rFonts w:hint="eastAsia" w:cs="宋体"/>
        </w:rPr>
        <w:t>用于</w:t>
      </w:r>
      <w:r>
        <w:rPr>
          <w:rFonts w:hint="eastAsia" w:cs="宋体"/>
          <w:lang w:eastAsia="zh-CN"/>
        </w:rPr>
        <w:t>成都市技师学院</w:t>
      </w:r>
      <w:r>
        <w:rPr>
          <w:rFonts w:hint="eastAsia"/>
          <w:u w:val="none"/>
        </w:rPr>
        <w:t>私有云平台</w:t>
      </w:r>
      <w:r>
        <w:rPr>
          <w:rFonts w:hint="eastAsia"/>
          <w:u w:val="none"/>
          <w:lang w:eastAsia="zh-CN"/>
        </w:rPr>
        <w:t>、网站群、</w:t>
      </w:r>
      <w:r>
        <w:rPr>
          <w:rFonts w:hint="eastAsia"/>
          <w:u w:val="none"/>
        </w:rPr>
        <w:t>数据中心机房</w:t>
      </w:r>
      <w:r>
        <w:rPr>
          <w:rFonts w:hint="eastAsia"/>
          <w:u w:val="none"/>
          <w:lang w:eastAsia="zh-CN"/>
        </w:rPr>
        <w:t>、</w:t>
      </w:r>
      <w:r>
        <w:rPr>
          <w:rFonts w:hint="eastAsia"/>
          <w:u w:val="none"/>
        </w:rPr>
        <w:t>移动公有云服务器</w:t>
      </w:r>
      <w:r>
        <w:rPr>
          <w:rFonts w:hint="eastAsia" w:cs="宋体"/>
          <w:lang w:eastAsia="zh-CN"/>
        </w:rPr>
        <w:t>等保测评</w:t>
      </w:r>
      <w:r>
        <w:rPr>
          <w:rFonts w:hint="eastAsia" w:cs="宋体"/>
        </w:rPr>
        <w:t>。</w:t>
      </w:r>
    </w:p>
    <w:p>
      <w:pPr>
        <w:pStyle w:val="43"/>
        <w:spacing w:line="520" w:lineRule="exact"/>
        <w:ind w:firstLine="482" w:firstLineChars="200"/>
        <w:rPr>
          <w:rFonts w:cs="宋体"/>
        </w:rPr>
      </w:pPr>
      <w:r>
        <w:rPr>
          <w:rFonts w:hint="eastAsia" w:cs="宋体"/>
          <w:b/>
          <w:bCs/>
        </w:rPr>
        <w:t>(四)项目性质：</w:t>
      </w:r>
      <w:r>
        <w:rPr>
          <w:rFonts w:hint="eastAsia" w:cs="宋体"/>
        </w:rPr>
        <w:t>非法定政府采购。</w:t>
      </w:r>
    </w:p>
    <w:p>
      <w:pPr>
        <w:pStyle w:val="43"/>
        <w:numPr>
          <w:ilvl w:val="0"/>
          <w:numId w:val="7"/>
        </w:numPr>
        <w:spacing w:line="520" w:lineRule="exact"/>
        <w:ind w:firstLine="482" w:firstLineChars="200"/>
        <w:rPr>
          <w:rFonts w:cs="宋体"/>
          <w:b/>
          <w:bCs/>
        </w:rPr>
      </w:pPr>
      <w:r>
        <w:rPr>
          <w:rFonts w:hint="eastAsia" w:cs="宋体"/>
          <w:b/>
          <w:bCs/>
        </w:rPr>
        <w:t>合格供应商应具备的资格条件：</w:t>
      </w:r>
    </w:p>
    <w:p>
      <w:pPr>
        <w:pStyle w:val="34"/>
        <w:spacing w:line="520" w:lineRule="exact"/>
        <w:ind w:firstLine="480" w:firstLineChars="200"/>
        <w:rPr>
          <w:rFonts w:cs="宋体"/>
        </w:rPr>
      </w:pPr>
      <w:r>
        <w:rPr>
          <w:rFonts w:hint="eastAsia" w:cs="宋体"/>
        </w:rPr>
        <w:t>(一)具有独立承担</w:t>
      </w:r>
      <w:r>
        <w:fldChar w:fldCharType="begin"/>
      </w:r>
      <w:r>
        <w:instrText xml:space="preserve"> HYPERLINK "http://www.lawtime.cn/info/minfa/mszeren/" \t "_blank" </w:instrText>
      </w:r>
      <w:r>
        <w:fldChar w:fldCharType="separate"/>
      </w:r>
      <w:r>
        <w:rPr>
          <w:rFonts w:hint="eastAsia" w:cs="宋体"/>
        </w:rPr>
        <w:t>民事责任</w:t>
      </w:r>
      <w:r>
        <w:rPr>
          <w:rFonts w:hint="eastAsia" w:cs="宋体"/>
        </w:rPr>
        <w:fldChar w:fldCharType="end"/>
      </w:r>
      <w:r>
        <w:rPr>
          <w:rFonts w:hint="eastAsia" w:cs="宋体"/>
        </w:rPr>
        <w:t>的能力；</w:t>
      </w:r>
    </w:p>
    <w:p>
      <w:pPr>
        <w:pStyle w:val="34"/>
        <w:spacing w:line="520" w:lineRule="exact"/>
        <w:ind w:firstLine="480" w:firstLineChars="200"/>
        <w:rPr>
          <w:rFonts w:cs="宋体"/>
        </w:rPr>
      </w:pPr>
      <w:r>
        <w:rPr>
          <w:rFonts w:hint="eastAsia" w:cs="宋体"/>
        </w:rPr>
        <w:t>(二)具有良好的商业信誉和健全的财务会计制度；</w:t>
      </w:r>
    </w:p>
    <w:p>
      <w:pPr>
        <w:pStyle w:val="34"/>
        <w:spacing w:line="520" w:lineRule="exact"/>
        <w:ind w:firstLine="480" w:firstLineChars="200"/>
        <w:rPr>
          <w:rFonts w:cs="宋体"/>
        </w:rPr>
      </w:pPr>
      <w:r>
        <w:rPr>
          <w:rFonts w:hint="eastAsia" w:cs="宋体"/>
        </w:rPr>
        <w:t>(三)具有履行合同所必需的设备和专业技术能力；</w:t>
      </w:r>
    </w:p>
    <w:p>
      <w:pPr>
        <w:pStyle w:val="34"/>
        <w:spacing w:line="520" w:lineRule="exact"/>
        <w:ind w:firstLine="480" w:firstLineChars="200"/>
        <w:rPr>
          <w:rFonts w:cs="宋体"/>
        </w:rPr>
      </w:pPr>
      <w:r>
        <w:rPr>
          <w:rFonts w:hint="eastAsia" w:cs="宋体"/>
        </w:rPr>
        <w:t>(四)有依法缴纳税收和</w:t>
      </w:r>
      <w:r>
        <w:fldChar w:fldCharType="begin"/>
      </w:r>
      <w:r>
        <w:instrText xml:space="preserve"> HYPERLINK "http://www.lawtime.cn/info/laodong/shehuibaozhang/" \t "_blank" </w:instrText>
      </w:r>
      <w:r>
        <w:fldChar w:fldCharType="separate"/>
      </w:r>
      <w:r>
        <w:rPr>
          <w:rFonts w:hint="eastAsia" w:cs="宋体"/>
        </w:rPr>
        <w:t>社会保障</w:t>
      </w:r>
      <w:r>
        <w:rPr>
          <w:rFonts w:hint="eastAsia" w:cs="宋体"/>
        </w:rPr>
        <w:fldChar w:fldCharType="end"/>
      </w:r>
      <w:r>
        <w:rPr>
          <w:rFonts w:hint="eastAsia" w:cs="宋体"/>
        </w:rPr>
        <w:t>资金的良好记录；</w:t>
      </w:r>
    </w:p>
    <w:p>
      <w:pPr>
        <w:pStyle w:val="34"/>
        <w:spacing w:line="520" w:lineRule="exact"/>
        <w:ind w:firstLine="480" w:firstLineChars="200"/>
        <w:rPr>
          <w:rFonts w:cs="宋体"/>
        </w:rPr>
      </w:pPr>
      <w:r>
        <w:rPr>
          <w:rFonts w:hint="eastAsia" w:cs="宋体"/>
        </w:rPr>
        <w:t>(五)参加采购活动前三年内，在经营活动中没有重大违法记录；</w:t>
      </w:r>
    </w:p>
    <w:p>
      <w:pPr>
        <w:pStyle w:val="34"/>
        <w:spacing w:line="520" w:lineRule="exact"/>
        <w:ind w:firstLine="480" w:firstLineChars="200"/>
        <w:rPr>
          <w:rFonts w:cs="宋体"/>
          <w:lang w:val="zh-CN"/>
        </w:rPr>
      </w:pPr>
      <w:r>
        <w:rPr>
          <w:rFonts w:hint="eastAsia" w:cs="宋体"/>
        </w:rPr>
        <w:t>(六)法律、</w:t>
      </w:r>
      <w:r>
        <w:fldChar w:fldCharType="begin"/>
      </w:r>
      <w:r>
        <w:instrText xml:space="preserve"> HYPERLINK "http://www.lawtime.cn/info/sifakaoshi/xingzhengfa/" \t "_blank" </w:instrText>
      </w:r>
      <w:r>
        <w:fldChar w:fldCharType="separate"/>
      </w:r>
      <w:r>
        <w:rPr>
          <w:rFonts w:hint="eastAsia" w:cs="宋体"/>
        </w:rPr>
        <w:t>行政法</w:t>
      </w:r>
      <w:r>
        <w:rPr>
          <w:rFonts w:hint="eastAsia" w:cs="宋体"/>
        </w:rPr>
        <w:fldChar w:fldCharType="end"/>
      </w:r>
      <w:r>
        <w:rPr>
          <w:rFonts w:hint="eastAsia" w:cs="宋体"/>
        </w:rPr>
        <w:t>规规定的其他条件；</w:t>
      </w:r>
    </w:p>
    <w:p>
      <w:pPr>
        <w:pStyle w:val="43"/>
        <w:spacing w:line="520" w:lineRule="exact"/>
        <w:ind w:firstLine="480" w:firstLineChars="200"/>
        <w:rPr>
          <w:rFonts w:cs="宋体"/>
          <w:lang w:val="zh-CN"/>
        </w:rPr>
      </w:pPr>
      <w:r>
        <w:rPr>
          <w:rFonts w:hint="eastAsia" w:cs="宋体"/>
        </w:rPr>
        <w:t>(七)</w:t>
      </w:r>
      <w:r>
        <w:rPr>
          <w:rFonts w:hint="eastAsia" w:cs="宋体"/>
          <w:lang w:val="zh-CN"/>
        </w:rPr>
        <w:t>本项目的特定资格要求：</w:t>
      </w:r>
      <w:r>
        <w:rPr>
          <w:rFonts w:hint="eastAsia" w:cs="宋体"/>
        </w:rPr>
        <w:t>本项目不接受联合体参加本次采购活动。</w:t>
      </w:r>
    </w:p>
    <w:p>
      <w:pPr>
        <w:pStyle w:val="43"/>
        <w:numPr>
          <w:ilvl w:val="0"/>
          <w:numId w:val="7"/>
        </w:numPr>
        <w:spacing w:line="520" w:lineRule="exact"/>
        <w:ind w:firstLine="482" w:firstLineChars="200"/>
        <w:rPr>
          <w:rFonts w:cs="宋体"/>
          <w:b/>
          <w:bCs/>
        </w:rPr>
      </w:pPr>
      <w:r>
        <w:rPr>
          <w:rFonts w:hint="eastAsia" w:cs="宋体"/>
          <w:b/>
          <w:bCs/>
        </w:rPr>
        <w:t>禁止参加本次采购活动的供应商</w:t>
      </w:r>
    </w:p>
    <w:p>
      <w:pPr>
        <w:pStyle w:val="34"/>
        <w:spacing w:line="520" w:lineRule="exact"/>
        <w:ind w:firstLine="480" w:firstLineChars="200"/>
        <w:rPr>
          <w:rFonts w:cs="宋体"/>
        </w:rPr>
      </w:pPr>
      <w:bookmarkStart w:id="13" w:name="PO_默认文件内容_4"/>
      <w:r>
        <w:rPr>
          <w:rFonts w:hint="eastAsia" w:cs="宋体"/>
        </w:rPr>
        <w:t>参照《关于在政府采购活动中查询及使用信用记录有关问题的通知》(财库〔2016〕125号)的要求，采购代理机构将通过“信用中国”网站(www.creditchina.gov.cn)、“中国政府采购网”网站(www.ccgp.gov.cn)等渠道查询供应商在响应文件递交截止日前的信用记录并保存信用记录结果网页截图，拒绝列入失信被执行人名单、重大税收违法案件当事人名单(重大税收违法失信主体)、政府采购严重违法失信行为记录名单中的供应商参加本项目的采购活动。</w:t>
      </w:r>
    </w:p>
    <w:bookmarkEnd w:id="13"/>
    <w:p>
      <w:pPr>
        <w:pStyle w:val="43"/>
        <w:numPr>
          <w:ilvl w:val="0"/>
          <w:numId w:val="7"/>
        </w:numPr>
        <w:spacing w:line="520" w:lineRule="exact"/>
        <w:ind w:firstLine="482" w:firstLineChars="200"/>
        <w:rPr>
          <w:rFonts w:cs="宋体"/>
          <w:b/>
          <w:bCs/>
        </w:rPr>
      </w:pPr>
      <w:r>
        <w:rPr>
          <w:rFonts w:hint="eastAsia" w:cs="宋体"/>
          <w:b/>
          <w:bCs/>
        </w:rPr>
        <w:t>获取磋商文件的时间期限、地点、方式</w:t>
      </w:r>
    </w:p>
    <w:p>
      <w:pPr>
        <w:pStyle w:val="43"/>
        <w:spacing w:line="520" w:lineRule="exact"/>
        <w:ind w:firstLine="482" w:firstLineChars="200"/>
        <w:rPr>
          <w:rFonts w:cs="宋体"/>
          <w:lang w:val="zh-CN"/>
        </w:rPr>
      </w:pPr>
      <w:r>
        <w:rPr>
          <w:rFonts w:hint="eastAsia" w:cs="宋体"/>
          <w:b/>
          <w:bCs/>
        </w:rPr>
        <w:t>(一)获取磋商文件的时间期限(即报名时间)</w:t>
      </w:r>
      <w:r>
        <w:rPr>
          <w:rFonts w:hint="eastAsia" w:cs="宋体"/>
        </w:rPr>
        <w:t>：2023年</w:t>
      </w:r>
      <w:r>
        <w:rPr>
          <w:rFonts w:hint="eastAsia" w:cs="宋体"/>
          <w:lang w:val="en-US" w:eastAsia="zh-CN"/>
        </w:rPr>
        <w:t>11</w:t>
      </w:r>
      <w:r>
        <w:rPr>
          <w:rFonts w:hint="eastAsia" w:cs="宋体"/>
        </w:rPr>
        <w:t>月</w:t>
      </w:r>
      <w:r>
        <w:rPr>
          <w:rFonts w:hint="eastAsia" w:cs="宋体"/>
          <w:lang w:val="en-US" w:eastAsia="zh-CN"/>
        </w:rPr>
        <w:t>23</w:t>
      </w:r>
      <w:r>
        <w:rPr>
          <w:rFonts w:hint="eastAsia" w:cs="宋体"/>
        </w:rPr>
        <w:t>日至2023年</w:t>
      </w:r>
      <w:r>
        <w:rPr>
          <w:rFonts w:hint="eastAsia" w:cs="宋体"/>
          <w:lang w:val="en-US" w:eastAsia="zh-CN"/>
        </w:rPr>
        <w:t>11</w:t>
      </w:r>
      <w:r>
        <w:rPr>
          <w:rFonts w:hint="eastAsia" w:cs="宋体"/>
        </w:rPr>
        <w:t>月</w:t>
      </w:r>
      <w:r>
        <w:rPr>
          <w:rFonts w:hint="eastAsia" w:cs="宋体"/>
          <w:lang w:val="en-US" w:eastAsia="zh-CN"/>
        </w:rPr>
        <w:t>29</w:t>
      </w:r>
      <w:r>
        <w:rPr>
          <w:rFonts w:hint="eastAsia" w:cs="宋体"/>
        </w:rPr>
        <w:t>日，每天上午9时00分至12时00分，下午14时00分至17时00分(北京时间，法定节假日除外)。</w:t>
      </w:r>
    </w:p>
    <w:p>
      <w:pPr>
        <w:pStyle w:val="43"/>
        <w:spacing w:line="520" w:lineRule="exact"/>
        <w:ind w:firstLine="482" w:firstLineChars="200"/>
        <w:rPr>
          <w:rFonts w:cs="宋体"/>
          <w:lang w:val="zh-CN"/>
        </w:rPr>
      </w:pPr>
      <w:r>
        <w:rPr>
          <w:rFonts w:hint="eastAsia" w:cs="宋体"/>
          <w:b/>
          <w:bCs/>
        </w:rPr>
        <w:t>(二)获取磋商文件的地点：http：//www.qxztb.cn</w:t>
      </w:r>
      <w:r>
        <w:rPr>
          <w:rFonts w:hint="eastAsia" w:cs="宋体"/>
          <w:lang w:val="zh-CN"/>
        </w:rPr>
        <w:t>。</w:t>
      </w:r>
    </w:p>
    <w:p>
      <w:pPr>
        <w:pStyle w:val="43"/>
        <w:spacing w:line="520" w:lineRule="exact"/>
        <w:ind w:firstLine="482" w:firstLineChars="200"/>
        <w:rPr>
          <w:rFonts w:cs="宋体"/>
          <w:b/>
          <w:bCs/>
        </w:rPr>
      </w:pPr>
      <w:r>
        <w:rPr>
          <w:rFonts w:hint="eastAsia" w:cs="宋体"/>
          <w:b/>
          <w:bCs/>
        </w:rPr>
        <w:t>(三)获取磋商文件的方式：</w:t>
      </w:r>
    </w:p>
    <w:p>
      <w:pPr>
        <w:pStyle w:val="43"/>
        <w:spacing w:line="520" w:lineRule="exact"/>
        <w:ind w:firstLine="482" w:firstLineChars="200"/>
        <w:rPr>
          <w:rFonts w:cs="宋体"/>
        </w:rPr>
      </w:pPr>
      <w:r>
        <w:rPr>
          <w:rFonts w:hint="eastAsia" w:cs="宋体"/>
          <w:b/>
          <w:bCs/>
        </w:rPr>
        <w:t>1.</w:t>
      </w:r>
      <w:r>
        <w:rPr>
          <w:rFonts w:hint="eastAsia" w:cs="宋体"/>
          <w:b/>
          <w:bCs/>
        </w:rPr>
        <w:tab/>
      </w:r>
      <w:r>
        <w:rPr>
          <w:rFonts w:hint="eastAsia" w:cs="宋体"/>
          <w:b/>
          <w:bCs/>
        </w:rPr>
        <w:t>在本项目磋商文件获取时间期限内，在采购代理机构指定网站(http：//www.qxztb.cn)获取，具体获取流程详见该网站的“标书在线获取流程”</w:t>
      </w:r>
      <w:r>
        <w:rPr>
          <w:rFonts w:hint="eastAsia" w:cs="宋体"/>
        </w:rPr>
        <w:t>。</w:t>
      </w:r>
    </w:p>
    <w:p>
      <w:pPr>
        <w:pStyle w:val="43"/>
        <w:spacing w:line="520" w:lineRule="exact"/>
        <w:ind w:firstLine="482" w:firstLineChars="200"/>
        <w:rPr>
          <w:rFonts w:cs="宋体"/>
          <w:b/>
          <w:bCs/>
          <w:lang w:val="zh-CN"/>
        </w:rPr>
      </w:pPr>
      <w:r>
        <w:rPr>
          <w:rFonts w:hint="eastAsia" w:cs="宋体"/>
          <w:b/>
          <w:bCs/>
        </w:rPr>
        <w:t>2.报名咨询电话：</w:t>
      </w:r>
      <w:r>
        <w:rPr>
          <w:rFonts w:hint="eastAsia" w:cs="宋体"/>
          <w:b/>
          <w:bCs/>
          <w:lang w:val="zh-CN"/>
        </w:rPr>
        <w:t>028-61375575、62600820、62630990转601或602。</w:t>
      </w:r>
    </w:p>
    <w:p>
      <w:pPr>
        <w:pStyle w:val="43"/>
        <w:spacing w:line="520" w:lineRule="exact"/>
        <w:ind w:firstLine="482" w:firstLineChars="200"/>
        <w:rPr>
          <w:rFonts w:cs="宋体"/>
        </w:rPr>
      </w:pPr>
      <w:r>
        <w:rPr>
          <w:rFonts w:hint="eastAsia" w:cs="宋体"/>
          <w:b/>
          <w:bCs/>
        </w:rPr>
        <w:t>(四)</w:t>
      </w:r>
      <w:r>
        <w:rPr>
          <w:rFonts w:hint="eastAsia" w:cs="宋体"/>
          <w:b/>
          <w:bCs/>
          <w:lang w:val="zh-CN"/>
        </w:rPr>
        <w:t>磋商文件售价：</w:t>
      </w:r>
      <w:r>
        <w:rPr>
          <w:rFonts w:hint="eastAsia" w:cs="宋体"/>
          <w:lang w:val="zh-CN"/>
        </w:rPr>
        <w:t>人民币</w:t>
      </w:r>
      <w:r>
        <w:rPr>
          <w:rFonts w:hint="eastAsia" w:cs="宋体"/>
        </w:rPr>
        <w:t>300元</w:t>
      </w:r>
      <w:r>
        <w:rPr>
          <w:rFonts w:hint="eastAsia" w:cs="宋体"/>
          <w:lang w:val="zh-CN"/>
        </w:rPr>
        <w:t xml:space="preserve">/份(磋商文件售后不退, </w:t>
      </w:r>
      <w:r>
        <w:rPr>
          <w:rFonts w:hint="eastAsia" w:cs="宋体"/>
        </w:rPr>
        <w:t>磋商资格不得转让)。</w:t>
      </w:r>
    </w:p>
    <w:p>
      <w:pPr>
        <w:pStyle w:val="43"/>
        <w:spacing w:line="520" w:lineRule="exact"/>
        <w:ind w:firstLine="482" w:firstLineChars="200"/>
        <w:rPr>
          <w:rFonts w:cs="宋体"/>
        </w:rPr>
      </w:pPr>
      <w:r>
        <w:rPr>
          <w:rFonts w:hint="eastAsia" w:cs="宋体"/>
          <w:b/>
          <w:bCs/>
        </w:rPr>
        <w:t>(五)</w:t>
      </w:r>
      <w:r>
        <w:rPr>
          <w:rFonts w:hint="eastAsia" w:cs="宋体"/>
        </w:rPr>
        <w:t>供应商应在规定的时间内按上述要求获取本磋商文件并登记，否则均无资格参加该项目。</w:t>
      </w:r>
    </w:p>
    <w:p>
      <w:pPr>
        <w:pStyle w:val="43"/>
        <w:numPr>
          <w:ilvl w:val="0"/>
          <w:numId w:val="7"/>
        </w:numPr>
        <w:spacing w:line="520" w:lineRule="exact"/>
        <w:ind w:firstLine="482" w:firstLineChars="200"/>
        <w:rPr>
          <w:rFonts w:cs="宋体"/>
          <w:b/>
          <w:bCs/>
        </w:rPr>
      </w:pPr>
      <w:r>
        <w:rPr>
          <w:rFonts w:hint="eastAsia" w:cs="宋体"/>
          <w:b/>
          <w:bCs/>
        </w:rPr>
        <w:t>竞争性磋商响应文件递交的截止时间：2023年</w:t>
      </w:r>
      <w:r>
        <w:rPr>
          <w:rFonts w:hint="eastAsia" w:cs="宋体"/>
          <w:b/>
          <w:bCs/>
          <w:lang w:val="en-US" w:eastAsia="zh-CN" w:bidi="ar"/>
        </w:rPr>
        <w:t>12</w:t>
      </w:r>
      <w:r>
        <w:rPr>
          <w:rFonts w:hint="eastAsia" w:cs="宋体"/>
          <w:b/>
          <w:bCs/>
        </w:rPr>
        <w:t>月</w:t>
      </w:r>
      <w:r>
        <w:rPr>
          <w:rFonts w:hint="eastAsia" w:cs="宋体"/>
          <w:b/>
          <w:bCs/>
          <w:lang w:val="en-US" w:eastAsia="zh-CN" w:bidi="ar"/>
        </w:rPr>
        <w:t>4</w:t>
      </w:r>
      <w:r>
        <w:rPr>
          <w:rFonts w:hint="eastAsia" w:cs="宋体"/>
          <w:b/>
          <w:bCs/>
        </w:rPr>
        <w:t>日</w:t>
      </w:r>
      <w:r>
        <w:rPr>
          <w:rFonts w:hint="eastAsia" w:cs="宋体"/>
          <w:b/>
          <w:bCs/>
          <w:lang w:val="en-US" w:eastAsia="zh-CN"/>
        </w:rPr>
        <w:t>9</w:t>
      </w:r>
      <w:r>
        <w:rPr>
          <w:rFonts w:hint="eastAsia" w:cs="宋体"/>
          <w:b/>
          <w:bCs/>
        </w:rPr>
        <w:t>时</w:t>
      </w:r>
      <w:r>
        <w:rPr>
          <w:rFonts w:hint="eastAsia" w:cs="宋体"/>
          <w:b/>
          <w:bCs/>
          <w:lang w:val="en-US" w:eastAsia="zh-CN"/>
        </w:rPr>
        <w:t>3</w:t>
      </w:r>
      <w:r>
        <w:rPr>
          <w:rFonts w:hint="eastAsia" w:cs="宋体"/>
          <w:b/>
          <w:bCs/>
        </w:rPr>
        <w:t>0分(北京时间)</w:t>
      </w:r>
    </w:p>
    <w:p>
      <w:pPr>
        <w:pStyle w:val="46"/>
        <w:spacing w:line="520" w:lineRule="exact"/>
        <w:ind w:firstLine="482"/>
        <w:rPr>
          <w:rFonts w:cs="宋体"/>
          <w:b/>
          <w:bCs/>
        </w:rPr>
      </w:pPr>
      <w:r>
        <w:rPr>
          <w:rFonts w:hint="eastAsia" w:cs="宋体"/>
          <w:b/>
          <w:bCs/>
        </w:rPr>
        <w:t>响应文件递交的起止时间：磋商当日</w:t>
      </w:r>
      <w:r>
        <w:rPr>
          <w:rFonts w:hint="eastAsia" w:cs="宋体"/>
          <w:b/>
          <w:bCs/>
          <w:lang w:val="en-US" w:eastAsia="zh-CN"/>
        </w:rPr>
        <w:t>9</w:t>
      </w:r>
      <w:r>
        <w:rPr>
          <w:rFonts w:hint="eastAsia" w:cs="宋体"/>
          <w:b/>
          <w:bCs/>
        </w:rPr>
        <w:t>时</w:t>
      </w:r>
      <w:r>
        <w:rPr>
          <w:rFonts w:hint="eastAsia" w:cs="宋体"/>
          <w:b/>
          <w:bCs/>
          <w:lang w:val="en-US" w:eastAsia="zh-CN"/>
        </w:rPr>
        <w:t>0</w:t>
      </w:r>
      <w:r>
        <w:rPr>
          <w:rFonts w:hint="eastAsia" w:cs="宋体"/>
          <w:b/>
          <w:bCs/>
        </w:rPr>
        <w:t>0分-</w:t>
      </w:r>
      <w:r>
        <w:rPr>
          <w:rFonts w:hint="eastAsia" w:cs="宋体"/>
          <w:b/>
          <w:bCs/>
          <w:lang w:val="en-US" w:eastAsia="zh-CN"/>
        </w:rPr>
        <w:t>9</w:t>
      </w:r>
      <w:r>
        <w:rPr>
          <w:rFonts w:hint="eastAsia" w:cs="宋体"/>
          <w:b/>
          <w:bCs/>
        </w:rPr>
        <w:t>时</w:t>
      </w:r>
      <w:r>
        <w:rPr>
          <w:rFonts w:hint="eastAsia" w:cs="宋体"/>
          <w:b/>
          <w:bCs/>
          <w:lang w:val="en-US" w:eastAsia="zh-CN"/>
        </w:rPr>
        <w:t>3</w:t>
      </w:r>
      <w:r>
        <w:rPr>
          <w:rFonts w:hint="eastAsia" w:cs="宋体"/>
          <w:b/>
          <w:bCs/>
        </w:rPr>
        <w:t>0分(北京时间)；</w:t>
      </w:r>
    </w:p>
    <w:p>
      <w:pPr>
        <w:pStyle w:val="46"/>
        <w:spacing w:line="520" w:lineRule="exact"/>
        <w:ind w:firstLine="482"/>
        <w:rPr>
          <w:rFonts w:cs="宋体"/>
          <w:b/>
          <w:bCs/>
        </w:rPr>
      </w:pPr>
      <w:r>
        <w:rPr>
          <w:rFonts w:hint="eastAsia" w:cs="宋体"/>
          <w:b/>
          <w:bCs/>
        </w:rPr>
        <w:t>开启时间：磋商小组组建后立即开启；</w:t>
      </w:r>
    </w:p>
    <w:p>
      <w:pPr>
        <w:pStyle w:val="46"/>
        <w:spacing w:line="520" w:lineRule="exact"/>
        <w:ind w:firstLine="482"/>
        <w:rPr>
          <w:rFonts w:cs="宋体"/>
        </w:rPr>
      </w:pPr>
      <w:r>
        <w:rPr>
          <w:rFonts w:hint="eastAsia" w:cs="宋体"/>
          <w:b/>
          <w:bCs/>
        </w:rPr>
        <w:t>响应文件递交的地点：</w:t>
      </w:r>
      <w:r>
        <w:rPr>
          <w:rFonts w:hint="eastAsia" w:cs="宋体"/>
        </w:rPr>
        <w:t>成都市高新区吉庆三路333号蜀都中心二期一号楼一单元401号本项目会议室；</w:t>
      </w:r>
    </w:p>
    <w:p>
      <w:pPr>
        <w:pStyle w:val="46"/>
        <w:spacing w:line="520" w:lineRule="exact"/>
        <w:rPr>
          <w:rFonts w:cs="宋体"/>
        </w:rPr>
      </w:pPr>
      <w:r>
        <w:rPr>
          <w:rFonts w:hint="eastAsia" w:cs="宋体"/>
        </w:rPr>
        <w:t>供应商应当在磋商文件要求的截止时间前，将响应文件密封送达指定地点。在截止时间后送达的响应文件为无效文件，将被采购代理机构拒收。</w:t>
      </w:r>
    </w:p>
    <w:p>
      <w:pPr>
        <w:pStyle w:val="43"/>
        <w:numPr>
          <w:ilvl w:val="0"/>
          <w:numId w:val="7"/>
        </w:numPr>
        <w:spacing w:line="520" w:lineRule="exact"/>
        <w:ind w:firstLine="482" w:firstLineChars="200"/>
        <w:rPr>
          <w:rFonts w:cs="宋体"/>
          <w:b/>
          <w:bCs/>
        </w:rPr>
      </w:pPr>
      <w:r>
        <w:rPr>
          <w:rFonts w:hint="eastAsia" w:cs="宋体"/>
          <w:b/>
          <w:bCs/>
        </w:rPr>
        <w:t>磋商时间：2023年</w:t>
      </w:r>
      <w:r>
        <w:rPr>
          <w:rFonts w:hint="eastAsia" w:cs="宋体"/>
          <w:b/>
          <w:bCs/>
          <w:lang w:val="en-US" w:eastAsia="zh-CN" w:bidi="ar"/>
        </w:rPr>
        <w:t>12</w:t>
      </w:r>
      <w:r>
        <w:rPr>
          <w:rFonts w:hint="eastAsia" w:cs="宋体"/>
          <w:b/>
          <w:bCs/>
        </w:rPr>
        <w:t>月</w:t>
      </w:r>
      <w:r>
        <w:rPr>
          <w:rFonts w:hint="eastAsia" w:cs="宋体"/>
          <w:b/>
          <w:bCs/>
          <w:lang w:val="en-US" w:eastAsia="zh-CN" w:bidi="ar"/>
        </w:rPr>
        <w:t>4</w:t>
      </w:r>
      <w:r>
        <w:rPr>
          <w:rFonts w:hint="eastAsia" w:cs="宋体"/>
          <w:b/>
          <w:bCs/>
        </w:rPr>
        <w:t>日</w:t>
      </w:r>
      <w:r>
        <w:rPr>
          <w:rFonts w:hint="eastAsia" w:cs="宋体"/>
          <w:b/>
          <w:bCs/>
          <w:lang w:val="en-US" w:eastAsia="zh-CN"/>
        </w:rPr>
        <w:t>9</w:t>
      </w:r>
      <w:r>
        <w:rPr>
          <w:rFonts w:hint="eastAsia" w:cs="宋体"/>
          <w:b/>
          <w:bCs/>
        </w:rPr>
        <w:t>时</w:t>
      </w:r>
      <w:r>
        <w:rPr>
          <w:rFonts w:hint="eastAsia" w:cs="宋体"/>
          <w:b/>
          <w:bCs/>
          <w:lang w:val="en-US" w:eastAsia="zh-CN"/>
        </w:rPr>
        <w:t>3</w:t>
      </w:r>
      <w:r>
        <w:rPr>
          <w:rFonts w:hint="eastAsia" w:cs="宋体"/>
          <w:b/>
          <w:bCs/>
        </w:rPr>
        <w:t>0分(北京时间)。</w:t>
      </w:r>
    </w:p>
    <w:p>
      <w:pPr>
        <w:pStyle w:val="43"/>
        <w:numPr>
          <w:ilvl w:val="0"/>
          <w:numId w:val="7"/>
        </w:numPr>
        <w:spacing w:line="520" w:lineRule="exact"/>
        <w:ind w:firstLine="482" w:firstLineChars="200"/>
        <w:rPr>
          <w:rFonts w:cs="宋体"/>
          <w:b/>
          <w:bCs/>
        </w:rPr>
      </w:pPr>
      <w:r>
        <w:rPr>
          <w:rFonts w:hint="eastAsia" w:cs="宋体"/>
          <w:b/>
          <w:bCs/>
        </w:rPr>
        <w:t>磋商地点：</w:t>
      </w:r>
      <w:r>
        <w:rPr>
          <w:rFonts w:hint="eastAsia" w:cs="宋体"/>
        </w:rPr>
        <w:t>成都市高新区吉庆三路333号蜀都中心二期一号楼一单元401号本项目会议室。</w:t>
      </w:r>
    </w:p>
    <w:p>
      <w:pPr>
        <w:pStyle w:val="43"/>
        <w:numPr>
          <w:ilvl w:val="0"/>
          <w:numId w:val="7"/>
        </w:numPr>
        <w:spacing w:line="520" w:lineRule="exact"/>
        <w:ind w:firstLine="482" w:firstLineChars="200"/>
        <w:rPr>
          <w:rFonts w:cs="宋体"/>
        </w:rPr>
      </w:pPr>
      <w:r>
        <w:rPr>
          <w:rFonts w:hint="eastAsia" w:cs="宋体"/>
          <w:b/>
          <w:bCs/>
        </w:rPr>
        <w:t>采购信息发布媒体：</w:t>
      </w:r>
      <w:r>
        <w:rPr>
          <w:rFonts w:hint="eastAsia" w:cs="宋体"/>
          <w:lang w:eastAsia="zh-CN"/>
        </w:rPr>
        <w:t>“中国招标投标公共服务平台”</w:t>
      </w:r>
      <w:r>
        <w:rPr>
          <w:rFonts w:hint="eastAsia" w:cs="宋体"/>
        </w:rPr>
        <w:t>。</w:t>
      </w:r>
    </w:p>
    <w:p>
      <w:pPr>
        <w:pStyle w:val="43"/>
        <w:numPr>
          <w:ilvl w:val="0"/>
          <w:numId w:val="7"/>
        </w:numPr>
        <w:spacing w:line="520" w:lineRule="exact"/>
        <w:ind w:firstLine="482" w:firstLineChars="200"/>
        <w:rPr>
          <w:rFonts w:cs="宋体"/>
          <w:b/>
          <w:bCs/>
        </w:rPr>
      </w:pPr>
      <w:r>
        <w:rPr>
          <w:rFonts w:hint="eastAsia" w:cs="宋体"/>
          <w:b/>
          <w:bCs/>
        </w:rPr>
        <w:t>凡对本次采购提出询问，请按以下方式联系：</w:t>
      </w:r>
    </w:p>
    <w:p>
      <w:pPr>
        <w:pStyle w:val="43"/>
        <w:spacing w:line="520" w:lineRule="exact"/>
        <w:ind w:firstLine="480" w:firstLineChars="200"/>
        <w:rPr>
          <w:rFonts w:cs="宋体"/>
        </w:rPr>
      </w:pPr>
      <w:r>
        <w:rPr>
          <w:rFonts w:hint="eastAsia" w:cs="宋体"/>
        </w:rPr>
        <w:t>(一)采购人信息</w:t>
      </w:r>
    </w:p>
    <w:p>
      <w:pPr>
        <w:pStyle w:val="43"/>
        <w:spacing w:line="520" w:lineRule="exact"/>
        <w:ind w:firstLine="480" w:firstLineChars="200"/>
        <w:rPr>
          <w:rFonts w:hint="eastAsia" w:eastAsia="宋体" w:cs="宋体"/>
          <w:lang w:eastAsia="zh-CN"/>
        </w:rPr>
      </w:pPr>
      <w:r>
        <w:rPr>
          <w:rFonts w:hint="eastAsia" w:cs="宋体"/>
        </w:rPr>
        <w:t>名    称：</w:t>
      </w:r>
      <w:r>
        <w:rPr>
          <w:rFonts w:hint="eastAsia" w:cs="宋体"/>
          <w:lang w:eastAsia="zh-CN"/>
        </w:rPr>
        <w:t>成都市技师学院</w:t>
      </w:r>
    </w:p>
    <w:p>
      <w:pPr>
        <w:pStyle w:val="43"/>
        <w:spacing w:line="520" w:lineRule="exact"/>
        <w:ind w:firstLine="480" w:firstLineChars="200"/>
        <w:rPr>
          <w:rFonts w:cs="宋体"/>
        </w:rPr>
      </w:pPr>
      <w:r>
        <w:rPr>
          <w:rFonts w:hint="eastAsia" w:cs="宋体"/>
        </w:rPr>
        <w:t xml:space="preserve">地    址：成都市郫都区红光街道港通北三路1899号 </w:t>
      </w:r>
    </w:p>
    <w:p>
      <w:pPr>
        <w:pStyle w:val="43"/>
        <w:spacing w:line="520" w:lineRule="exact"/>
        <w:ind w:firstLine="480" w:firstLineChars="200"/>
        <w:rPr>
          <w:rFonts w:cs="宋体"/>
        </w:rPr>
      </w:pPr>
      <w:r>
        <w:rPr>
          <w:rFonts w:hint="eastAsia" w:cs="宋体"/>
        </w:rPr>
        <w:t>联 系 人：王珏冰</w:t>
      </w:r>
    </w:p>
    <w:p>
      <w:pPr>
        <w:pStyle w:val="43"/>
        <w:spacing w:line="520" w:lineRule="exact"/>
        <w:ind w:firstLine="480" w:firstLineChars="200"/>
        <w:rPr>
          <w:rFonts w:cs="宋体"/>
        </w:rPr>
      </w:pPr>
      <w:r>
        <w:rPr>
          <w:rFonts w:hint="eastAsia" w:cs="宋体"/>
        </w:rPr>
        <w:t xml:space="preserve">联系方式：028-64907283 </w:t>
      </w:r>
    </w:p>
    <w:p>
      <w:pPr>
        <w:pStyle w:val="43"/>
        <w:spacing w:line="520" w:lineRule="exact"/>
        <w:ind w:firstLine="480" w:firstLineChars="200"/>
        <w:rPr>
          <w:rFonts w:cs="宋体"/>
        </w:rPr>
      </w:pPr>
      <w:r>
        <w:rPr>
          <w:rFonts w:hint="eastAsia" w:cs="宋体"/>
        </w:rPr>
        <w:t>(二)采购代理机构信息</w:t>
      </w:r>
    </w:p>
    <w:p>
      <w:pPr>
        <w:pStyle w:val="43"/>
        <w:spacing w:line="520" w:lineRule="exact"/>
        <w:ind w:firstLine="480" w:firstLineChars="200"/>
        <w:rPr>
          <w:rFonts w:cs="宋体"/>
        </w:rPr>
      </w:pPr>
      <w:r>
        <w:rPr>
          <w:rFonts w:hint="eastAsia" w:cs="宋体"/>
        </w:rPr>
        <w:t>名    称：四川乾新招投标代理有限公司</w:t>
      </w:r>
    </w:p>
    <w:p>
      <w:pPr>
        <w:pStyle w:val="43"/>
        <w:spacing w:line="520" w:lineRule="exact"/>
        <w:ind w:firstLine="480" w:firstLineChars="200"/>
        <w:rPr>
          <w:rFonts w:cs="宋体"/>
        </w:rPr>
      </w:pPr>
      <w:r>
        <w:rPr>
          <w:rFonts w:hint="eastAsia" w:cs="宋体"/>
        </w:rPr>
        <w:t>地    址：</w:t>
      </w:r>
      <w:r>
        <w:rPr>
          <w:rFonts w:hint="eastAsia" w:cs="宋体"/>
          <w:lang w:val="zh-CN"/>
        </w:rPr>
        <w:t>成都市高新区吉庆三路333号蜀都中心二期一号楼一单元401号</w:t>
      </w:r>
    </w:p>
    <w:p>
      <w:pPr>
        <w:pStyle w:val="43"/>
        <w:spacing w:line="520" w:lineRule="exact"/>
        <w:ind w:firstLine="480" w:firstLineChars="200"/>
        <w:rPr>
          <w:rFonts w:cs="宋体"/>
        </w:rPr>
      </w:pPr>
      <w:r>
        <w:rPr>
          <w:rFonts w:hint="eastAsia" w:cs="宋体"/>
        </w:rPr>
        <w:t xml:space="preserve">联 系 人：王朝钢 </w:t>
      </w:r>
    </w:p>
    <w:p>
      <w:pPr>
        <w:pStyle w:val="43"/>
        <w:spacing w:line="520" w:lineRule="exact"/>
        <w:ind w:firstLine="480" w:firstLineChars="200"/>
      </w:pPr>
      <w:r>
        <w:rPr>
          <w:rFonts w:hint="eastAsia" w:cs="宋体"/>
        </w:rPr>
        <w:t>采购文件咨询</w:t>
      </w:r>
      <w:r>
        <w:rPr>
          <w:rFonts w:hint="eastAsia" w:cs="宋体"/>
          <w:lang w:val="zh-CN"/>
        </w:rPr>
        <w:t>电话：028-84638556、84882960转</w:t>
      </w:r>
      <w:r>
        <w:rPr>
          <w:rFonts w:hint="eastAsia" w:cs="宋体"/>
        </w:rPr>
        <w:t>663</w:t>
      </w:r>
    </w:p>
    <w:p>
      <w:pPr>
        <w:pStyle w:val="43"/>
        <w:spacing w:line="520" w:lineRule="exact"/>
        <w:ind w:firstLine="480" w:firstLineChars="200"/>
        <w:rPr>
          <w:rFonts w:cs="宋体"/>
        </w:rPr>
      </w:pPr>
      <w:r>
        <w:rPr>
          <w:rFonts w:hint="eastAsia" w:cs="宋体"/>
        </w:rPr>
        <w:t>保证金及保函咨询电话：</w:t>
      </w:r>
      <w:r>
        <w:rPr>
          <w:rFonts w:hint="eastAsia" w:cs="宋体"/>
          <w:lang w:val="zh-CN"/>
        </w:rPr>
        <w:t>028-84638556、84882960</w:t>
      </w:r>
      <w:r>
        <w:rPr>
          <w:rFonts w:hint="eastAsia" w:cs="宋体"/>
        </w:rPr>
        <w:t>转608</w:t>
      </w:r>
    </w:p>
    <w:p>
      <w:pPr>
        <w:pStyle w:val="43"/>
        <w:spacing w:line="520" w:lineRule="exact"/>
        <w:ind w:firstLine="480" w:firstLineChars="200"/>
        <w:rPr>
          <w:rFonts w:cs="宋体"/>
        </w:rPr>
      </w:pPr>
      <w:r>
        <w:rPr>
          <w:rFonts w:hint="eastAsia" w:cs="宋体"/>
        </w:rPr>
        <w:t>发票开具与咨询电话：028-84638556、84882960转609</w:t>
      </w:r>
    </w:p>
    <w:p>
      <w:pPr>
        <w:pStyle w:val="43"/>
        <w:spacing w:line="520" w:lineRule="exact"/>
        <w:ind w:firstLine="480" w:firstLineChars="200"/>
        <w:rPr>
          <w:rFonts w:cs="宋体"/>
        </w:rPr>
      </w:pPr>
      <w:r>
        <w:rPr>
          <w:rFonts w:hint="eastAsia" w:cs="宋体"/>
        </w:rPr>
        <w:t>成交通知书领取电话：028-61375575、62630990转601或602</w:t>
      </w:r>
    </w:p>
    <w:p>
      <w:pPr>
        <w:pStyle w:val="43"/>
        <w:spacing w:line="520" w:lineRule="exact"/>
        <w:ind w:firstLine="480" w:firstLineChars="200"/>
        <w:rPr>
          <w:rFonts w:cs="宋体"/>
        </w:rPr>
      </w:pPr>
      <w:r>
        <w:rPr>
          <w:rFonts w:hint="eastAsia" w:cs="宋体"/>
        </w:rPr>
        <w:t>服务质量投诉电话：</w:t>
      </w:r>
      <w:r>
        <w:rPr>
          <w:rFonts w:hint="eastAsia" w:cs="宋体"/>
          <w:lang w:val="zh-CN"/>
        </w:rPr>
        <w:t>028-84638556、84882960</w:t>
      </w:r>
      <w:r>
        <w:rPr>
          <w:rFonts w:hint="eastAsia" w:cs="宋体"/>
        </w:rPr>
        <w:t>转603</w:t>
      </w:r>
    </w:p>
    <w:p>
      <w:pPr>
        <w:pStyle w:val="43"/>
        <w:spacing w:line="520" w:lineRule="exact"/>
        <w:ind w:firstLine="480" w:firstLineChars="200"/>
        <w:rPr>
          <w:rFonts w:cs="宋体"/>
          <w:lang w:val="zh-CN"/>
        </w:rPr>
      </w:pPr>
      <w:r>
        <w:rPr>
          <w:rFonts w:hint="eastAsia" w:cs="宋体"/>
          <w:lang w:val="zh-CN"/>
        </w:rPr>
        <w:t>传    真：</w:t>
      </w:r>
      <w:r>
        <w:rPr>
          <w:rFonts w:hint="eastAsia" w:cs="宋体"/>
        </w:rPr>
        <w:t>028-</w:t>
      </w:r>
      <w:r>
        <w:rPr>
          <w:rFonts w:hint="eastAsia" w:cs="宋体"/>
          <w:lang w:val="zh-CN"/>
        </w:rPr>
        <w:t>83381</w:t>
      </w:r>
      <w:r>
        <w:rPr>
          <w:rFonts w:hint="eastAsia" w:cs="宋体"/>
        </w:rPr>
        <w:t>268</w:t>
      </w:r>
    </w:p>
    <w:p>
      <w:pPr>
        <w:pStyle w:val="43"/>
        <w:spacing w:line="520" w:lineRule="exact"/>
        <w:ind w:firstLine="480" w:firstLineChars="200"/>
        <w:rPr>
          <w:lang w:val="zh-CN"/>
        </w:rPr>
      </w:pPr>
      <w:r>
        <w:rPr>
          <w:rFonts w:hint="eastAsia" w:cs="宋体"/>
          <w:lang w:val="zh-CN"/>
        </w:rPr>
        <w:t>电子邮件：</w:t>
      </w:r>
      <w:r>
        <w:fldChar w:fldCharType="begin"/>
      </w:r>
      <w:r>
        <w:instrText xml:space="preserve"> HYPERLINK "mailto:scqxzb@163.com" </w:instrText>
      </w:r>
      <w:r>
        <w:fldChar w:fldCharType="separate"/>
      </w:r>
      <w:r>
        <w:rPr>
          <w:rFonts w:hint="eastAsia" w:cs="宋体"/>
          <w:lang w:val="zh-CN"/>
        </w:rPr>
        <w:t>scqxzb@163.com</w:t>
      </w:r>
      <w:r>
        <w:rPr>
          <w:rFonts w:hint="eastAsia" w:cs="宋体"/>
          <w:lang w:val="zh-CN"/>
        </w:rPr>
        <w:fldChar w:fldCharType="end"/>
      </w:r>
    </w:p>
    <w:p>
      <w:pPr>
        <w:pStyle w:val="48"/>
        <w:spacing w:before="120" w:after="120"/>
      </w:pPr>
      <w:r>
        <w:rPr>
          <w:rFonts w:hint="eastAsia"/>
        </w:rPr>
        <w:br w:type="page"/>
      </w:r>
      <w:bookmarkEnd w:id="8"/>
      <w:bookmarkEnd w:id="9"/>
      <w:bookmarkEnd w:id="10"/>
      <w:bookmarkEnd w:id="11"/>
      <w:bookmarkEnd w:id="12"/>
      <w:bookmarkStart w:id="14" w:name="_Toc8252"/>
      <w:bookmarkStart w:id="15" w:name="_Toc10158"/>
      <w:bookmarkStart w:id="16" w:name="_Toc5316"/>
      <w:r>
        <w:rPr>
          <w:rFonts w:hint="eastAsia" w:asciiTheme="minorEastAsia" w:hAnsiTheme="minorEastAsia" w:eastAsiaTheme="minorEastAsia" w:cstheme="minorEastAsia"/>
          <w:szCs w:val="36"/>
        </w:rPr>
        <w:t>磋商须知</w:t>
      </w:r>
      <w:bookmarkEnd w:id="14"/>
      <w:bookmarkEnd w:id="15"/>
      <w:bookmarkEnd w:id="16"/>
    </w:p>
    <w:p>
      <w:pPr>
        <w:pStyle w:val="35"/>
        <w:spacing w:before="120" w:beforeLines="50" w:after="120" w:afterLines="50"/>
        <w:ind w:firstLine="0" w:firstLineChars="0"/>
        <w:jc w:val="center"/>
        <w:rPr>
          <w:sz w:val="36"/>
          <w:szCs w:val="36"/>
        </w:rPr>
      </w:pPr>
      <w:bookmarkStart w:id="17" w:name="_Toc14542"/>
      <w:bookmarkStart w:id="18" w:name="_Toc30715"/>
      <w:bookmarkStart w:id="19" w:name="_Toc5748"/>
      <w:r>
        <w:rPr>
          <w:rFonts w:hint="eastAsia"/>
          <w:sz w:val="36"/>
          <w:szCs w:val="36"/>
        </w:rPr>
        <w:t>磋商须知前附表</w:t>
      </w:r>
      <w:bookmarkEnd w:id="17"/>
      <w:bookmarkEnd w:id="18"/>
      <w:bookmarkEnd w:id="19"/>
    </w:p>
    <w:tbl>
      <w:tblPr>
        <w:tblStyle w:val="23"/>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2020"/>
        <w:gridCol w:w="70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tblHeader/>
          <w:jc w:val="center"/>
        </w:trPr>
        <w:tc>
          <w:tcPr>
            <w:tcW w:w="622" w:type="dxa"/>
            <w:vAlign w:val="center"/>
          </w:tcPr>
          <w:p>
            <w:pPr>
              <w:pStyle w:val="45"/>
              <w:ind w:left="24" w:leftChars="10" w:right="24" w:rightChars="10"/>
              <w:rPr>
                <w:rFonts w:cs="宋体"/>
                <w:b/>
                <w:bCs/>
                <w:szCs w:val="21"/>
                <w:lang w:val="zh-CN"/>
              </w:rPr>
            </w:pPr>
            <w:bookmarkStart w:id="20" w:name="_Toc327196262"/>
            <w:r>
              <w:rPr>
                <w:rFonts w:hint="eastAsia" w:cs="宋体"/>
                <w:b/>
                <w:bCs/>
                <w:szCs w:val="21"/>
                <w:lang w:val="zh-CN"/>
              </w:rPr>
              <w:t>序号</w:t>
            </w:r>
          </w:p>
        </w:tc>
        <w:tc>
          <w:tcPr>
            <w:tcW w:w="2020" w:type="dxa"/>
            <w:vAlign w:val="center"/>
          </w:tcPr>
          <w:p>
            <w:pPr>
              <w:pStyle w:val="45"/>
              <w:ind w:left="24" w:leftChars="10" w:right="24" w:rightChars="10"/>
              <w:rPr>
                <w:rFonts w:cs="宋体"/>
                <w:b/>
                <w:bCs/>
                <w:szCs w:val="21"/>
                <w:lang w:val="zh-CN"/>
              </w:rPr>
            </w:pPr>
            <w:r>
              <w:rPr>
                <w:rFonts w:hint="eastAsia" w:cs="宋体"/>
                <w:b/>
                <w:bCs/>
                <w:szCs w:val="21"/>
                <w:lang w:val="zh-CN"/>
              </w:rPr>
              <w:t>须知事项</w:t>
            </w:r>
          </w:p>
        </w:tc>
        <w:tc>
          <w:tcPr>
            <w:tcW w:w="7061" w:type="dxa"/>
            <w:vAlign w:val="center"/>
          </w:tcPr>
          <w:p>
            <w:pPr>
              <w:pStyle w:val="45"/>
              <w:ind w:left="24" w:leftChars="10" w:right="24" w:rightChars="10"/>
              <w:rPr>
                <w:rFonts w:cs="宋体"/>
                <w:b/>
                <w:bCs/>
                <w:szCs w:val="21"/>
                <w:lang w:val="zh-CN"/>
              </w:rPr>
            </w:pPr>
            <w:r>
              <w:rPr>
                <w:rFonts w:hint="eastAsia" w:cs="宋体"/>
                <w:b/>
                <w:bCs/>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采购预算、报价要求</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1.</w:t>
            </w:r>
            <w:r>
              <w:rPr>
                <w:rFonts w:hint="eastAsia" w:cs="宋体"/>
                <w:szCs w:val="21"/>
                <w:lang w:val="zh-CN"/>
              </w:rPr>
              <w:t>本项目</w:t>
            </w:r>
            <w:r>
              <w:rPr>
                <w:rFonts w:hint="eastAsia" w:cs="宋体"/>
                <w:szCs w:val="21"/>
              </w:rPr>
              <w:t>采购</w:t>
            </w:r>
            <w:r>
              <w:rPr>
                <w:rFonts w:hint="eastAsia" w:cs="宋体"/>
                <w:szCs w:val="21"/>
                <w:lang w:val="zh-CN"/>
              </w:rPr>
              <w:t>预算为人民币</w:t>
            </w:r>
            <w:r>
              <w:rPr>
                <w:rFonts w:hint="eastAsia" w:cs="宋体"/>
                <w:szCs w:val="21"/>
                <w:lang w:val="en-US" w:eastAsia="zh-CN"/>
              </w:rPr>
              <w:t>14</w:t>
            </w:r>
            <w:r>
              <w:rPr>
                <w:rFonts w:hint="eastAsia" w:cs="宋体"/>
                <w:szCs w:val="21"/>
              </w:rPr>
              <w:t>万元</w:t>
            </w:r>
            <w:r>
              <w:rPr>
                <w:rFonts w:hint="eastAsia" w:cs="宋体"/>
                <w:szCs w:val="21"/>
                <w:lang w:val="zh-CN"/>
              </w:rPr>
              <w:t>。</w:t>
            </w:r>
          </w:p>
          <w:p>
            <w:pPr>
              <w:pStyle w:val="42"/>
              <w:ind w:left="24" w:leftChars="10" w:right="24" w:rightChars="10"/>
              <w:rPr>
                <w:rFonts w:cs="宋体"/>
                <w:szCs w:val="21"/>
                <w:lang w:val="zh-CN"/>
              </w:rPr>
            </w:pPr>
            <w:r>
              <w:rPr>
                <w:rFonts w:hint="eastAsia" w:cs="宋体"/>
                <w:szCs w:val="21"/>
              </w:rPr>
              <w:t>2.</w:t>
            </w:r>
            <w:r>
              <w:rPr>
                <w:rFonts w:hint="eastAsia" w:cs="宋体"/>
                <w:szCs w:val="21"/>
                <w:lang w:val="zh-CN"/>
              </w:rPr>
              <w:t>本项目</w:t>
            </w:r>
            <w:r>
              <w:rPr>
                <w:rFonts w:hint="eastAsia" w:cs="宋体"/>
                <w:szCs w:val="21"/>
              </w:rPr>
              <w:t>报价(含最后报价)</w:t>
            </w:r>
            <w:r>
              <w:rPr>
                <w:rFonts w:hint="eastAsia" w:cs="宋体"/>
                <w:szCs w:val="21"/>
                <w:lang w:val="zh-CN"/>
              </w:rPr>
              <w:t>不</w:t>
            </w:r>
            <w:r>
              <w:rPr>
                <w:rFonts w:hint="eastAsia" w:cs="宋体"/>
                <w:szCs w:val="21"/>
              </w:rPr>
              <w:t>得</w:t>
            </w:r>
            <w:r>
              <w:rPr>
                <w:rFonts w:hint="eastAsia" w:cs="宋体"/>
                <w:szCs w:val="21"/>
                <w:lang w:val="zh-CN"/>
              </w:rPr>
              <w:t>超过</w:t>
            </w:r>
            <w:r>
              <w:rPr>
                <w:rFonts w:hint="eastAsia" w:cs="宋体"/>
                <w:szCs w:val="21"/>
              </w:rPr>
              <w:t>采购</w:t>
            </w:r>
            <w:r>
              <w:rPr>
                <w:rFonts w:hint="eastAsia" w:cs="宋体"/>
                <w:szCs w:val="21"/>
                <w:lang w:val="zh-CN"/>
              </w:rPr>
              <w:t>预算，</w:t>
            </w:r>
            <w:r>
              <w:rPr>
                <w:rFonts w:hint="eastAsia" w:cs="宋体"/>
                <w:szCs w:val="21"/>
              </w:rPr>
              <w:t>否则将被视为无效报价。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项目属性</w:t>
            </w:r>
          </w:p>
        </w:tc>
        <w:tc>
          <w:tcPr>
            <w:tcW w:w="7061" w:type="dxa"/>
            <w:vAlign w:val="center"/>
          </w:tcPr>
          <w:p>
            <w:pPr>
              <w:pStyle w:val="42"/>
              <w:ind w:left="24" w:leftChars="10" w:right="24" w:rightChars="10"/>
              <w:rPr>
                <w:rFonts w:cs="宋体"/>
                <w:szCs w:val="21"/>
              </w:rPr>
            </w:pPr>
            <w:r>
              <w:rPr>
                <w:rFonts w:hint="eastAsia" w:cs="宋体"/>
                <w:szCs w:val="21"/>
              </w:rPr>
              <w:t>本项目属于服务类采购项目，不对其中涉及的货物的制造商是否享受中小企业扶持政策作出要求。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本项目所属行业</w:t>
            </w:r>
          </w:p>
        </w:tc>
        <w:tc>
          <w:tcPr>
            <w:tcW w:w="7061" w:type="dxa"/>
            <w:vAlign w:val="center"/>
          </w:tcPr>
          <w:p>
            <w:pPr>
              <w:pStyle w:val="42"/>
              <w:ind w:left="24" w:leftChars="10" w:right="24" w:rightChars="10"/>
              <w:rPr>
                <w:rFonts w:cs="宋体"/>
                <w:szCs w:val="21"/>
              </w:rPr>
            </w:pPr>
            <w:r>
              <w:rPr>
                <w:rFonts w:hint="eastAsia" w:cs="宋体"/>
                <w:szCs w:val="21"/>
              </w:rPr>
              <w:t>本项目所属行业为软件和信息技术服务业。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lang w:val="zh-CN"/>
              </w:rPr>
              <w:t>定向采购</w:t>
            </w:r>
          </w:p>
        </w:tc>
        <w:tc>
          <w:tcPr>
            <w:tcW w:w="7061" w:type="dxa"/>
            <w:vAlign w:val="center"/>
          </w:tcPr>
          <w:p>
            <w:pPr>
              <w:pStyle w:val="42"/>
              <w:ind w:left="24" w:leftChars="10" w:right="24" w:rightChars="10"/>
              <w:rPr>
                <w:rFonts w:cs="宋体"/>
                <w:szCs w:val="21"/>
              </w:rPr>
            </w:pPr>
            <w:r>
              <w:rPr>
                <w:rFonts w:hint="eastAsia" w:cs="宋体"/>
                <w:szCs w:val="21"/>
              </w:rPr>
              <w:t>本项目为</w:t>
            </w:r>
            <w:r>
              <w:rPr>
                <w:rFonts w:hint="eastAsia" w:cs="宋体"/>
                <w:szCs w:val="21"/>
                <w:lang w:val="zh-CN"/>
              </w:rPr>
              <w:t>非专门面向中小企业</w:t>
            </w:r>
            <w:r>
              <w:rPr>
                <w:rFonts w:hint="eastAsia" w:cs="宋体"/>
                <w:szCs w:val="21"/>
              </w:rPr>
              <w:t>采购</w:t>
            </w:r>
            <w:r>
              <w:rPr>
                <w:rFonts w:hint="eastAsia" w:cs="宋体"/>
                <w:szCs w:val="21"/>
                <w:lang w:val="zh-CN"/>
              </w:rPr>
              <w:t>的项目。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lang w:val="zh-CN"/>
              </w:rPr>
              <w:t>本国</w:t>
            </w:r>
            <w:r>
              <w:rPr>
                <w:rFonts w:hint="eastAsia" w:cs="宋体"/>
                <w:szCs w:val="21"/>
              </w:rPr>
              <w:t>服务</w:t>
            </w:r>
          </w:p>
          <w:p>
            <w:pPr>
              <w:pStyle w:val="45"/>
              <w:ind w:left="24" w:leftChars="10" w:right="24" w:rightChars="10"/>
              <w:rPr>
                <w:rFonts w:cs="宋体"/>
                <w:szCs w:val="21"/>
                <w:lang w:val="zh-CN"/>
              </w:rPr>
            </w:pPr>
            <w:r>
              <w:rPr>
                <w:rFonts w:hint="eastAsia" w:cs="宋体"/>
                <w:szCs w:val="21"/>
                <w:lang w:val="zh-CN"/>
              </w:rPr>
              <w:t>(实质性要求)</w:t>
            </w:r>
          </w:p>
        </w:tc>
        <w:tc>
          <w:tcPr>
            <w:tcW w:w="7061" w:type="dxa"/>
            <w:vAlign w:val="center"/>
          </w:tcPr>
          <w:p>
            <w:pPr>
              <w:pStyle w:val="45"/>
              <w:ind w:left="24" w:leftChars="10" w:right="24" w:rightChars="10"/>
              <w:rPr>
                <w:rFonts w:cs="宋体"/>
                <w:szCs w:val="21"/>
                <w:lang w:val="zh-CN"/>
              </w:rPr>
            </w:pPr>
            <w:r>
              <w:rPr>
                <w:rFonts w:hint="eastAsia" w:cs="宋体"/>
                <w:szCs w:val="21"/>
              </w:rPr>
              <w:t>参照</w:t>
            </w:r>
            <w:r>
              <w:rPr>
                <w:rFonts w:hint="eastAsia" w:cs="宋体"/>
                <w:szCs w:val="21"/>
                <w:lang w:val="zh-CN"/>
              </w:rPr>
              <w:t>《中华人民共和国政府采购法》第十条的规定，本项目采购本国</w:t>
            </w:r>
            <w:r>
              <w:rPr>
                <w:rFonts w:hint="eastAsia" w:cs="宋体"/>
                <w:szCs w:val="21"/>
              </w:rPr>
              <w:t>服务</w:t>
            </w:r>
            <w:r>
              <w:rPr>
                <w:rFonts w:hint="eastAsia" w:cs="宋体"/>
                <w:szCs w:val="21"/>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采购方式</w:t>
            </w:r>
          </w:p>
        </w:tc>
        <w:tc>
          <w:tcPr>
            <w:tcW w:w="7061" w:type="dxa"/>
            <w:vAlign w:val="center"/>
          </w:tcPr>
          <w:p>
            <w:pPr>
              <w:pStyle w:val="42"/>
              <w:ind w:left="24" w:leftChars="10" w:right="24" w:rightChars="10"/>
              <w:rPr>
                <w:rFonts w:cs="宋体"/>
                <w:szCs w:val="21"/>
              </w:rPr>
            </w:pPr>
            <w:r>
              <w:rPr>
                <w:rFonts w:hint="eastAsia" w:cs="宋体"/>
                <w:szCs w:val="21"/>
              </w:rPr>
              <w:t>竞争性磋商。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评审</w:t>
            </w:r>
            <w:r>
              <w:rPr>
                <w:rFonts w:hint="eastAsia" w:cs="宋体"/>
                <w:szCs w:val="21"/>
                <w:lang w:val="zh-CN"/>
              </w:rPr>
              <w:t>方法</w:t>
            </w:r>
          </w:p>
        </w:tc>
        <w:tc>
          <w:tcPr>
            <w:tcW w:w="7061" w:type="dxa"/>
            <w:vAlign w:val="center"/>
          </w:tcPr>
          <w:p>
            <w:pPr>
              <w:pStyle w:val="42"/>
              <w:ind w:left="24" w:leftChars="10" w:right="24" w:rightChars="10"/>
              <w:rPr>
                <w:rFonts w:cs="宋体"/>
                <w:szCs w:val="21"/>
                <w:lang w:val="zh-CN"/>
              </w:rPr>
            </w:pPr>
            <w:r>
              <w:rPr>
                <w:rFonts w:hint="eastAsia" w:cs="宋体"/>
                <w:szCs w:val="21"/>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竞争范围</w:t>
            </w:r>
          </w:p>
        </w:tc>
        <w:tc>
          <w:tcPr>
            <w:tcW w:w="7061" w:type="dxa"/>
            <w:vAlign w:val="center"/>
          </w:tcPr>
          <w:p>
            <w:pPr>
              <w:pStyle w:val="42"/>
              <w:ind w:left="24" w:leftChars="10" w:right="24" w:rightChars="10"/>
              <w:rPr>
                <w:rFonts w:cs="宋体"/>
                <w:szCs w:val="21"/>
                <w:lang w:val="zh-CN"/>
              </w:rPr>
            </w:pPr>
            <w:r>
              <w:rPr>
                <w:rFonts w:hint="eastAsia" w:cs="宋体"/>
                <w:szCs w:val="21"/>
              </w:rPr>
              <w:t>公开竞争。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合同定价方式</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固定总价。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7"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合同分包</w:t>
            </w:r>
            <w:r>
              <w:rPr>
                <w:rFonts w:hint="eastAsia" w:cs="宋体"/>
                <w:szCs w:val="21"/>
              </w:rPr>
              <w:t>、转包</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numPr>
                <w:ilvl w:val="0"/>
                <w:numId w:val="9"/>
              </w:numPr>
              <w:tabs>
                <w:tab w:val="clear" w:pos="312"/>
              </w:tabs>
              <w:ind w:left="24" w:leftChars="10" w:right="24" w:rightChars="10"/>
              <w:rPr>
                <w:rFonts w:cs="宋体"/>
                <w:szCs w:val="21"/>
              </w:rPr>
            </w:pPr>
            <w:r>
              <w:rPr>
                <w:rFonts w:hint="eastAsia" w:cs="宋体"/>
                <w:szCs w:val="21"/>
              </w:rPr>
              <w:t>本项目不允许供应商以合同分包形式进行磋商。</w:t>
            </w:r>
          </w:p>
          <w:p>
            <w:pPr>
              <w:pStyle w:val="42"/>
              <w:ind w:left="24" w:leftChars="10" w:right="24" w:rightChars="10"/>
              <w:rPr>
                <w:rFonts w:cs="宋体"/>
                <w:szCs w:val="21"/>
              </w:rPr>
            </w:pPr>
            <w:r>
              <w:rPr>
                <w:rFonts w:hint="eastAsia" w:cs="宋体"/>
                <w:szCs w:val="21"/>
              </w:rPr>
              <w:t>2.本项目禁止成交供应商将任何采购合同义务转包。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联合体磋商</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lang w:val="zh-CN"/>
              </w:rPr>
            </w:pPr>
            <w:r>
              <w:rPr>
                <w:rFonts w:hint="eastAsia" w:cs="宋体"/>
                <w:szCs w:val="21"/>
              </w:rPr>
              <w:t>本项目不接受联合体参加本次采购活动。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磋商文件是否能够详细列明采购标的的技术、服务要求。</w:t>
            </w:r>
          </w:p>
        </w:tc>
        <w:tc>
          <w:tcPr>
            <w:tcW w:w="7061" w:type="dxa"/>
            <w:vAlign w:val="center"/>
          </w:tcPr>
          <w:p>
            <w:pPr>
              <w:pStyle w:val="42"/>
              <w:ind w:left="24" w:leftChars="10" w:right="24" w:rightChars="10"/>
              <w:rPr>
                <w:rFonts w:cs="宋体"/>
                <w:szCs w:val="21"/>
              </w:rPr>
            </w:pPr>
            <w:r>
              <w:rPr>
                <w:rFonts w:hint="eastAsia" w:cs="宋体"/>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rPr>
            </w:pPr>
            <w:r>
              <w:rPr>
                <w:rFonts w:hint="eastAsia" w:cs="宋体"/>
                <w:szCs w:val="21"/>
              </w:rPr>
              <w:t>现场考察、标前</w:t>
            </w:r>
          </w:p>
          <w:p>
            <w:pPr>
              <w:pStyle w:val="45"/>
              <w:ind w:left="24" w:leftChars="10" w:right="24" w:rightChars="10"/>
              <w:rPr>
                <w:rFonts w:cs="宋体"/>
                <w:szCs w:val="21"/>
                <w:lang w:val="zh-CN"/>
              </w:rPr>
            </w:pPr>
            <w:r>
              <w:rPr>
                <w:rFonts w:hint="eastAsia" w:cs="宋体"/>
                <w:szCs w:val="21"/>
              </w:rPr>
              <w:t>答疑会</w:t>
            </w:r>
          </w:p>
        </w:tc>
        <w:tc>
          <w:tcPr>
            <w:tcW w:w="7061" w:type="dxa"/>
            <w:vAlign w:val="center"/>
          </w:tcPr>
          <w:p>
            <w:pPr>
              <w:pStyle w:val="42"/>
              <w:ind w:left="24" w:leftChars="10" w:right="24" w:rightChars="10"/>
              <w:rPr>
                <w:rFonts w:cs="宋体"/>
                <w:szCs w:val="21"/>
              </w:rPr>
            </w:pPr>
            <w:r>
              <w:rPr>
                <w:rFonts w:hint="eastAsia" w:cs="宋体"/>
                <w:szCs w:val="21"/>
              </w:rPr>
              <w:t>1.采购人、采购代理机构可以视采购项目的具体情况，组织供应商进行现场考察或磋商前答疑会，但不得单独或分别组织只有一个供应商参加的现场考察和答疑会。若组织答疑会和现场考察以采购代理机构通知为准。</w:t>
            </w:r>
          </w:p>
          <w:p>
            <w:pPr>
              <w:pStyle w:val="42"/>
              <w:ind w:left="24" w:leftChars="10" w:right="24" w:rightChars="10"/>
              <w:rPr>
                <w:rFonts w:cs="宋体"/>
                <w:szCs w:val="21"/>
              </w:rPr>
            </w:pPr>
            <w:r>
              <w:rPr>
                <w:rFonts w:hint="eastAsia" w:cs="宋体"/>
                <w:szCs w:val="21"/>
              </w:rPr>
              <w:t>2.供应商参加答疑会和现场考察所发生的一切费用由供应商自行承担。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磋商保证金</w:t>
            </w:r>
          </w:p>
          <w:p>
            <w:pPr>
              <w:pStyle w:val="45"/>
              <w:ind w:left="24" w:leftChars="10" w:right="24" w:rightChars="10"/>
              <w:rPr>
                <w:rFonts w:cs="宋体"/>
                <w:szCs w:val="21"/>
                <w:lang w:val="zh-CN"/>
              </w:rPr>
            </w:pPr>
            <w:r>
              <w:rPr>
                <w:rFonts w:hint="eastAsia" w:cs="宋体"/>
                <w:szCs w:val="21"/>
                <w:lang w:val="zh-CN"/>
              </w:rPr>
              <w:t>(实质性要求)</w:t>
            </w:r>
          </w:p>
        </w:tc>
        <w:tc>
          <w:tcPr>
            <w:tcW w:w="7061" w:type="dxa"/>
            <w:vAlign w:val="center"/>
          </w:tcPr>
          <w:p>
            <w:pPr>
              <w:pStyle w:val="42"/>
              <w:ind w:left="24" w:leftChars="10" w:right="24" w:rightChars="10"/>
              <w:rPr>
                <w:rFonts w:cs="宋体"/>
                <w:szCs w:val="21"/>
              </w:rPr>
            </w:pPr>
            <w:r>
              <w:rPr>
                <w:rFonts w:hint="eastAsia" w:cs="宋体"/>
                <w:szCs w:val="21"/>
              </w:rPr>
              <w:t>金    额：人民币</w:t>
            </w:r>
            <w:r>
              <w:rPr>
                <w:rFonts w:hint="eastAsia" w:cs="宋体"/>
                <w:szCs w:val="21"/>
                <w:lang w:val="en-US" w:eastAsia="zh-CN"/>
              </w:rPr>
              <w:t>2</w:t>
            </w:r>
            <w:r>
              <w:rPr>
                <w:rFonts w:hint="eastAsia" w:cs="宋体"/>
                <w:szCs w:val="21"/>
              </w:rPr>
              <w:t>000元整(大写人民币</w:t>
            </w:r>
            <w:r>
              <w:rPr>
                <w:rFonts w:hint="eastAsia" w:cs="宋体"/>
                <w:szCs w:val="21"/>
                <w:lang w:val="en-US" w:eastAsia="zh-CN"/>
              </w:rPr>
              <w:t>贰</w:t>
            </w:r>
            <w:r>
              <w:rPr>
                <w:rFonts w:hint="eastAsia" w:cs="宋体"/>
                <w:szCs w:val="21"/>
              </w:rPr>
              <w:t>仟元整)。</w:t>
            </w:r>
          </w:p>
          <w:p>
            <w:pPr>
              <w:pStyle w:val="42"/>
              <w:ind w:left="24" w:leftChars="10" w:right="24" w:rightChars="10"/>
              <w:rPr>
                <w:rFonts w:cs="宋体"/>
                <w:szCs w:val="21"/>
              </w:rPr>
            </w:pPr>
            <w:r>
              <w:rPr>
                <w:rFonts w:hint="eastAsia" w:cs="宋体"/>
                <w:szCs w:val="21"/>
              </w:rPr>
              <w:t>交款方式：</w:t>
            </w:r>
            <w:r>
              <w:rPr>
                <w:rFonts w:hint="eastAsia" w:cs="宋体"/>
                <w:szCs w:val="21"/>
                <w:lang w:val="zh-CN"/>
              </w:rPr>
              <w:t>以支票、汇票、本票或者</w:t>
            </w:r>
            <w:r>
              <w:rPr>
                <w:rFonts w:hint="eastAsia" w:cs="宋体"/>
                <w:szCs w:val="21"/>
              </w:rPr>
              <w:t>金融机构</w:t>
            </w:r>
            <w:r>
              <w:rPr>
                <w:rFonts w:hint="eastAsia" w:cs="宋体"/>
                <w:szCs w:val="21"/>
                <w:lang w:val="zh-CN"/>
              </w:rPr>
              <w:t>出具的保函</w:t>
            </w:r>
            <w:r>
              <w:rPr>
                <w:rFonts w:hint="eastAsia" w:cs="宋体"/>
                <w:szCs w:val="21"/>
              </w:rPr>
              <w:t>等</w:t>
            </w:r>
            <w:r>
              <w:rPr>
                <w:rFonts w:hint="eastAsia" w:cs="宋体"/>
                <w:szCs w:val="21"/>
                <w:lang w:val="zh-CN"/>
              </w:rPr>
              <w:t>非现金形式</w:t>
            </w:r>
            <w:r>
              <w:rPr>
                <w:rFonts w:hint="eastAsia" w:cs="宋体"/>
                <w:szCs w:val="21"/>
              </w:rPr>
              <w:t>提交</w:t>
            </w:r>
            <w:r>
              <w:rPr>
                <w:rFonts w:hint="eastAsia" w:cs="宋体"/>
                <w:szCs w:val="21"/>
                <w:lang w:val="zh-CN"/>
              </w:rPr>
              <w:t>(</w:t>
            </w:r>
            <w:r>
              <w:rPr>
                <w:rFonts w:hint="eastAsia" w:cs="宋体"/>
                <w:szCs w:val="21"/>
              </w:rPr>
              <w:t>包括网银转账，电汇等方式</w:t>
            </w:r>
            <w:r>
              <w:rPr>
                <w:rFonts w:hint="eastAsia" w:cs="宋体"/>
                <w:szCs w:val="21"/>
                <w:lang w:val="zh-CN"/>
              </w:rPr>
              <w:t>)，</w:t>
            </w:r>
            <w:r>
              <w:rPr>
                <w:rFonts w:hint="eastAsia" w:cs="宋体"/>
                <w:szCs w:val="21"/>
              </w:rPr>
              <w:t>所有递交方式均以到账时间为准(若以保函方式提交的，必须在保证金交款截止时间前将加盖供应商公章的保函复印件提交至采购代理机构登记)[</w:t>
            </w:r>
            <w:r>
              <w:rPr>
                <w:rFonts w:hint="eastAsia" w:cs="宋体"/>
                <w:szCs w:val="21"/>
                <w:lang w:val="zh-CN"/>
              </w:rPr>
              <w:t>须注明项目编号，以便登记、查询，</w:t>
            </w:r>
            <w:r>
              <w:rPr>
                <w:rFonts w:hint="eastAsia" w:cs="宋体"/>
                <w:szCs w:val="21"/>
              </w:rPr>
              <w:t>未注明不影响其磋商有效性]。</w:t>
            </w:r>
          </w:p>
          <w:p>
            <w:pPr>
              <w:pStyle w:val="42"/>
              <w:ind w:left="24" w:leftChars="10" w:right="24" w:rightChars="10"/>
              <w:rPr>
                <w:rFonts w:cs="宋体"/>
                <w:szCs w:val="21"/>
                <w:lang w:val="zh-CN"/>
              </w:rPr>
            </w:pPr>
            <w:r>
              <w:rPr>
                <w:rFonts w:hint="eastAsia" w:cs="宋体"/>
                <w:szCs w:val="21"/>
                <w:lang w:val="zh-CN"/>
              </w:rPr>
              <w:t>收款单位：四川乾新招投标代理有限公司</w:t>
            </w:r>
          </w:p>
          <w:p>
            <w:pPr>
              <w:pStyle w:val="42"/>
              <w:ind w:left="24" w:leftChars="10" w:right="24" w:rightChars="10"/>
              <w:rPr>
                <w:rFonts w:cs="宋体"/>
                <w:szCs w:val="21"/>
                <w:lang w:val="zh-CN"/>
              </w:rPr>
            </w:pPr>
            <w:r>
              <w:rPr>
                <w:rFonts w:hint="eastAsia" w:cs="宋体"/>
                <w:szCs w:val="21"/>
                <w:lang w:val="zh-CN"/>
              </w:rPr>
              <w:t>开 户 行：招商银行成都分行天府大道支行</w:t>
            </w:r>
          </w:p>
          <w:p>
            <w:pPr>
              <w:pStyle w:val="42"/>
              <w:ind w:left="24" w:leftChars="10" w:right="24" w:rightChars="10"/>
              <w:rPr>
                <w:rFonts w:cs="宋体"/>
                <w:szCs w:val="21"/>
                <w:lang w:val="zh-CN"/>
              </w:rPr>
            </w:pPr>
            <w:r>
              <w:rPr>
                <w:rFonts w:hint="eastAsia" w:cs="宋体"/>
                <w:szCs w:val="21"/>
                <w:lang w:val="zh-CN"/>
              </w:rPr>
              <w:t>银行账号：1289 0768 1810 101</w:t>
            </w:r>
          </w:p>
          <w:p>
            <w:pPr>
              <w:pStyle w:val="42"/>
              <w:ind w:left="24" w:leftChars="10" w:right="24" w:rightChars="10"/>
              <w:rPr>
                <w:rFonts w:cs="宋体"/>
                <w:szCs w:val="21"/>
                <w:lang w:val="zh-CN"/>
              </w:rPr>
            </w:pPr>
            <w:r>
              <w:rPr>
                <w:rFonts w:hint="eastAsia" w:cs="宋体"/>
                <w:szCs w:val="21"/>
              </w:rPr>
              <w:t>交款截止时间：</w:t>
            </w:r>
            <w:r>
              <w:rPr>
                <w:rFonts w:hint="eastAsia" w:cs="宋体"/>
                <w:szCs w:val="21"/>
                <w:lang w:val="zh-CN"/>
              </w:rPr>
              <w:t>本项目</w:t>
            </w:r>
            <w:r>
              <w:rPr>
                <w:rFonts w:hint="eastAsia" w:cs="宋体"/>
                <w:szCs w:val="21"/>
              </w:rPr>
              <w:t>磋商时间</w:t>
            </w:r>
            <w:r>
              <w:rPr>
                <w:rFonts w:hint="eastAsia" w:cs="宋体"/>
                <w:szCs w:val="21"/>
                <w:lang w:val="zh-CN"/>
              </w:rPr>
              <w:t>前(</w:t>
            </w:r>
            <w:r>
              <w:rPr>
                <w:rFonts w:hint="eastAsia" w:cs="宋体"/>
                <w:szCs w:val="21"/>
              </w:rPr>
              <w:t>磋商</w:t>
            </w:r>
            <w:r>
              <w:rPr>
                <w:rFonts w:hint="eastAsia" w:cs="宋体"/>
                <w:szCs w:val="21"/>
                <w:lang w:val="zh-CN"/>
              </w:rPr>
              <w:t>保证金的交纳以到账时间为准)</w:t>
            </w:r>
          </w:p>
          <w:p>
            <w:pPr>
              <w:pStyle w:val="42"/>
              <w:ind w:left="24" w:leftChars="10" w:right="24" w:rightChars="10"/>
              <w:rPr>
                <w:rFonts w:cs="宋体"/>
                <w:szCs w:val="21"/>
              </w:rPr>
            </w:pPr>
            <w:r>
              <w:rPr>
                <w:rFonts w:hint="eastAsia" w:cs="宋体"/>
                <w:szCs w:val="21"/>
              </w:rPr>
              <w:t>注：1.供应商必须按照上述交款方式及指定银行账号进行办理，交款账户名称须与供应商名称一致，鼓励以保函代替保证金。若以其他交款方式(如现金存款方式)或非指定银行账号办理的一律不予接受，将被视为无效。</w:t>
            </w:r>
          </w:p>
          <w:p>
            <w:pPr>
              <w:pStyle w:val="42"/>
              <w:ind w:left="24" w:leftChars="10" w:right="24" w:rightChars="10"/>
              <w:rPr>
                <w:rFonts w:cs="宋体"/>
                <w:szCs w:val="21"/>
              </w:rPr>
            </w:pPr>
            <w:r>
              <w:rPr>
                <w:rFonts w:hint="eastAsia" w:cs="宋体"/>
                <w:szCs w:val="21"/>
              </w:rPr>
              <w:t>2.磋商保证金的其他相关规定详见第二章第四节(十三)条</w:t>
            </w:r>
            <w:r>
              <w:rPr>
                <w:rFonts w:hint="eastAsia" w:cs="宋体"/>
                <w:szCs w:val="21"/>
                <w:lang w:val="zh-CN"/>
              </w:rPr>
              <w:t>。</w:t>
            </w:r>
          </w:p>
          <w:p>
            <w:pPr>
              <w:pStyle w:val="42"/>
              <w:ind w:left="24" w:leftChars="10" w:right="24" w:rightChars="10"/>
              <w:rPr>
                <w:rFonts w:cs="宋体"/>
                <w:szCs w:val="21"/>
              </w:rPr>
            </w:pPr>
            <w:r>
              <w:rPr>
                <w:rFonts w:hint="eastAsia" w:cs="宋体"/>
                <w:szCs w:val="21"/>
              </w:rPr>
              <w:t>保证金查询电话：</w:t>
            </w:r>
            <w:r>
              <w:rPr>
                <w:rFonts w:hint="eastAsia" w:cs="宋体"/>
                <w:szCs w:val="21"/>
                <w:lang w:val="zh-CN"/>
              </w:rPr>
              <w:t>028-84638556、84882960转6</w:t>
            </w:r>
            <w:r>
              <w:rPr>
                <w:rFonts w:hint="eastAsia" w:cs="宋体"/>
                <w:szCs w:val="21"/>
              </w:rPr>
              <w:t>08或609。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rPr>
            </w:pPr>
            <w:r>
              <w:rPr>
                <w:rFonts w:hint="eastAsia" w:cs="宋体"/>
                <w:szCs w:val="21"/>
              </w:rPr>
              <w:t>保函</w:t>
            </w:r>
          </w:p>
          <w:p>
            <w:pPr>
              <w:pStyle w:val="45"/>
              <w:ind w:left="24" w:leftChars="10" w:right="24" w:rightChars="10"/>
              <w:rPr>
                <w:rFonts w:cs="宋体"/>
                <w:szCs w:val="21"/>
              </w:rPr>
            </w:pPr>
            <w:r>
              <w:rPr>
                <w:rFonts w:hint="eastAsia" w:cs="宋体"/>
                <w:szCs w:val="21"/>
                <w:lang w:val="zh-CN"/>
              </w:rPr>
              <w:t>(实质性要求)</w:t>
            </w:r>
          </w:p>
        </w:tc>
        <w:tc>
          <w:tcPr>
            <w:tcW w:w="7061" w:type="dxa"/>
            <w:vAlign w:val="center"/>
          </w:tcPr>
          <w:p>
            <w:pPr>
              <w:pStyle w:val="42"/>
              <w:ind w:left="24" w:leftChars="10" w:right="24" w:rightChars="10"/>
              <w:rPr>
                <w:rFonts w:cs="宋体"/>
                <w:szCs w:val="21"/>
              </w:rPr>
            </w:pPr>
            <w:r>
              <w:rPr>
                <w:rFonts w:hint="eastAsia" w:cs="宋体"/>
                <w:szCs w:val="21"/>
              </w:rPr>
              <w:t>本磋商文件中涉及的保函按以下规定执行：</w:t>
            </w:r>
          </w:p>
          <w:p>
            <w:pPr>
              <w:pStyle w:val="42"/>
              <w:ind w:left="24" w:leftChars="10" w:right="24" w:rightChars="10"/>
              <w:rPr>
                <w:rFonts w:cs="宋体"/>
                <w:szCs w:val="21"/>
              </w:rPr>
            </w:pPr>
            <w:r>
              <w:rPr>
                <w:rFonts w:hint="eastAsia" w:cs="宋体"/>
                <w:szCs w:val="21"/>
              </w:rPr>
              <w:t>1.保函应为金融机构出具，并有详细明显的验证方法；</w:t>
            </w:r>
          </w:p>
          <w:p>
            <w:pPr>
              <w:pStyle w:val="42"/>
              <w:ind w:left="24" w:leftChars="10" w:right="24" w:rightChars="10"/>
              <w:rPr>
                <w:rFonts w:cs="宋体"/>
                <w:szCs w:val="21"/>
              </w:rPr>
            </w:pPr>
            <w:r>
              <w:rPr>
                <w:rFonts w:hint="eastAsia" w:cs="宋体"/>
                <w:szCs w:val="21"/>
              </w:rPr>
              <w:t>2.保函的受益人为四川乾新招投标代理有限公司；</w:t>
            </w:r>
          </w:p>
          <w:p>
            <w:pPr>
              <w:pStyle w:val="42"/>
              <w:ind w:left="24" w:leftChars="10" w:right="24" w:rightChars="10"/>
              <w:rPr>
                <w:rFonts w:cs="宋体"/>
                <w:szCs w:val="21"/>
              </w:rPr>
            </w:pPr>
            <w:r>
              <w:rPr>
                <w:rFonts w:hint="eastAsia" w:cs="宋体"/>
                <w:szCs w:val="21"/>
              </w:rPr>
              <w:t>3.保函的内容应包括：供应商名称、项目名称、项目编号、保证金金额、保函的有效期、担保内容(即：采购代理机构将不予退还磋商保证金的情形，详见本磋商文件第二章第四节(十三)条)；</w:t>
            </w:r>
          </w:p>
          <w:p>
            <w:pPr>
              <w:pStyle w:val="42"/>
              <w:ind w:left="24" w:leftChars="10" w:right="24" w:rightChars="10"/>
              <w:rPr>
                <w:rFonts w:cs="宋体"/>
                <w:szCs w:val="21"/>
              </w:rPr>
            </w:pPr>
            <w:r>
              <w:rPr>
                <w:rFonts w:hint="eastAsia" w:cs="宋体"/>
                <w:szCs w:val="21"/>
              </w:rPr>
              <w:t>4.保证金金额不少于《磋商须知表》中规定的金额；</w:t>
            </w:r>
          </w:p>
          <w:p>
            <w:pPr>
              <w:pStyle w:val="42"/>
              <w:ind w:left="24" w:leftChars="10" w:right="24" w:rightChars="10"/>
              <w:rPr>
                <w:rFonts w:cs="宋体"/>
                <w:szCs w:val="21"/>
              </w:rPr>
            </w:pPr>
            <w:r>
              <w:rPr>
                <w:rFonts w:hint="eastAsia" w:cs="宋体"/>
                <w:szCs w:val="21"/>
              </w:rPr>
              <w:t>5.保函的有效期应不少于磋商文件规定的磋商有效期；</w:t>
            </w:r>
          </w:p>
          <w:p>
            <w:pPr>
              <w:pStyle w:val="42"/>
              <w:ind w:left="24" w:leftChars="10" w:right="24" w:rightChars="10"/>
              <w:rPr>
                <w:rFonts w:cs="宋体"/>
                <w:szCs w:val="21"/>
                <w:lang w:val="zh-CN"/>
              </w:rPr>
            </w:pPr>
            <w:r>
              <w:rPr>
                <w:rFonts w:hint="eastAsia" w:cs="宋体"/>
                <w:szCs w:val="21"/>
              </w:rPr>
              <w:t>6.供应商未按上述要求提供保函的</w:t>
            </w:r>
            <w:r>
              <w:rPr>
                <w:rFonts w:hint="eastAsia" w:cs="宋体"/>
                <w:szCs w:val="21"/>
                <w:lang w:val="zh-CN"/>
              </w:rPr>
              <w:t>将被视为</w:t>
            </w:r>
            <w:r>
              <w:rPr>
                <w:rFonts w:hint="eastAsia" w:cs="宋体"/>
                <w:szCs w:val="21"/>
              </w:rPr>
              <w:t>无效响应</w:t>
            </w:r>
            <w:r>
              <w:rPr>
                <w:rFonts w:hint="eastAsia" w:cs="宋体"/>
                <w:szCs w:val="21"/>
                <w:lang w:val="zh-CN"/>
              </w:rPr>
              <w:t>。</w:t>
            </w:r>
          </w:p>
          <w:p>
            <w:pPr>
              <w:pStyle w:val="42"/>
              <w:ind w:left="24" w:leftChars="10" w:right="24" w:rightChars="10"/>
              <w:rPr>
                <w:rFonts w:cs="宋体"/>
                <w:szCs w:val="21"/>
              </w:rPr>
            </w:pPr>
            <w:r>
              <w:rPr>
                <w:rFonts w:hint="eastAsia" w:cs="宋体"/>
                <w:szCs w:val="21"/>
              </w:rPr>
              <w:t>注：磋商保证金与保函具有同等效力，提供任一项均可。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低于成本价不正当竞争预防措施</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参照四川省财政厅关于延长《四川省政府采购评审 工作规程(修订)》有效期的通知(川财采〔2022〕7号)、《四川省政府采购评审工作规程(修订)》的通知(川财采〔2016〕53号)第三十一条规定如下：</w:t>
            </w:r>
          </w:p>
          <w:p>
            <w:pPr>
              <w:pStyle w:val="42"/>
              <w:ind w:left="24" w:leftChars="10" w:right="24" w:rightChars="10"/>
              <w:rPr>
                <w:rFonts w:cs="宋体"/>
                <w:szCs w:val="21"/>
              </w:rPr>
            </w:pPr>
            <w:r>
              <w:rPr>
                <w:rFonts w:hint="eastAsia" w:cs="宋体"/>
                <w:szCs w:val="21"/>
              </w:rPr>
              <w:t>1.</w:t>
            </w:r>
            <w:r>
              <w:rPr>
                <w:rFonts w:hint="eastAsia" w:cs="宋体"/>
                <w:szCs w:val="21"/>
                <w:shd w:val="clear" w:color="auto" w:fill="FFFFFF"/>
              </w:rPr>
              <w:t>在评审过程中</w:t>
            </w:r>
            <w:r>
              <w:rPr>
                <w:rFonts w:hint="eastAsia" w:cs="宋体"/>
                <w:szCs w:val="21"/>
              </w:rPr>
              <w:t>，</w:t>
            </w:r>
            <w:r>
              <w:rPr>
                <w:rFonts w:hint="eastAsia" w:cs="宋体"/>
                <w:szCs w:val="21"/>
                <w:shd w:val="clear" w:color="auto" w:fill="FFFFFF"/>
              </w:rPr>
              <w:t>供应商报价低于采购预算50%或者低于其他有效供应商报价算术平均价40%，有可能影响产品质量或者不能诚信履约的，评审委员会应当要求其在评审现场合理的时间内提供成本构成书面说明，并提交相关证明材料</w:t>
            </w:r>
            <w:r>
              <w:rPr>
                <w:rFonts w:hint="eastAsia" w:cs="宋体"/>
                <w:szCs w:val="21"/>
              </w:rPr>
              <w:t>。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pPr>
              <w:pStyle w:val="42"/>
              <w:ind w:left="24" w:leftChars="10" w:right="24" w:rightChars="10"/>
              <w:rPr>
                <w:rFonts w:cs="宋体"/>
                <w:szCs w:val="21"/>
              </w:rPr>
            </w:pPr>
            <w:r>
              <w:rPr>
                <w:rFonts w:hint="eastAsia" w:cs="宋体"/>
                <w:szCs w:val="21"/>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2"/>
              <w:ind w:left="24" w:leftChars="10" w:right="24" w:rightChars="10"/>
              <w:rPr>
                <w:rFonts w:cs="宋体"/>
                <w:szCs w:val="21"/>
              </w:rPr>
            </w:pPr>
            <w:r>
              <w:rPr>
                <w:rFonts w:hint="eastAsia" w:cs="宋体"/>
                <w:szCs w:val="21"/>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响应文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小微企业、监狱企业、残疾人福利性单位等政策执行</w:t>
            </w:r>
          </w:p>
        </w:tc>
        <w:tc>
          <w:tcPr>
            <w:tcW w:w="7061" w:type="dxa"/>
            <w:vAlign w:val="center"/>
          </w:tcPr>
          <w:p>
            <w:pPr>
              <w:pStyle w:val="42"/>
              <w:numPr>
                <w:ilvl w:val="0"/>
                <w:numId w:val="10"/>
              </w:numPr>
              <w:ind w:left="24" w:leftChars="10" w:right="24" w:rightChars="10"/>
              <w:rPr>
                <w:rFonts w:cs="宋体"/>
                <w:szCs w:val="21"/>
              </w:rPr>
            </w:pPr>
            <w:r>
              <w:rPr>
                <w:rFonts w:hint="eastAsia" w:cs="宋体"/>
                <w:szCs w:val="21"/>
              </w:rPr>
              <w:t>促进中小企业发展政策</w:t>
            </w:r>
          </w:p>
          <w:p>
            <w:pPr>
              <w:pStyle w:val="42"/>
              <w:numPr>
                <w:ilvl w:val="0"/>
                <w:numId w:val="11"/>
              </w:numPr>
              <w:tabs>
                <w:tab w:val="clear" w:pos="312"/>
              </w:tabs>
              <w:ind w:left="24" w:leftChars="10" w:right="24" w:rightChars="10"/>
              <w:rPr>
                <w:rFonts w:cs="宋体"/>
                <w:szCs w:val="21"/>
              </w:rPr>
            </w:pPr>
            <w:r>
              <w:rPr>
                <w:rFonts w:hint="eastAsia" w:cs="宋体"/>
                <w:b/>
                <w:bCs/>
                <w:szCs w:val="21"/>
              </w:rPr>
              <w:t>定义：</w:t>
            </w:r>
            <w:r>
              <w:rPr>
                <w:rFonts w:hint="eastAsia" w:cs="宋体"/>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p>
          <w:p>
            <w:pPr>
              <w:pStyle w:val="42"/>
              <w:ind w:left="24" w:leftChars="10" w:right="24" w:rightChars="10"/>
              <w:rPr>
                <w:rFonts w:cs="宋体"/>
                <w:szCs w:val="21"/>
              </w:rPr>
            </w:pPr>
            <w:r>
              <w:rPr>
                <w:rFonts w:hint="eastAsia" w:cs="宋体"/>
                <w:b/>
                <w:bCs/>
                <w:szCs w:val="21"/>
              </w:rPr>
              <w:t>适用情形：</w:t>
            </w:r>
            <w:r>
              <w:rPr>
                <w:rFonts w:hint="eastAsia" w:cs="宋体"/>
                <w:szCs w:val="21"/>
              </w:rPr>
              <w:t>在服务采购项目中，服务由中小企业承接，即提供服务的人员为中小企业依照《中华人民共和国劳动合同法》订立劳动合同的从业人员。</w:t>
            </w:r>
          </w:p>
          <w:p>
            <w:pPr>
              <w:pStyle w:val="42"/>
              <w:ind w:left="24" w:leftChars="10" w:right="24" w:rightChars="10"/>
              <w:rPr>
                <w:rFonts w:cs="宋体"/>
                <w:szCs w:val="21"/>
              </w:rPr>
            </w:pPr>
            <w:r>
              <w:rPr>
                <w:rFonts w:hint="eastAsia" w:cs="宋体"/>
                <w:szCs w:val="21"/>
              </w:rPr>
              <w:t>注：关于中小微型企业划分标准详见附件。</w:t>
            </w:r>
          </w:p>
          <w:p>
            <w:pPr>
              <w:pStyle w:val="42"/>
              <w:numPr>
                <w:ilvl w:val="0"/>
                <w:numId w:val="11"/>
              </w:numPr>
              <w:tabs>
                <w:tab w:val="clear" w:pos="312"/>
              </w:tabs>
              <w:ind w:left="24" w:leftChars="10" w:right="24" w:rightChars="10"/>
              <w:rPr>
                <w:rFonts w:cs="宋体"/>
                <w:szCs w:val="21"/>
              </w:rPr>
            </w:pPr>
            <w:r>
              <w:rPr>
                <w:rFonts w:hint="eastAsia" w:cs="宋体"/>
                <w:szCs w:val="21"/>
              </w:rPr>
              <w:t>执行方式：</w:t>
            </w:r>
          </w:p>
          <w:p>
            <w:pPr>
              <w:pStyle w:val="42"/>
              <w:ind w:left="24" w:leftChars="10" w:right="24" w:rightChars="10"/>
              <w:rPr>
                <w:rFonts w:cs="宋体"/>
                <w:spacing w:val="-8"/>
                <w:szCs w:val="21"/>
              </w:rPr>
            </w:pPr>
            <w:r>
              <w:rPr>
                <w:rFonts w:hint="eastAsia" w:cs="宋体"/>
                <w:szCs w:val="21"/>
              </w:rPr>
              <w:t>(1)参照关于印发《政府采购促进中小企业发展管理办法》的通知(财库〔2020〕46号)、四川省人民政府关于印发进一步规范政府采购监管和执行若干规定的通知(川府发〔2018〕14号)、财政部《关于进一步加大政府采购支持中小企业力度的通知》(财库〔2022〕19号)、四川省财政厅关于转发财政部 《关于进一步加大政府采购支持中小企业力度的通知》的通知(川财采〔2022〕78号)、成都市财政局关于转发财政部《关于进一步加大政府采购支持中小企业力度的通知》的通知 (成财采发〔2022〕19号)的规定，对小型和微型企业的价格给予</w:t>
            </w:r>
            <w:r>
              <w:rPr>
                <w:rFonts w:hint="eastAsia" w:cs="宋体"/>
                <w:b/>
                <w:bCs/>
                <w:szCs w:val="21"/>
              </w:rPr>
              <w:t>10%</w:t>
            </w:r>
            <w:r>
              <w:rPr>
                <w:rFonts w:hint="eastAsia" w:cs="宋体"/>
                <w:szCs w:val="21"/>
              </w:rPr>
              <w:t>的价格扣除，用扣除后的价格参与评审</w:t>
            </w:r>
            <w:r>
              <w:rPr>
                <w:rFonts w:hint="eastAsia" w:cs="宋体"/>
                <w:spacing w:val="-8"/>
                <w:szCs w:val="21"/>
              </w:rPr>
              <w:t>。</w:t>
            </w:r>
          </w:p>
          <w:p>
            <w:pPr>
              <w:pStyle w:val="42"/>
              <w:ind w:left="24" w:leftChars="10" w:right="24" w:rightChars="10"/>
              <w:rPr>
                <w:rFonts w:cs="宋体"/>
                <w:spacing w:val="-8"/>
                <w:szCs w:val="21"/>
              </w:rPr>
            </w:pPr>
            <w:r>
              <w:rPr>
                <w:rFonts w:hint="eastAsia" w:cs="宋体"/>
                <w:spacing w:val="-8"/>
                <w:szCs w:val="21"/>
              </w:rPr>
              <w:t>(2)中小企业参加采购活动，应当出具《中小企业声明函》(格式详见采购文件)，否则不得享受相关中小企业扶持政策。</w:t>
            </w:r>
          </w:p>
          <w:p>
            <w:pPr>
              <w:pStyle w:val="42"/>
              <w:ind w:left="24" w:leftChars="10" w:right="24" w:rightChars="10"/>
              <w:rPr>
                <w:rFonts w:cs="宋体"/>
                <w:spacing w:val="-8"/>
                <w:szCs w:val="21"/>
              </w:rPr>
            </w:pPr>
            <w:r>
              <w:rPr>
                <w:rFonts w:hint="eastAsia" w:cs="宋体"/>
                <w:spacing w:val="-8"/>
                <w:szCs w:val="21"/>
              </w:rPr>
              <w:t>(3)供应商应当对其出具的《中小企业声明函》真实性负责，供应商出具的《中小企业声明函》内容不实的，属于提供虚假材料谋取中标、成交。</w:t>
            </w:r>
          </w:p>
          <w:p>
            <w:pPr>
              <w:pStyle w:val="42"/>
              <w:ind w:left="24" w:leftChars="10" w:right="24" w:rightChars="10"/>
              <w:rPr>
                <w:rFonts w:cs="宋体"/>
                <w:szCs w:val="21"/>
              </w:rPr>
            </w:pPr>
            <w:r>
              <w:rPr>
                <w:rFonts w:hint="eastAsia" w:cs="宋体"/>
                <w:szCs w:val="21"/>
              </w:rPr>
              <w:t>二、监狱企业价格扣除</w:t>
            </w:r>
          </w:p>
          <w:p>
            <w:pPr>
              <w:pStyle w:val="42"/>
              <w:ind w:left="24" w:leftChars="10" w:right="24" w:rightChars="10"/>
              <w:rPr>
                <w:rFonts w:cs="宋体"/>
                <w:szCs w:val="21"/>
              </w:rPr>
            </w:pPr>
            <w:r>
              <w:rPr>
                <w:rFonts w:hint="eastAsia" w:cs="宋体"/>
                <w:szCs w:val="21"/>
              </w:rPr>
              <w:t>1.参照《财政部 司法部关于政府采购支持监狱企业发展有关问题的通知》(财库〔2014〕68号)的规定，在采购活动中，监狱企业视同小型、微型企业，享受预留份额、评审中价格扣除等促进中小企业发展的政策。</w:t>
            </w:r>
          </w:p>
          <w:p>
            <w:pPr>
              <w:pStyle w:val="42"/>
              <w:ind w:left="24" w:leftChars="10" w:right="24" w:rightChars="10"/>
              <w:rPr>
                <w:rFonts w:cs="宋体"/>
                <w:szCs w:val="21"/>
              </w:rPr>
            </w:pPr>
            <w:r>
              <w:rPr>
                <w:rFonts w:hint="eastAsia" w:cs="宋体"/>
                <w:szCs w:val="21"/>
              </w:rPr>
              <w:t>2.本项目对监狱企业参与磋商的价格给予</w:t>
            </w:r>
            <w:r>
              <w:rPr>
                <w:rFonts w:hint="eastAsia" w:cs="宋体"/>
                <w:b/>
                <w:bCs/>
                <w:szCs w:val="21"/>
              </w:rPr>
              <w:t>10%</w:t>
            </w:r>
            <w:r>
              <w:rPr>
                <w:rFonts w:hint="eastAsia" w:cs="宋体"/>
                <w:szCs w:val="21"/>
              </w:rPr>
              <w:t>的扣除，用扣除后的价格参与评审。</w:t>
            </w:r>
          </w:p>
          <w:p>
            <w:pPr>
              <w:pStyle w:val="42"/>
              <w:ind w:left="24" w:leftChars="10" w:right="24" w:rightChars="10"/>
              <w:rPr>
                <w:rFonts w:cs="宋体"/>
                <w:szCs w:val="21"/>
              </w:rPr>
            </w:pPr>
            <w:r>
              <w:rPr>
                <w:rFonts w:hint="eastAsia" w:cs="宋体"/>
                <w:szCs w:val="21"/>
              </w:rPr>
              <w:t>3.监狱企业参加采购活动时，应当提供由省级以上监狱管理局、戒毒管理局(含新疆生产建设兵团)出具的属于监狱企业的证明文件。</w:t>
            </w:r>
          </w:p>
          <w:p>
            <w:pPr>
              <w:pStyle w:val="42"/>
              <w:ind w:left="24" w:leftChars="10" w:right="24" w:rightChars="10"/>
              <w:rPr>
                <w:rFonts w:cs="宋体"/>
                <w:szCs w:val="21"/>
              </w:rPr>
            </w:pPr>
            <w:r>
              <w:rPr>
                <w:rFonts w:hint="eastAsia" w:cs="宋体"/>
                <w:szCs w:val="21"/>
              </w:rPr>
              <w:t>4.监狱企业视同小型、微型企业，不重复享受政策。</w:t>
            </w:r>
          </w:p>
          <w:p>
            <w:pPr>
              <w:pStyle w:val="42"/>
              <w:ind w:left="24" w:leftChars="10" w:right="24" w:rightChars="10"/>
              <w:rPr>
                <w:rFonts w:cs="宋体"/>
                <w:szCs w:val="21"/>
              </w:rPr>
            </w:pPr>
            <w:r>
              <w:rPr>
                <w:rFonts w:hint="eastAsia" w:cs="宋体"/>
                <w:szCs w:val="21"/>
              </w:rPr>
              <w:t>三、残疾人福利性单位价格扣除</w:t>
            </w:r>
          </w:p>
          <w:p>
            <w:pPr>
              <w:pStyle w:val="42"/>
              <w:ind w:left="24" w:leftChars="10" w:right="24" w:rightChars="10"/>
              <w:rPr>
                <w:rFonts w:cs="宋体"/>
                <w:szCs w:val="21"/>
              </w:rPr>
            </w:pPr>
            <w:r>
              <w:rPr>
                <w:rFonts w:hint="eastAsia" w:cs="宋体"/>
                <w:szCs w:val="21"/>
              </w:rPr>
              <w:t>1.参照《三部门联合发布关于促进残疾人就业政府采购政策的通知》(财库〔2017〕141号)的要求，在采购活动中，残疾人福利性单位视同小型、微型企业，享受预留份额、评审中价格扣除等促进中小企业发展的政策。</w:t>
            </w:r>
          </w:p>
          <w:p>
            <w:pPr>
              <w:pStyle w:val="42"/>
              <w:ind w:left="24" w:leftChars="10" w:right="24" w:rightChars="10"/>
              <w:rPr>
                <w:rFonts w:cs="宋体"/>
                <w:szCs w:val="21"/>
              </w:rPr>
            </w:pPr>
            <w:r>
              <w:rPr>
                <w:rFonts w:hint="eastAsia" w:cs="宋体"/>
                <w:szCs w:val="21"/>
              </w:rPr>
              <w:t>2.本项目对残疾人福利性单位参与磋商的价格给予</w:t>
            </w:r>
            <w:r>
              <w:rPr>
                <w:rFonts w:hint="eastAsia" w:cs="宋体"/>
                <w:b/>
                <w:bCs/>
                <w:szCs w:val="21"/>
              </w:rPr>
              <w:t>10%</w:t>
            </w:r>
            <w:r>
              <w:rPr>
                <w:rFonts w:hint="eastAsia" w:cs="宋体"/>
                <w:szCs w:val="21"/>
              </w:rPr>
              <w:t>的扣除，用扣除后的价格参与评审。</w:t>
            </w:r>
          </w:p>
          <w:p>
            <w:pPr>
              <w:pStyle w:val="42"/>
              <w:ind w:left="24" w:leftChars="10" w:right="24" w:rightChars="10"/>
              <w:rPr>
                <w:rFonts w:cs="宋体"/>
                <w:szCs w:val="21"/>
              </w:rPr>
            </w:pPr>
            <w:r>
              <w:rPr>
                <w:rFonts w:hint="eastAsia" w:cs="宋体"/>
                <w:szCs w:val="21"/>
              </w:rPr>
              <w:t>3.残疾人福利性单位参加采购活动时，应当提供本通知规定的《残疾人福利性单位声明函》。</w:t>
            </w:r>
          </w:p>
          <w:p>
            <w:pPr>
              <w:pStyle w:val="42"/>
              <w:ind w:left="24" w:leftChars="10" w:right="24" w:rightChars="10"/>
              <w:rPr>
                <w:rFonts w:cs="宋体"/>
                <w:szCs w:val="21"/>
              </w:rPr>
            </w:pPr>
            <w:r>
              <w:rPr>
                <w:rFonts w:hint="eastAsia" w:cs="宋体"/>
                <w:szCs w:val="21"/>
              </w:rPr>
              <w:t>4.供应商提供的《残疾人福利性单位声明函》与事实不符的，参照《政府采购法》第七十七条第一款的规定追究法律责任。</w:t>
            </w:r>
          </w:p>
          <w:p>
            <w:pPr>
              <w:pStyle w:val="42"/>
              <w:ind w:left="24" w:leftChars="10" w:right="24" w:rightChars="10"/>
              <w:rPr>
                <w:rFonts w:cs="宋体"/>
                <w:b/>
                <w:bCs/>
                <w:szCs w:val="21"/>
              </w:rPr>
            </w:pPr>
            <w:r>
              <w:rPr>
                <w:rFonts w:hint="eastAsia" w:cs="宋体"/>
                <w:szCs w:val="21"/>
              </w:rPr>
              <w:t>5.残疾人福利性单位视同小型、微型企业，不重复享受政策。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节能产品、环境标志产品、无线局域网产品采购政策</w:t>
            </w:r>
          </w:p>
        </w:tc>
        <w:tc>
          <w:tcPr>
            <w:tcW w:w="7061" w:type="dxa"/>
            <w:vAlign w:val="center"/>
          </w:tcPr>
          <w:p>
            <w:pPr>
              <w:pStyle w:val="42"/>
              <w:ind w:left="24" w:leftChars="10" w:right="24" w:rightChars="10"/>
              <w:rPr>
                <w:rFonts w:cs="宋体"/>
                <w:szCs w:val="21"/>
              </w:rPr>
            </w:pPr>
            <w:r>
              <w:rPr>
                <w:rFonts w:hint="eastAsia" w:cs="宋体"/>
                <w:szCs w:val="21"/>
              </w:rPr>
              <w:t>本项目不涉及节能产品、环境标志产品、无线局域网产品、商品包装、快递包装，故不在采购文件中体现相关政策。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品牌或者供应商</w:t>
            </w:r>
          </w:p>
          <w:p>
            <w:pPr>
              <w:pStyle w:val="45"/>
              <w:ind w:left="24" w:leftChars="10" w:right="24" w:rightChars="10"/>
              <w:rPr>
                <w:rFonts w:cs="宋体"/>
                <w:szCs w:val="21"/>
              </w:rPr>
            </w:pPr>
            <w:r>
              <w:rPr>
                <w:rFonts w:hint="eastAsia" w:cs="宋体"/>
                <w:szCs w:val="21"/>
              </w:rPr>
              <w:t>(如涉及)</w:t>
            </w:r>
          </w:p>
        </w:tc>
        <w:tc>
          <w:tcPr>
            <w:tcW w:w="7061" w:type="dxa"/>
            <w:vAlign w:val="center"/>
          </w:tcPr>
          <w:p>
            <w:pPr>
              <w:pStyle w:val="42"/>
              <w:ind w:left="24" w:leftChars="10" w:right="24" w:rightChars="10"/>
              <w:rPr>
                <w:rFonts w:cs="宋体"/>
                <w:szCs w:val="21"/>
              </w:rPr>
            </w:pPr>
            <w:r>
              <w:rPr>
                <w:rFonts w:hint="eastAsia" w:cs="宋体"/>
                <w:szCs w:val="21"/>
              </w:rPr>
              <w:t>若采购文件涉及品牌或者供应商，其目的是为了准确清楚说明采购项目的技术标准和要求，其意思表示为“参照或相当于”该品牌或者供应商，其品牌或供应商具有可替代性。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其他强制性规定</w:t>
            </w:r>
          </w:p>
          <w:p>
            <w:pPr>
              <w:pStyle w:val="45"/>
              <w:ind w:left="24" w:leftChars="10" w:right="24" w:rightChars="10"/>
              <w:rPr>
                <w:rFonts w:cs="宋体"/>
                <w:szCs w:val="21"/>
              </w:rPr>
            </w:pPr>
            <w:r>
              <w:rPr>
                <w:rFonts w:hint="eastAsia" w:cs="宋体"/>
                <w:szCs w:val="21"/>
              </w:rPr>
              <w:t>(如涉及时作为实质性要求)</w:t>
            </w:r>
          </w:p>
        </w:tc>
        <w:tc>
          <w:tcPr>
            <w:tcW w:w="7061" w:type="dxa"/>
            <w:vAlign w:val="center"/>
          </w:tcPr>
          <w:p>
            <w:pPr>
              <w:pStyle w:val="42"/>
              <w:ind w:left="24" w:leftChars="10" w:right="24" w:rightChars="10"/>
              <w:rPr>
                <w:rFonts w:cs="宋体"/>
                <w:szCs w:val="21"/>
              </w:rPr>
            </w:pPr>
            <w:r>
              <w:rPr>
                <w:rFonts w:hint="eastAsia" w:cs="宋体"/>
                <w:szCs w:val="21"/>
              </w:rPr>
              <w:t>国家或行业主管部门对采购产品的技术标准、质量标准和资格资质条件等有强制性规定的，必须符合其要求。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lang w:val="zh-CN"/>
              </w:rPr>
              <w:t>评</w:t>
            </w:r>
            <w:r>
              <w:rPr>
                <w:rFonts w:hint="eastAsia" w:cs="宋体"/>
                <w:szCs w:val="21"/>
              </w:rPr>
              <w:t>审结果</w:t>
            </w:r>
            <w:r>
              <w:rPr>
                <w:rFonts w:hint="eastAsia" w:cs="宋体"/>
                <w:szCs w:val="21"/>
                <w:lang w:val="zh-CN"/>
              </w:rPr>
              <w:t>的公告</w:t>
            </w:r>
          </w:p>
        </w:tc>
        <w:tc>
          <w:tcPr>
            <w:tcW w:w="7061" w:type="dxa"/>
            <w:vAlign w:val="center"/>
          </w:tcPr>
          <w:p>
            <w:pPr>
              <w:pStyle w:val="42"/>
              <w:ind w:left="24" w:leftChars="10" w:right="24" w:rightChars="10"/>
              <w:rPr>
                <w:rFonts w:cs="宋体"/>
                <w:szCs w:val="21"/>
              </w:rPr>
            </w:pPr>
            <w:r>
              <w:rPr>
                <w:rFonts w:hint="eastAsia" w:cs="宋体"/>
                <w:szCs w:val="21"/>
              </w:rPr>
              <w:t>评审结果将在</w:t>
            </w:r>
            <w:r>
              <w:rPr>
                <w:rFonts w:hint="eastAsia" w:cs="宋体"/>
                <w:szCs w:val="21"/>
                <w:lang w:eastAsia="zh-CN"/>
              </w:rPr>
              <w:t>“中国招标投标公共服务平台”</w:t>
            </w:r>
            <w:r>
              <w:rPr>
                <w:rFonts w:hint="eastAsia" w:cs="宋体"/>
                <w:szCs w:val="21"/>
              </w:rPr>
              <w:t>予以公告。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成交通知书领取</w:t>
            </w:r>
          </w:p>
        </w:tc>
        <w:tc>
          <w:tcPr>
            <w:tcW w:w="7061" w:type="dxa"/>
            <w:vAlign w:val="center"/>
          </w:tcPr>
          <w:p>
            <w:pPr>
              <w:pStyle w:val="42"/>
              <w:ind w:left="24" w:leftChars="10" w:right="24" w:rightChars="10"/>
              <w:rPr>
                <w:rFonts w:cs="宋体"/>
                <w:szCs w:val="21"/>
                <w:lang w:val="zh-CN"/>
              </w:rPr>
            </w:pPr>
            <w:r>
              <w:rPr>
                <w:rFonts w:hint="eastAsia" w:cs="宋体"/>
                <w:szCs w:val="21"/>
              </w:rPr>
              <w:t>采购代理机构在成交供应商确定后2个工作日内，在</w:t>
            </w:r>
            <w:r>
              <w:rPr>
                <w:rFonts w:hint="eastAsia" w:cs="宋体"/>
                <w:szCs w:val="21"/>
                <w:lang w:eastAsia="zh-CN"/>
              </w:rPr>
              <w:t>“中国招标投标公共服务平台”</w:t>
            </w:r>
            <w:r>
              <w:rPr>
                <w:rFonts w:hint="eastAsia" w:cs="宋体"/>
                <w:szCs w:val="21"/>
              </w:rPr>
              <w:t>发布成交公告，同时采购代理机构将成交通知书发至成交供应商。</w:t>
            </w:r>
          </w:p>
          <w:p>
            <w:pPr>
              <w:pStyle w:val="42"/>
              <w:ind w:left="24" w:leftChars="10" w:right="24" w:rightChars="10"/>
              <w:rPr>
                <w:rFonts w:cs="宋体"/>
                <w:szCs w:val="21"/>
              </w:rPr>
            </w:pPr>
            <w:r>
              <w:rPr>
                <w:rFonts w:hint="eastAsia" w:cs="宋体"/>
                <w:szCs w:val="21"/>
              </w:rPr>
              <w:t>联系人：张虹</w:t>
            </w:r>
          </w:p>
          <w:p>
            <w:pPr>
              <w:pStyle w:val="42"/>
              <w:ind w:left="24" w:leftChars="10" w:right="24" w:rightChars="10"/>
              <w:rPr>
                <w:rFonts w:cs="宋体"/>
                <w:szCs w:val="21"/>
              </w:rPr>
            </w:pPr>
            <w:r>
              <w:rPr>
                <w:rFonts w:hint="eastAsia" w:cs="宋体"/>
                <w:szCs w:val="21"/>
                <w:lang w:val="zh-CN"/>
              </w:rPr>
              <w:t>联系电话：</w:t>
            </w:r>
            <w:r>
              <w:rPr>
                <w:rFonts w:hint="eastAsia" w:cs="宋体"/>
                <w:szCs w:val="21"/>
              </w:rPr>
              <w:t>028-61375575、62600820、62630990转601或602</w:t>
            </w:r>
          </w:p>
          <w:p>
            <w:pPr>
              <w:pStyle w:val="42"/>
              <w:ind w:left="24" w:leftChars="10" w:right="24" w:rightChars="10"/>
              <w:rPr>
                <w:rFonts w:cs="宋体"/>
                <w:szCs w:val="21"/>
              </w:rPr>
            </w:pPr>
            <w:r>
              <w:rPr>
                <w:rFonts w:hint="eastAsia" w:cs="宋体"/>
                <w:szCs w:val="21"/>
                <w:lang w:val="zh-CN"/>
              </w:rPr>
              <w:t>地址：成都市高新区吉庆三路333号蜀都中心二期一号楼一单元401</w:t>
            </w:r>
            <w:r>
              <w:rPr>
                <w:rFonts w:hint="eastAsia" w:cs="宋体"/>
                <w:szCs w:val="21"/>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46"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招标代理</w:t>
            </w:r>
            <w:r>
              <w:rPr>
                <w:rFonts w:hint="eastAsia" w:cs="宋体"/>
                <w:szCs w:val="21"/>
                <w:lang w:val="zh-CN"/>
              </w:rPr>
              <w:t>服务费</w:t>
            </w:r>
          </w:p>
        </w:tc>
        <w:tc>
          <w:tcPr>
            <w:tcW w:w="7061" w:type="dxa"/>
            <w:vAlign w:val="center"/>
          </w:tcPr>
          <w:p>
            <w:pPr>
              <w:pStyle w:val="42"/>
              <w:numPr>
                <w:ilvl w:val="0"/>
                <w:numId w:val="12"/>
              </w:numPr>
              <w:tabs>
                <w:tab w:val="clear" w:pos="312"/>
              </w:tabs>
              <w:ind w:left="24" w:leftChars="10" w:right="24" w:rightChars="10"/>
              <w:rPr>
                <w:szCs w:val="21"/>
              </w:rPr>
            </w:pPr>
            <w:r>
              <w:rPr>
                <w:rFonts w:hint="eastAsia"/>
                <w:szCs w:val="21"/>
              </w:rPr>
              <w:t>招标代理服务费以成本加合理利润为原则，</w:t>
            </w:r>
            <w:r>
              <w:rPr>
                <w:rFonts w:hint="eastAsia" w:cs="宋体"/>
                <w:szCs w:val="21"/>
              </w:rPr>
              <w:t>以采购预算为计费基数，</w:t>
            </w:r>
            <w:r>
              <w:rPr>
                <w:rFonts w:hint="eastAsia"/>
                <w:szCs w:val="21"/>
              </w:rPr>
              <w:t>按照下列收费标准及服务年限计算出收费基准价格后下浮20%收取。</w:t>
            </w:r>
          </w:p>
          <w:p>
            <w:pPr>
              <w:pStyle w:val="42"/>
              <w:numPr>
                <w:ilvl w:val="0"/>
                <w:numId w:val="12"/>
              </w:numPr>
              <w:tabs>
                <w:tab w:val="clear" w:pos="312"/>
              </w:tabs>
              <w:ind w:left="24" w:leftChars="10" w:right="24" w:rightChars="10"/>
              <w:rPr>
                <w:szCs w:val="21"/>
                <w:lang w:val="zh-CN"/>
              </w:rPr>
            </w:pPr>
            <w:r>
              <w:rPr>
                <w:rFonts w:hint="eastAsia"/>
                <w:szCs w:val="21"/>
                <w:lang w:val="zh-CN"/>
              </w:rPr>
              <w:t>代理服务费率标准和代理服务费计算方法</w:t>
            </w:r>
          </w:p>
          <w:tbl>
            <w:tblPr>
              <w:tblStyle w:val="23"/>
              <w:tblW w:w="5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0"/>
              <w:gridCol w:w="1180"/>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2"/>
                    <w:ind w:left="24" w:leftChars="10" w:right="24" w:rightChars="10"/>
                    <w:jc w:val="center"/>
                    <w:rPr>
                      <w:szCs w:val="21"/>
                      <w:lang w:val="zh-CN"/>
                    </w:rPr>
                  </w:pPr>
                  <w:r>
                    <w:rPr>
                      <w:rFonts w:hint="eastAsia"/>
                      <w:szCs w:val="21"/>
                      <w:lang w:val="zh-CN"/>
                    </w:rPr>
                    <w:t>金额(万元)</w:t>
                  </w:r>
                  <w:r>
                    <w:rPr>
                      <w:rFonts w:hint="eastAsia"/>
                      <w:szCs w:val="21"/>
                    </w:rPr>
                    <w:t>/</w:t>
                  </w:r>
                  <w:r>
                    <w:rPr>
                      <w:rFonts w:hint="eastAsia"/>
                      <w:szCs w:val="21"/>
                      <w:lang w:val="zh-CN"/>
                    </w:rPr>
                    <w:t>类型</w:t>
                  </w:r>
                </w:p>
              </w:tc>
              <w:tc>
                <w:tcPr>
                  <w:tcW w:w="1180" w:type="dxa"/>
                  <w:vAlign w:val="center"/>
                </w:tcPr>
                <w:p>
                  <w:pPr>
                    <w:pStyle w:val="42"/>
                    <w:ind w:left="24" w:leftChars="10" w:right="24" w:rightChars="10"/>
                    <w:jc w:val="center"/>
                    <w:rPr>
                      <w:szCs w:val="21"/>
                      <w:lang w:val="zh-CN"/>
                    </w:rPr>
                  </w:pPr>
                  <w:r>
                    <w:rPr>
                      <w:rFonts w:hint="eastAsia"/>
                      <w:szCs w:val="21"/>
                      <w:lang w:val="zh-CN"/>
                    </w:rPr>
                    <w:t>货物类</w:t>
                  </w:r>
                </w:p>
              </w:tc>
              <w:tc>
                <w:tcPr>
                  <w:tcW w:w="1180" w:type="dxa"/>
                  <w:vAlign w:val="center"/>
                </w:tcPr>
                <w:p>
                  <w:pPr>
                    <w:pStyle w:val="42"/>
                    <w:ind w:left="24" w:leftChars="10" w:right="24" w:rightChars="10"/>
                    <w:jc w:val="center"/>
                    <w:rPr>
                      <w:szCs w:val="21"/>
                      <w:lang w:val="zh-CN"/>
                    </w:rPr>
                  </w:pPr>
                  <w:r>
                    <w:rPr>
                      <w:rFonts w:hint="eastAsia"/>
                      <w:szCs w:val="21"/>
                      <w:lang w:val="zh-CN"/>
                    </w:rPr>
                    <w:t>服务类</w:t>
                  </w:r>
                </w:p>
              </w:tc>
              <w:tc>
                <w:tcPr>
                  <w:tcW w:w="1180" w:type="dxa"/>
                  <w:vAlign w:val="center"/>
                </w:tcPr>
                <w:p>
                  <w:pPr>
                    <w:pStyle w:val="42"/>
                    <w:ind w:left="24" w:leftChars="10" w:right="24" w:rightChars="10"/>
                    <w:jc w:val="center"/>
                    <w:rPr>
                      <w:szCs w:val="21"/>
                      <w:lang w:val="zh-CN"/>
                    </w:rPr>
                  </w:pPr>
                  <w:r>
                    <w:rPr>
                      <w:rFonts w:hint="eastAsia"/>
                      <w:szCs w:val="21"/>
                      <w:lang w:val="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2"/>
                    <w:ind w:left="24" w:leftChars="10" w:right="24" w:rightChars="10"/>
                    <w:jc w:val="center"/>
                    <w:rPr>
                      <w:szCs w:val="21"/>
                      <w:lang w:val="zh-CN"/>
                    </w:rPr>
                  </w:pPr>
                  <w:r>
                    <w:rPr>
                      <w:rFonts w:hint="eastAsia"/>
                      <w:szCs w:val="21"/>
                      <w:lang w:val="zh-CN"/>
                    </w:rPr>
                    <w:t>100以下</w:t>
                  </w:r>
                </w:p>
              </w:tc>
              <w:tc>
                <w:tcPr>
                  <w:tcW w:w="1180" w:type="dxa"/>
                  <w:vAlign w:val="center"/>
                </w:tcPr>
                <w:p>
                  <w:pPr>
                    <w:pStyle w:val="42"/>
                    <w:ind w:left="24" w:leftChars="10" w:right="24" w:rightChars="10"/>
                    <w:jc w:val="center"/>
                    <w:rPr>
                      <w:szCs w:val="21"/>
                      <w:lang w:val="zh-CN"/>
                    </w:rPr>
                  </w:pPr>
                  <w:r>
                    <w:rPr>
                      <w:rFonts w:hint="eastAsia"/>
                      <w:szCs w:val="21"/>
                      <w:lang w:val="zh-CN"/>
                    </w:rPr>
                    <w:t>1.5%</w:t>
                  </w:r>
                </w:p>
              </w:tc>
              <w:tc>
                <w:tcPr>
                  <w:tcW w:w="1180" w:type="dxa"/>
                  <w:vAlign w:val="center"/>
                </w:tcPr>
                <w:p>
                  <w:pPr>
                    <w:pStyle w:val="42"/>
                    <w:ind w:left="24" w:leftChars="10" w:right="24" w:rightChars="10"/>
                    <w:jc w:val="center"/>
                    <w:rPr>
                      <w:szCs w:val="21"/>
                      <w:lang w:val="zh-CN"/>
                    </w:rPr>
                  </w:pPr>
                  <w:r>
                    <w:rPr>
                      <w:rFonts w:hint="eastAsia"/>
                      <w:szCs w:val="21"/>
                      <w:lang w:val="zh-CN"/>
                    </w:rPr>
                    <w:t>1.5%</w:t>
                  </w:r>
                </w:p>
              </w:tc>
              <w:tc>
                <w:tcPr>
                  <w:tcW w:w="1180" w:type="dxa"/>
                  <w:vAlign w:val="center"/>
                </w:tcPr>
                <w:p>
                  <w:pPr>
                    <w:pStyle w:val="42"/>
                    <w:ind w:left="24" w:leftChars="10" w:right="24" w:rightChars="10"/>
                    <w:jc w:val="center"/>
                    <w:rPr>
                      <w:szCs w:val="21"/>
                      <w:lang w:val="zh-CN"/>
                    </w:rPr>
                  </w:pPr>
                  <w:r>
                    <w:rPr>
                      <w:rFonts w:hint="eastAsia"/>
                      <w:szCs w:val="21"/>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2"/>
                    <w:ind w:left="24" w:leftChars="10" w:right="24" w:rightChars="10"/>
                    <w:jc w:val="center"/>
                    <w:rPr>
                      <w:szCs w:val="21"/>
                      <w:lang w:val="zh-CN"/>
                    </w:rPr>
                  </w:pPr>
                  <w:r>
                    <w:rPr>
                      <w:rFonts w:hint="eastAsia"/>
                      <w:szCs w:val="21"/>
                      <w:lang w:val="zh-CN"/>
                    </w:rPr>
                    <w:t>100－500</w:t>
                  </w:r>
                </w:p>
              </w:tc>
              <w:tc>
                <w:tcPr>
                  <w:tcW w:w="1180" w:type="dxa"/>
                  <w:vAlign w:val="center"/>
                </w:tcPr>
                <w:p>
                  <w:pPr>
                    <w:pStyle w:val="42"/>
                    <w:ind w:left="24" w:leftChars="10" w:right="24" w:rightChars="10"/>
                    <w:jc w:val="center"/>
                    <w:rPr>
                      <w:szCs w:val="21"/>
                      <w:lang w:val="zh-CN"/>
                    </w:rPr>
                  </w:pPr>
                  <w:r>
                    <w:rPr>
                      <w:rFonts w:hint="eastAsia"/>
                      <w:szCs w:val="21"/>
                      <w:lang w:val="zh-CN"/>
                    </w:rPr>
                    <w:t>1.1%</w:t>
                  </w:r>
                </w:p>
              </w:tc>
              <w:tc>
                <w:tcPr>
                  <w:tcW w:w="1180" w:type="dxa"/>
                  <w:vAlign w:val="center"/>
                </w:tcPr>
                <w:p>
                  <w:pPr>
                    <w:pStyle w:val="42"/>
                    <w:ind w:left="24" w:leftChars="10" w:right="24" w:rightChars="10"/>
                    <w:jc w:val="center"/>
                    <w:rPr>
                      <w:szCs w:val="21"/>
                      <w:lang w:val="zh-CN"/>
                    </w:rPr>
                  </w:pPr>
                  <w:r>
                    <w:rPr>
                      <w:rFonts w:hint="eastAsia"/>
                      <w:szCs w:val="21"/>
                      <w:lang w:val="zh-CN"/>
                    </w:rPr>
                    <w:t>0.8%</w:t>
                  </w:r>
                </w:p>
              </w:tc>
              <w:tc>
                <w:tcPr>
                  <w:tcW w:w="1180" w:type="dxa"/>
                  <w:vAlign w:val="center"/>
                </w:tcPr>
                <w:p>
                  <w:pPr>
                    <w:pStyle w:val="42"/>
                    <w:ind w:left="24" w:leftChars="10" w:right="24" w:rightChars="10"/>
                    <w:jc w:val="center"/>
                    <w:rPr>
                      <w:szCs w:val="21"/>
                      <w:lang w:val="zh-CN"/>
                    </w:rPr>
                  </w:pPr>
                  <w:r>
                    <w:rPr>
                      <w:rFonts w:hint="eastAsia"/>
                      <w:szCs w:val="21"/>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2"/>
                    <w:ind w:left="24" w:leftChars="10" w:right="24" w:rightChars="10"/>
                    <w:jc w:val="center"/>
                    <w:rPr>
                      <w:szCs w:val="21"/>
                      <w:lang w:val="zh-CN"/>
                    </w:rPr>
                  </w:pPr>
                  <w:r>
                    <w:rPr>
                      <w:rFonts w:hint="eastAsia"/>
                      <w:szCs w:val="21"/>
                      <w:lang w:val="zh-CN"/>
                    </w:rPr>
                    <w:t>500－1000</w:t>
                  </w:r>
                </w:p>
              </w:tc>
              <w:tc>
                <w:tcPr>
                  <w:tcW w:w="1180" w:type="dxa"/>
                  <w:vAlign w:val="center"/>
                </w:tcPr>
                <w:p>
                  <w:pPr>
                    <w:pStyle w:val="42"/>
                    <w:ind w:left="24" w:leftChars="10" w:right="24" w:rightChars="10"/>
                    <w:jc w:val="center"/>
                    <w:rPr>
                      <w:szCs w:val="21"/>
                      <w:lang w:val="zh-CN"/>
                    </w:rPr>
                  </w:pPr>
                  <w:r>
                    <w:rPr>
                      <w:rFonts w:hint="eastAsia"/>
                      <w:szCs w:val="21"/>
                      <w:lang w:val="zh-CN"/>
                    </w:rPr>
                    <w:t>0.8%</w:t>
                  </w:r>
                </w:p>
              </w:tc>
              <w:tc>
                <w:tcPr>
                  <w:tcW w:w="1180" w:type="dxa"/>
                  <w:vAlign w:val="center"/>
                </w:tcPr>
                <w:p>
                  <w:pPr>
                    <w:pStyle w:val="42"/>
                    <w:ind w:left="24" w:leftChars="10" w:right="24" w:rightChars="10"/>
                    <w:jc w:val="center"/>
                    <w:rPr>
                      <w:szCs w:val="21"/>
                      <w:lang w:val="zh-CN"/>
                    </w:rPr>
                  </w:pPr>
                  <w:r>
                    <w:rPr>
                      <w:rFonts w:hint="eastAsia"/>
                      <w:szCs w:val="21"/>
                      <w:lang w:val="zh-CN"/>
                    </w:rPr>
                    <w:t>0.45%</w:t>
                  </w:r>
                </w:p>
              </w:tc>
              <w:tc>
                <w:tcPr>
                  <w:tcW w:w="1180" w:type="dxa"/>
                  <w:vAlign w:val="center"/>
                </w:tcPr>
                <w:p>
                  <w:pPr>
                    <w:pStyle w:val="42"/>
                    <w:ind w:left="24" w:leftChars="10" w:right="24" w:rightChars="10"/>
                    <w:jc w:val="center"/>
                    <w:rPr>
                      <w:szCs w:val="21"/>
                      <w:lang w:val="zh-CN"/>
                    </w:rPr>
                  </w:pPr>
                  <w:r>
                    <w:rPr>
                      <w:rFonts w:hint="eastAsia"/>
                      <w:szCs w:val="21"/>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2"/>
                    <w:ind w:left="24" w:leftChars="10" w:right="24" w:rightChars="10"/>
                    <w:jc w:val="center"/>
                    <w:rPr>
                      <w:szCs w:val="21"/>
                      <w:lang w:val="zh-CN"/>
                    </w:rPr>
                  </w:pPr>
                  <w:r>
                    <w:rPr>
                      <w:rFonts w:hint="eastAsia"/>
                      <w:szCs w:val="21"/>
                      <w:lang w:val="zh-CN"/>
                    </w:rPr>
                    <w:t>1000－5000</w:t>
                  </w:r>
                </w:p>
              </w:tc>
              <w:tc>
                <w:tcPr>
                  <w:tcW w:w="1180" w:type="dxa"/>
                  <w:vAlign w:val="center"/>
                </w:tcPr>
                <w:p>
                  <w:pPr>
                    <w:pStyle w:val="42"/>
                    <w:ind w:left="24" w:leftChars="10" w:right="24" w:rightChars="10"/>
                    <w:jc w:val="center"/>
                    <w:rPr>
                      <w:szCs w:val="21"/>
                      <w:lang w:val="zh-CN"/>
                    </w:rPr>
                  </w:pPr>
                  <w:r>
                    <w:rPr>
                      <w:rFonts w:hint="eastAsia"/>
                      <w:szCs w:val="21"/>
                      <w:lang w:val="zh-CN"/>
                    </w:rPr>
                    <w:t>0.5%</w:t>
                  </w:r>
                </w:p>
              </w:tc>
              <w:tc>
                <w:tcPr>
                  <w:tcW w:w="1180" w:type="dxa"/>
                  <w:vAlign w:val="center"/>
                </w:tcPr>
                <w:p>
                  <w:pPr>
                    <w:pStyle w:val="42"/>
                    <w:ind w:left="24" w:leftChars="10" w:right="24" w:rightChars="10"/>
                    <w:jc w:val="center"/>
                    <w:rPr>
                      <w:szCs w:val="21"/>
                      <w:lang w:val="zh-CN"/>
                    </w:rPr>
                  </w:pPr>
                  <w:r>
                    <w:rPr>
                      <w:rFonts w:hint="eastAsia"/>
                      <w:szCs w:val="21"/>
                      <w:lang w:val="zh-CN"/>
                    </w:rPr>
                    <w:t>0.25%</w:t>
                  </w:r>
                </w:p>
              </w:tc>
              <w:tc>
                <w:tcPr>
                  <w:tcW w:w="1180" w:type="dxa"/>
                  <w:vAlign w:val="center"/>
                </w:tcPr>
                <w:p>
                  <w:pPr>
                    <w:pStyle w:val="42"/>
                    <w:ind w:left="24" w:leftChars="10" w:right="24" w:rightChars="10"/>
                    <w:jc w:val="center"/>
                    <w:rPr>
                      <w:szCs w:val="21"/>
                      <w:lang w:val="zh-CN"/>
                    </w:rPr>
                  </w:pPr>
                  <w:r>
                    <w:rPr>
                      <w:rFonts w:hint="eastAsia"/>
                      <w:szCs w:val="21"/>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2"/>
                    <w:ind w:left="24" w:leftChars="10" w:right="24" w:rightChars="10"/>
                    <w:jc w:val="center"/>
                    <w:rPr>
                      <w:szCs w:val="21"/>
                      <w:lang w:val="zh-CN"/>
                    </w:rPr>
                  </w:pPr>
                  <w:r>
                    <w:rPr>
                      <w:rFonts w:hint="eastAsia"/>
                      <w:szCs w:val="21"/>
                      <w:lang w:val="zh-CN"/>
                    </w:rPr>
                    <w:t>5000－10000</w:t>
                  </w:r>
                </w:p>
              </w:tc>
              <w:tc>
                <w:tcPr>
                  <w:tcW w:w="1180" w:type="dxa"/>
                  <w:vAlign w:val="center"/>
                </w:tcPr>
                <w:p>
                  <w:pPr>
                    <w:pStyle w:val="42"/>
                    <w:ind w:left="24" w:leftChars="10" w:right="24" w:rightChars="10"/>
                    <w:jc w:val="center"/>
                    <w:rPr>
                      <w:szCs w:val="21"/>
                      <w:lang w:val="zh-CN"/>
                    </w:rPr>
                  </w:pPr>
                  <w:r>
                    <w:rPr>
                      <w:rFonts w:hint="eastAsia"/>
                      <w:szCs w:val="21"/>
                      <w:lang w:val="zh-CN"/>
                    </w:rPr>
                    <w:t>0.25%</w:t>
                  </w:r>
                </w:p>
              </w:tc>
              <w:tc>
                <w:tcPr>
                  <w:tcW w:w="1180" w:type="dxa"/>
                  <w:vAlign w:val="center"/>
                </w:tcPr>
                <w:p>
                  <w:pPr>
                    <w:pStyle w:val="42"/>
                    <w:ind w:left="24" w:leftChars="10" w:right="24" w:rightChars="10"/>
                    <w:jc w:val="center"/>
                    <w:rPr>
                      <w:szCs w:val="21"/>
                      <w:lang w:val="zh-CN"/>
                    </w:rPr>
                  </w:pPr>
                  <w:r>
                    <w:rPr>
                      <w:rFonts w:hint="eastAsia"/>
                      <w:szCs w:val="21"/>
                      <w:lang w:val="zh-CN"/>
                    </w:rPr>
                    <w:t>0.1%</w:t>
                  </w:r>
                </w:p>
              </w:tc>
              <w:tc>
                <w:tcPr>
                  <w:tcW w:w="1180" w:type="dxa"/>
                  <w:vAlign w:val="center"/>
                </w:tcPr>
                <w:p>
                  <w:pPr>
                    <w:pStyle w:val="42"/>
                    <w:ind w:left="24" w:leftChars="10" w:right="24" w:rightChars="10"/>
                    <w:jc w:val="center"/>
                    <w:rPr>
                      <w:szCs w:val="21"/>
                      <w:lang w:val="zh-CN"/>
                    </w:rPr>
                  </w:pPr>
                  <w:r>
                    <w:rPr>
                      <w:rFonts w:hint="eastAsia"/>
                      <w:szCs w:val="21"/>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2"/>
                    <w:ind w:left="24" w:leftChars="10" w:right="24" w:rightChars="10"/>
                    <w:jc w:val="center"/>
                    <w:rPr>
                      <w:szCs w:val="21"/>
                      <w:lang w:val="zh-CN"/>
                    </w:rPr>
                  </w:pPr>
                  <w:r>
                    <w:rPr>
                      <w:rFonts w:hint="eastAsia"/>
                      <w:szCs w:val="21"/>
                      <w:lang w:val="zh-CN"/>
                    </w:rPr>
                    <w:t>10000－100000</w:t>
                  </w:r>
                </w:p>
              </w:tc>
              <w:tc>
                <w:tcPr>
                  <w:tcW w:w="1180" w:type="dxa"/>
                  <w:vAlign w:val="center"/>
                </w:tcPr>
                <w:p>
                  <w:pPr>
                    <w:pStyle w:val="42"/>
                    <w:ind w:left="24" w:leftChars="10" w:right="24" w:rightChars="10"/>
                    <w:jc w:val="center"/>
                    <w:rPr>
                      <w:szCs w:val="21"/>
                      <w:lang w:val="zh-CN"/>
                    </w:rPr>
                  </w:pPr>
                  <w:r>
                    <w:rPr>
                      <w:rFonts w:hint="eastAsia"/>
                      <w:szCs w:val="21"/>
                      <w:lang w:val="zh-CN"/>
                    </w:rPr>
                    <w:t>0.05%</w:t>
                  </w:r>
                </w:p>
              </w:tc>
              <w:tc>
                <w:tcPr>
                  <w:tcW w:w="1180" w:type="dxa"/>
                  <w:vAlign w:val="center"/>
                </w:tcPr>
                <w:p>
                  <w:pPr>
                    <w:pStyle w:val="42"/>
                    <w:ind w:left="24" w:leftChars="10" w:right="24" w:rightChars="10"/>
                    <w:jc w:val="center"/>
                    <w:rPr>
                      <w:szCs w:val="21"/>
                      <w:lang w:val="zh-CN"/>
                    </w:rPr>
                  </w:pPr>
                  <w:r>
                    <w:rPr>
                      <w:rFonts w:hint="eastAsia"/>
                      <w:szCs w:val="21"/>
                      <w:lang w:val="zh-CN"/>
                    </w:rPr>
                    <w:t>0.05%</w:t>
                  </w:r>
                </w:p>
              </w:tc>
              <w:tc>
                <w:tcPr>
                  <w:tcW w:w="1180" w:type="dxa"/>
                  <w:vAlign w:val="center"/>
                </w:tcPr>
                <w:p>
                  <w:pPr>
                    <w:pStyle w:val="42"/>
                    <w:ind w:left="24" w:leftChars="10" w:right="24" w:rightChars="10"/>
                    <w:jc w:val="center"/>
                    <w:rPr>
                      <w:szCs w:val="21"/>
                      <w:lang w:val="zh-CN"/>
                    </w:rPr>
                  </w:pPr>
                  <w:r>
                    <w:rPr>
                      <w:rFonts w:hint="eastAsia"/>
                      <w:szCs w:val="21"/>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2"/>
                    <w:ind w:left="24" w:leftChars="10" w:right="24" w:rightChars="10"/>
                    <w:jc w:val="center"/>
                    <w:rPr>
                      <w:szCs w:val="21"/>
                      <w:lang w:val="zh-CN"/>
                    </w:rPr>
                  </w:pPr>
                  <w:r>
                    <w:rPr>
                      <w:rFonts w:hint="eastAsia"/>
                      <w:szCs w:val="21"/>
                      <w:lang w:val="zh-CN"/>
                    </w:rPr>
                    <w:t>1000000以上</w:t>
                  </w:r>
                </w:p>
              </w:tc>
              <w:tc>
                <w:tcPr>
                  <w:tcW w:w="1180" w:type="dxa"/>
                  <w:vAlign w:val="center"/>
                </w:tcPr>
                <w:p>
                  <w:pPr>
                    <w:pStyle w:val="42"/>
                    <w:ind w:left="24" w:leftChars="10" w:right="24" w:rightChars="10"/>
                    <w:jc w:val="center"/>
                    <w:rPr>
                      <w:szCs w:val="21"/>
                      <w:lang w:val="zh-CN"/>
                    </w:rPr>
                  </w:pPr>
                  <w:r>
                    <w:rPr>
                      <w:rFonts w:hint="eastAsia"/>
                      <w:szCs w:val="21"/>
                      <w:lang w:val="zh-CN"/>
                    </w:rPr>
                    <w:t>0.01%</w:t>
                  </w:r>
                </w:p>
              </w:tc>
              <w:tc>
                <w:tcPr>
                  <w:tcW w:w="1180" w:type="dxa"/>
                  <w:vAlign w:val="center"/>
                </w:tcPr>
                <w:p>
                  <w:pPr>
                    <w:pStyle w:val="42"/>
                    <w:ind w:left="24" w:leftChars="10" w:right="24" w:rightChars="10"/>
                    <w:jc w:val="center"/>
                    <w:rPr>
                      <w:szCs w:val="21"/>
                      <w:lang w:val="zh-CN"/>
                    </w:rPr>
                  </w:pPr>
                  <w:r>
                    <w:rPr>
                      <w:rFonts w:hint="eastAsia"/>
                      <w:szCs w:val="21"/>
                      <w:lang w:val="zh-CN"/>
                    </w:rPr>
                    <w:t>0.01%</w:t>
                  </w:r>
                </w:p>
              </w:tc>
              <w:tc>
                <w:tcPr>
                  <w:tcW w:w="1180" w:type="dxa"/>
                  <w:vAlign w:val="center"/>
                </w:tcPr>
                <w:p>
                  <w:pPr>
                    <w:pStyle w:val="42"/>
                    <w:ind w:left="24" w:leftChars="10" w:right="24" w:rightChars="10"/>
                    <w:jc w:val="center"/>
                    <w:rPr>
                      <w:szCs w:val="21"/>
                      <w:lang w:val="zh-CN"/>
                    </w:rPr>
                  </w:pPr>
                  <w:r>
                    <w:rPr>
                      <w:rFonts w:hint="eastAsia"/>
                      <w:szCs w:val="21"/>
                      <w:lang w:val="zh-CN"/>
                    </w:rPr>
                    <w:t>0.01%</w:t>
                  </w:r>
                </w:p>
              </w:tc>
            </w:tr>
          </w:tbl>
          <w:p>
            <w:pPr>
              <w:pStyle w:val="42"/>
              <w:ind w:left="24" w:leftChars="10" w:right="24" w:rightChars="10"/>
              <w:rPr>
                <w:szCs w:val="21"/>
                <w:lang w:val="zh-CN"/>
              </w:rPr>
            </w:pPr>
            <w:r>
              <w:rPr>
                <w:rFonts w:hint="eastAsia"/>
                <w:szCs w:val="21"/>
                <w:lang w:val="zh-CN"/>
              </w:rPr>
              <w:t>注：</w:t>
            </w:r>
          </w:p>
          <w:p>
            <w:pPr>
              <w:pStyle w:val="42"/>
              <w:ind w:left="24" w:leftChars="10" w:right="24" w:rightChars="10"/>
              <w:rPr>
                <w:szCs w:val="21"/>
                <w:lang w:val="zh-CN"/>
              </w:rPr>
            </w:pPr>
            <w:r>
              <w:rPr>
                <w:rFonts w:hint="eastAsia"/>
                <w:szCs w:val="21"/>
                <w:lang w:val="zh-CN"/>
              </w:rPr>
              <w:t>(1)按本表费率计算的收费为代理服务全过程的收费基准价格。</w:t>
            </w:r>
          </w:p>
          <w:p>
            <w:pPr>
              <w:pStyle w:val="42"/>
              <w:ind w:left="24" w:leftChars="10" w:right="24" w:rightChars="10"/>
              <w:jc w:val="both"/>
              <w:rPr>
                <w:szCs w:val="21"/>
                <w:lang w:val="zh-CN"/>
              </w:rPr>
            </w:pPr>
            <w:r>
              <w:rPr>
                <w:rFonts w:hint="eastAsia"/>
                <w:szCs w:val="21"/>
                <w:lang w:val="zh-CN"/>
              </w:rPr>
              <w:t>(2)本收费以单个项目为计算基础，凡单个项目收费金额低于人民币 3000元，按3000元收取。</w:t>
            </w:r>
          </w:p>
          <w:p>
            <w:pPr>
              <w:pStyle w:val="42"/>
              <w:ind w:left="24" w:leftChars="10" w:right="24" w:rightChars="10"/>
              <w:jc w:val="both"/>
              <w:rPr>
                <w:szCs w:val="21"/>
                <w:lang w:val="zh-CN"/>
              </w:rPr>
            </w:pPr>
            <w:r>
              <w:rPr>
                <w:rFonts w:hint="eastAsia"/>
                <w:szCs w:val="21"/>
                <w:lang w:val="zh-CN"/>
              </w:rPr>
              <w:t>(3)采购代理机构下浮比例为20%。</w:t>
            </w:r>
          </w:p>
          <w:p>
            <w:pPr>
              <w:pStyle w:val="42"/>
              <w:ind w:left="24" w:leftChars="10" w:right="24" w:rightChars="10"/>
              <w:rPr>
                <w:szCs w:val="21"/>
                <w:lang w:val="zh-CN"/>
              </w:rPr>
            </w:pPr>
            <w:r>
              <w:rPr>
                <w:rFonts w:hint="eastAsia"/>
                <w:szCs w:val="21"/>
                <w:lang w:val="zh-CN"/>
              </w:rPr>
              <w:t>(</w:t>
            </w:r>
            <w:r>
              <w:rPr>
                <w:rFonts w:hint="eastAsia"/>
                <w:szCs w:val="21"/>
              </w:rPr>
              <w:t>4</w:t>
            </w:r>
            <w:r>
              <w:rPr>
                <w:rFonts w:hint="eastAsia"/>
                <w:szCs w:val="21"/>
                <w:lang w:val="zh-CN"/>
              </w:rPr>
              <w:t>)代理服务收费按差额定率累进法计算。</w:t>
            </w:r>
          </w:p>
          <w:p>
            <w:pPr>
              <w:pStyle w:val="42"/>
              <w:ind w:left="24" w:leftChars="10" w:right="24" w:rightChars="10"/>
              <w:rPr>
                <w:szCs w:val="21"/>
                <w:lang w:val="zh-CN"/>
              </w:rPr>
            </w:pPr>
            <w:r>
              <w:rPr>
                <w:rFonts w:hint="eastAsia"/>
                <w:szCs w:val="21"/>
                <w:lang w:val="zh-CN"/>
              </w:rPr>
              <w:t>例如：某工程代理业务中标金额为6000万元，计算代理服务收费额如下：</w:t>
            </w:r>
          </w:p>
          <w:p>
            <w:pPr>
              <w:pStyle w:val="42"/>
              <w:ind w:left="24" w:leftChars="10" w:right="24" w:rightChars="10"/>
              <w:rPr>
                <w:szCs w:val="21"/>
                <w:lang w:val="zh-CN"/>
              </w:rPr>
            </w:pPr>
            <w:r>
              <w:rPr>
                <w:rFonts w:hint="eastAsia"/>
                <w:szCs w:val="21"/>
                <w:lang w:val="zh-CN"/>
              </w:rPr>
              <w:t>100万元×1.00%=1万元</w:t>
            </w:r>
          </w:p>
          <w:p>
            <w:pPr>
              <w:pStyle w:val="42"/>
              <w:ind w:left="24" w:leftChars="10" w:right="24" w:rightChars="10"/>
              <w:rPr>
                <w:szCs w:val="21"/>
                <w:lang w:val="zh-CN"/>
              </w:rPr>
            </w:pPr>
            <w:r>
              <w:rPr>
                <w:rFonts w:hint="eastAsia"/>
                <w:szCs w:val="21"/>
                <w:lang w:val="zh-CN"/>
              </w:rPr>
              <w:t>(500－100)万元×0.70%=2.8万元</w:t>
            </w:r>
          </w:p>
          <w:p>
            <w:pPr>
              <w:pStyle w:val="42"/>
              <w:ind w:left="24" w:leftChars="10" w:right="24" w:rightChars="10"/>
              <w:rPr>
                <w:szCs w:val="21"/>
                <w:lang w:val="zh-CN"/>
              </w:rPr>
            </w:pPr>
            <w:r>
              <w:rPr>
                <w:rFonts w:hint="eastAsia"/>
                <w:szCs w:val="21"/>
                <w:lang w:val="zh-CN"/>
              </w:rPr>
              <w:t>(1000－500)万元×0.55%=2.75万元</w:t>
            </w:r>
          </w:p>
          <w:p>
            <w:pPr>
              <w:pStyle w:val="42"/>
              <w:ind w:left="24" w:leftChars="10" w:right="24" w:rightChars="10"/>
              <w:rPr>
                <w:szCs w:val="21"/>
                <w:lang w:val="zh-CN"/>
              </w:rPr>
            </w:pPr>
            <w:r>
              <w:rPr>
                <w:rFonts w:hint="eastAsia"/>
                <w:szCs w:val="21"/>
                <w:lang w:val="zh-CN"/>
              </w:rPr>
              <w:t>(5000－1000)万元×0.35%=14万元</w:t>
            </w:r>
          </w:p>
          <w:p>
            <w:pPr>
              <w:pStyle w:val="42"/>
              <w:ind w:left="24" w:leftChars="10" w:right="24" w:rightChars="10"/>
              <w:rPr>
                <w:szCs w:val="21"/>
                <w:lang w:val="zh-CN"/>
              </w:rPr>
            </w:pPr>
            <w:r>
              <w:rPr>
                <w:rFonts w:hint="eastAsia"/>
                <w:szCs w:val="21"/>
                <w:lang w:val="zh-CN"/>
              </w:rPr>
              <w:t>(6000－5000)万元×0.20%=2万元</w:t>
            </w:r>
          </w:p>
          <w:p>
            <w:pPr>
              <w:pStyle w:val="42"/>
              <w:ind w:left="24" w:leftChars="10" w:right="24" w:rightChars="10"/>
              <w:rPr>
                <w:szCs w:val="21"/>
                <w:lang w:val="zh-CN"/>
              </w:rPr>
            </w:pPr>
            <w:r>
              <w:rPr>
                <w:rFonts w:hint="eastAsia"/>
                <w:szCs w:val="21"/>
                <w:lang w:val="zh-CN"/>
              </w:rPr>
              <w:t>最终代理服务=(1+2.8+2.75+14+2)*(1</w:t>
            </w:r>
            <w:r>
              <w:rPr>
                <w:rFonts w:hint="eastAsia"/>
                <w:szCs w:val="21"/>
              </w:rPr>
              <w:t>-</w:t>
            </w:r>
            <w:r>
              <w:rPr>
                <w:rFonts w:hint="eastAsia"/>
                <w:szCs w:val="21"/>
                <w:lang w:val="zh-CN"/>
              </w:rPr>
              <w:t>20%)=18.04(万元)</w:t>
            </w:r>
          </w:p>
          <w:p>
            <w:pPr>
              <w:pStyle w:val="42"/>
              <w:numPr>
                <w:ilvl w:val="0"/>
                <w:numId w:val="12"/>
              </w:numPr>
              <w:tabs>
                <w:tab w:val="clear" w:pos="312"/>
              </w:tabs>
              <w:ind w:left="24" w:leftChars="10" w:right="24" w:rightChars="10"/>
              <w:rPr>
                <w:szCs w:val="21"/>
              </w:rPr>
            </w:pPr>
            <w:r>
              <w:rPr>
                <w:rFonts w:hint="eastAsia"/>
                <w:szCs w:val="21"/>
              </w:rPr>
              <w:t>收取方式：成交</w:t>
            </w:r>
            <w:r>
              <w:rPr>
                <w:rFonts w:hint="eastAsia"/>
                <w:szCs w:val="21"/>
                <w:lang w:val="zh-CN"/>
              </w:rPr>
              <w:t>通知发出后二个工作日内由</w:t>
            </w:r>
            <w:r>
              <w:rPr>
                <w:rFonts w:hint="eastAsia"/>
                <w:szCs w:val="21"/>
              </w:rPr>
              <w:t>成交供应商</w:t>
            </w:r>
            <w:r>
              <w:rPr>
                <w:rFonts w:hint="eastAsia"/>
                <w:szCs w:val="21"/>
                <w:lang w:val="zh-CN"/>
              </w:rPr>
              <w:t>一次性支付</w:t>
            </w:r>
            <w:r>
              <w:rPr>
                <w:rFonts w:hint="eastAsia"/>
                <w:szCs w:val="21"/>
              </w:rPr>
              <w:t>至采购代理机构。</w:t>
            </w:r>
          </w:p>
          <w:p>
            <w:pPr>
              <w:pStyle w:val="42"/>
              <w:numPr>
                <w:ilvl w:val="0"/>
                <w:numId w:val="12"/>
              </w:numPr>
              <w:tabs>
                <w:tab w:val="clear" w:pos="312"/>
              </w:tabs>
              <w:ind w:left="24" w:leftChars="10" w:right="24" w:rightChars="10"/>
              <w:rPr>
                <w:szCs w:val="21"/>
              </w:rPr>
            </w:pPr>
            <w:r>
              <w:rPr>
                <w:rFonts w:hint="eastAsia"/>
                <w:szCs w:val="21"/>
              </w:rPr>
              <w:t>账户信息</w:t>
            </w:r>
          </w:p>
          <w:p>
            <w:pPr>
              <w:pStyle w:val="42"/>
              <w:ind w:left="24" w:leftChars="10" w:right="24" w:rightChars="10"/>
              <w:rPr>
                <w:szCs w:val="21"/>
                <w:lang w:val="zh-CN"/>
              </w:rPr>
            </w:pPr>
            <w:r>
              <w:rPr>
                <w:rFonts w:hint="eastAsia"/>
                <w:szCs w:val="21"/>
                <w:lang w:val="zh-CN"/>
              </w:rPr>
              <w:t>收款单位：四川乾新招投标代理有限公司</w:t>
            </w:r>
          </w:p>
          <w:p>
            <w:pPr>
              <w:pStyle w:val="42"/>
              <w:ind w:left="24" w:leftChars="10" w:right="24" w:rightChars="10"/>
              <w:rPr>
                <w:szCs w:val="21"/>
                <w:lang w:val="zh-CN"/>
              </w:rPr>
            </w:pPr>
            <w:r>
              <w:rPr>
                <w:rFonts w:hint="eastAsia"/>
                <w:szCs w:val="21"/>
                <w:lang w:val="zh-CN"/>
              </w:rPr>
              <w:t>开 户 行：招商银行成都分行天府大道支行</w:t>
            </w:r>
          </w:p>
          <w:p>
            <w:pPr>
              <w:pStyle w:val="42"/>
              <w:ind w:left="24" w:leftChars="10" w:right="24" w:rightChars="10"/>
              <w:rPr>
                <w:rFonts w:cs="宋体"/>
                <w:szCs w:val="21"/>
              </w:rPr>
            </w:pPr>
            <w:r>
              <w:rPr>
                <w:rFonts w:hint="eastAsia"/>
                <w:szCs w:val="21"/>
                <w:lang w:val="zh-CN"/>
              </w:rPr>
              <w:t>银行账号：1289 0768 1810 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履约保证金</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lang w:val="zh-CN"/>
              </w:rPr>
            </w:pPr>
            <w:r>
              <w:rPr>
                <w:rFonts w:hint="eastAsia" w:cs="宋体"/>
                <w:szCs w:val="21"/>
              </w:rPr>
              <w:t>详见竞争性磋商文件第五章。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供应商询问</w:t>
            </w:r>
          </w:p>
        </w:tc>
        <w:tc>
          <w:tcPr>
            <w:tcW w:w="7061" w:type="dxa"/>
          </w:tcPr>
          <w:p>
            <w:pPr>
              <w:pStyle w:val="42"/>
              <w:numPr>
                <w:ilvl w:val="0"/>
                <w:numId w:val="13"/>
              </w:numPr>
              <w:tabs>
                <w:tab w:val="clear" w:pos="312"/>
              </w:tabs>
              <w:ind w:left="24" w:leftChars="10" w:right="24" w:rightChars="10"/>
              <w:rPr>
                <w:rFonts w:cs="宋体"/>
                <w:szCs w:val="21"/>
              </w:rPr>
            </w:pPr>
            <w:r>
              <w:rPr>
                <w:rFonts w:hint="eastAsia" w:cs="宋体"/>
                <w:szCs w:val="21"/>
              </w:rPr>
              <w:t>根据委托代理协议约定，采购人负责对采购文件技术参数部分的询问解释，四川乾新招投标代理有限公司负责答复，四川乾新招投标代理有限公司负责采购文件技术参数部分以外的询问解释和答复。</w:t>
            </w:r>
          </w:p>
          <w:p>
            <w:pPr>
              <w:pStyle w:val="42"/>
              <w:numPr>
                <w:ilvl w:val="0"/>
                <w:numId w:val="13"/>
              </w:numPr>
              <w:tabs>
                <w:tab w:val="clear" w:pos="312"/>
              </w:tabs>
              <w:ind w:left="24" w:leftChars="10" w:right="24" w:rightChars="10"/>
              <w:rPr>
                <w:rFonts w:cs="宋体"/>
                <w:szCs w:val="21"/>
              </w:rPr>
            </w:pPr>
            <w:r>
              <w:rPr>
                <w:rFonts w:hint="eastAsia" w:cs="宋体"/>
                <w:szCs w:val="21"/>
              </w:rPr>
              <w:t>询问内容不得涉及评审秘密、国家机密和商业秘密等保密内容。</w:t>
            </w:r>
          </w:p>
          <w:p>
            <w:pPr>
              <w:pStyle w:val="42"/>
              <w:numPr>
                <w:ilvl w:val="0"/>
                <w:numId w:val="13"/>
              </w:numPr>
              <w:tabs>
                <w:tab w:val="clear" w:pos="312"/>
              </w:tabs>
              <w:ind w:left="24" w:leftChars="10" w:right="24" w:rightChars="10"/>
              <w:rPr>
                <w:rFonts w:cs="宋体"/>
                <w:szCs w:val="21"/>
              </w:rPr>
            </w:pPr>
            <w:r>
              <w:rPr>
                <w:rFonts w:hint="eastAsia" w:cs="宋体"/>
                <w:szCs w:val="21"/>
              </w:rPr>
              <w:t>询问方式：询问可以采用邮寄、在线、现场书面或电子邮件等方式向四川乾新招投标代理有限公司提出；询问必须提供询问人基本信息(包含具体询问内容、询问人名称或姓名、联系人及联系电话、电子邮件)。</w:t>
            </w:r>
          </w:p>
          <w:p>
            <w:pPr>
              <w:pStyle w:val="42"/>
              <w:ind w:left="24" w:leftChars="10" w:right="24" w:rightChars="10"/>
              <w:rPr>
                <w:rFonts w:cs="宋体"/>
                <w:szCs w:val="21"/>
              </w:rPr>
            </w:pPr>
            <w:r>
              <w:rPr>
                <w:rFonts w:hint="eastAsia" w:cs="宋体"/>
                <w:szCs w:val="21"/>
                <w:lang w:val="zh-CN"/>
              </w:rPr>
              <w:t>联系人：</w:t>
            </w:r>
            <w:r>
              <w:rPr>
                <w:rFonts w:hint="eastAsia" w:cs="宋体"/>
                <w:szCs w:val="21"/>
              </w:rPr>
              <w:t>王朝钢</w:t>
            </w:r>
          </w:p>
          <w:p>
            <w:pPr>
              <w:pStyle w:val="42"/>
              <w:ind w:left="24" w:leftChars="10" w:right="24" w:rightChars="10"/>
              <w:rPr>
                <w:rFonts w:cs="宋体"/>
                <w:szCs w:val="21"/>
              </w:rPr>
            </w:pPr>
            <w:r>
              <w:rPr>
                <w:rFonts w:hint="eastAsia" w:cs="宋体"/>
                <w:szCs w:val="21"/>
                <w:lang w:val="zh-CN"/>
              </w:rPr>
              <w:t>联系电话：</w:t>
            </w:r>
            <w:r>
              <w:rPr>
                <w:rFonts w:hint="eastAsia" w:cs="宋体"/>
                <w:szCs w:val="21"/>
              </w:rPr>
              <w:t>028-</w:t>
            </w:r>
            <w:r>
              <w:rPr>
                <w:rFonts w:hint="eastAsia" w:cs="宋体"/>
                <w:szCs w:val="21"/>
                <w:lang w:val="zh-CN"/>
              </w:rPr>
              <w:t>84638556、84882960</w:t>
            </w:r>
            <w:r>
              <w:rPr>
                <w:rFonts w:hint="eastAsia" w:cs="宋体"/>
                <w:szCs w:val="21"/>
              </w:rPr>
              <w:t>转663</w:t>
            </w:r>
          </w:p>
          <w:p>
            <w:pPr>
              <w:pStyle w:val="42"/>
              <w:ind w:left="24" w:leftChars="10" w:right="24" w:rightChars="10"/>
              <w:rPr>
                <w:rFonts w:cs="宋体"/>
                <w:szCs w:val="21"/>
                <w:lang w:val="zh-CN"/>
              </w:rPr>
            </w:pPr>
            <w:r>
              <w:rPr>
                <w:rFonts w:hint="eastAsia" w:cs="宋体"/>
                <w:szCs w:val="21"/>
                <w:lang w:val="zh-CN"/>
              </w:rPr>
              <w:t>地址：成都市高新区吉庆三路333号蜀都中心二期一号楼一单元401号</w:t>
            </w:r>
          </w:p>
          <w:p>
            <w:pPr>
              <w:pStyle w:val="42"/>
              <w:ind w:left="24" w:leftChars="10" w:right="24" w:rightChars="10"/>
              <w:rPr>
                <w:rFonts w:cs="宋体"/>
                <w:szCs w:val="21"/>
              </w:rPr>
            </w:pPr>
            <w:r>
              <w:rPr>
                <w:rFonts w:hint="eastAsia" w:cs="宋体"/>
                <w:szCs w:val="21"/>
              </w:rPr>
              <w:t>邮编：610041</w:t>
            </w:r>
          </w:p>
          <w:p>
            <w:pPr>
              <w:pStyle w:val="42"/>
              <w:numPr>
                <w:ilvl w:val="0"/>
                <w:numId w:val="13"/>
              </w:numPr>
              <w:tabs>
                <w:tab w:val="clear" w:pos="312"/>
              </w:tabs>
              <w:ind w:left="24" w:leftChars="10" w:right="24" w:rightChars="10"/>
              <w:rPr>
                <w:rFonts w:cs="宋体"/>
                <w:szCs w:val="21"/>
              </w:rPr>
            </w:pPr>
            <w:r>
              <w:rPr>
                <w:rFonts w:hint="eastAsia" w:cs="宋体"/>
                <w:szCs w:val="21"/>
              </w:rPr>
              <w:t>询问提出的范围及主体：①采购文件及采购信息公告环节：依法获取采购文件的潜在供应商可以对采购文件及采购信息公告的内容向四川乾新招投标代理有限公司或采购人提出询问，仅对采购信息公告内容提出询问的，不限制询问主体。②采购过程、采购结果环节：参与采购活动的供应商可以对采购过程、采购结果相关问题向四川乾新招投标代理有限公司提出询问，未参与采购活动的供应商不得对此环节提出询问。③针对中小企业提出的询问将优先加快办理。</w:t>
            </w:r>
          </w:p>
          <w:p>
            <w:pPr>
              <w:pStyle w:val="42"/>
              <w:numPr>
                <w:ilvl w:val="0"/>
                <w:numId w:val="13"/>
              </w:numPr>
              <w:tabs>
                <w:tab w:val="clear" w:pos="312"/>
              </w:tabs>
              <w:ind w:left="24" w:leftChars="10" w:right="24" w:rightChars="10"/>
              <w:rPr>
                <w:rFonts w:cs="宋体"/>
                <w:szCs w:val="21"/>
              </w:rPr>
            </w:pPr>
            <w:r>
              <w:rPr>
                <w:rFonts w:hint="eastAsia" w:cs="宋体"/>
                <w:szCs w:val="21"/>
              </w:rPr>
              <w:t>为提高采购效率，降低社会成本，鼓励询问主体对于不损害国家及社会利益或自身合法权益的问题或情形采用询问方式处理解决(包含但不限于文字错误、标点符号、不影响响应文件的编制的情形)。</w:t>
            </w:r>
          </w:p>
          <w:p>
            <w:pPr>
              <w:pStyle w:val="42"/>
              <w:numPr>
                <w:ilvl w:val="0"/>
                <w:numId w:val="13"/>
              </w:numPr>
              <w:tabs>
                <w:tab w:val="clear" w:pos="312"/>
              </w:tabs>
              <w:ind w:left="24" w:leftChars="10" w:right="24" w:rightChars="10"/>
              <w:rPr>
                <w:rFonts w:cs="宋体"/>
                <w:szCs w:val="21"/>
                <w:lang w:val="zh-CN"/>
              </w:rPr>
            </w:pPr>
            <w:r>
              <w:rPr>
                <w:rFonts w:hint="eastAsia" w:cs="宋体"/>
                <w:szCs w:val="21"/>
              </w:rPr>
              <w:t>为降低时间成本，减少不必要的干扰，四川乾新招投标代理有限公司或采购人可以不接受未按照约定时间提出的询问。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供应商质疑</w:t>
            </w:r>
          </w:p>
        </w:tc>
        <w:tc>
          <w:tcPr>
            <w:tcW w:w="7061" w:type="dxa"/>
            <w:vAlign w:val="center"/>
          </w:tcPr>
          <w:p>
            <w:pPr>
              <w:pStyle w:val="42"/>
              <w:ind w:left="24" w:leftChars="10" w:right="24" w:rightChars="10"/>
              <w:textAlignment w:val="baseline"/>
              <w:rPr>
                <w:rFonts w:cs="宋体"/>
                <w:szCs w:val="21"/>
              </w:rPr>
            </w:pPr>
            <w:r>
              <w:rPr>
                <w:rFonts w:hint="eastAsia" w:cs="宋体"/>
                <w:szCs w:val="21"/>
              </w:rPr>
              <w:t>1.根据委托代理协议约定，采购人负责对采购文件技术参数部分的质疑解释，四川乾新招投标代理有限公司负责答复，四川乾新招投标代理有限公司负责采购文件技术参数部分以外的质疑解释和答复。</w:t>
            </w:r>
          </w:p>
          <w:p>
            <w:pPr>
              <w:pStyle w:val="42"/>
              <w:ind w:left="24" w:leftChars="10" w:right="24" w:rightChars="10"/>
              <w:textAlignment w:val="baseline"/>
              <w:rPr>
                <w:rFonts w:cs="宋体"/>
                <w:szCs w:val="21"/>
              </w:rPr>
            </w:pPr>
            <w:r>
              <w:rPr>
                <w:rFonts w:hint="eastAsia" w:cs="宋体"/>
                <w:szCs w:val="21"/>
              </w:rPr>
              <w:t>2.供应商提出质疑应当坚持依法依规、诚实信用原则；不得超出采购文件、采购过程、采购结果的范围，不得进行虚假、恶意质疑，不得以质疑为手段获取不当得利、实现非法目的。</w:t>
            </w:r>
          </w:p>
          <w:p>
            <w:pPr>
              <w:pStyle w:val="42"/>
              <w:ind w:left="24" w:leftChars="10" w:right="24" w:rightChars="10"/>
              <w:textAlignment w:val="baseline"/>
              <w:rPr>
                <w:rFonts w:cs="宋体"/>
                <w:szCs w:val="21"/>
              </w:rPr>
            </w:pPr>
            <w:r>
              <w:rPr>
                <w:rFonts w:hint="eastAsia" w:cs="宋体"/>
                <w:szCs w:val="21"/>
              </w:rPr>
              <w:t>3.提出质疑函的时限要求：供应商认为采购文件、采购过程、中标或者成交结果使其权益受到损害的，</w:t>
            </w:r>
            <w:r>
              <w:rPr>
                <w:rFonts w:hint="eastAsia" w:cs="宋体"/>
                <w:b/>
                <w:bCs/>
                <w:szCs w:val="21"/>
              </w:rPr>
              <w:t>可以在知道或者应知其权益受到损害之日起2日内</w:t>
            </w:r>
            <w:r>
              <w:rPr>
                <w:rFonts w:hint="eastAsia" w:cs="宋体"/>
                <w:szCs w:val="21"/>
              </w:rPr>
              <w:t>，以书面形式向采购人、采购代理机构提出质疑。</w:t>
            </w:r>
          </w:p>
          <w:p>
            <w:pPr>
              <w:pStyle w:val="42"/>
              <w:ind w:left="24" w:leftChars="10" w:right="24" w:rightChars="10"/>
              <w:textAlignment w:val="baseline"/>
              <w:rPr>
                <w:rFonts w:cs="宋体"/>
                <w:szCs w:val="21"/>
              </w:rPr>
            </w:pPr>
            <w:r>
              <w:rPr>
                <w:rFonts w:hint="eastAsia" w:cs="宋体"/>
                <w:szCs w:val="21"/>
              </w:rPr>
              <w:t>4.接收质疑函的方式：供应商在法定时间内以书面形式现场、邮寄或快递提交质疑函(①采用邮寄和快递形式提交的质疑函以采购代理机构或采购人亲自书面签收的为准；②收到质疑函后，进行质疑处理时：书面形式现场提交的以书面签收的日期为准，邮寄以寄出的邮戳日期为准，快递以受送达人在签收单上签收之日为准；③温馨提示：供应商提交质疑选择邮寄或快递形式时，请先联系采购人或采购代理机构，选择高效及时的方式。质疑供应商在质疑函签收后5个工作日内未收到质疑答复的，可主动电话询问我公司相关事宜。④针对中小企业提出的质疑将优先加快办理)。</w:t>
            </w:r>
          </w:p>
          <w:p>
            <w:pPr>
              <w:pStyle w:val="42"/>
              <w:ind w:left="24" w:leftChars="10" w:right="24" w:rightChars="10"/>
              <w:textAlignment w:val="baseline"/>
              <w:rPr>
                <w:rFonts w:cs="宋体"/>
                <w:szCs w:val="21"/>
              </w:rPr>
            </w:pPr>
            <w:r>
              <w:rPr>
                <w:rFonts w:hint="eastAsia" w:cs="宋体"/>
                <w:szCs w:val="21"/>
              </w:rPr>
              <w:t>联系人：王朝钢</w:t>
            </w:r>
          </w:p>
          <w:p>
            <w:pPr>
              <w:pStyle w:val="42"/>
              <w:ind w:left="24" w:leftChars="10" w:right="24" w:rightChars="10"/>
              <w:textAlignment w:val="baseline"/>
              <w:rPr>
                <w:rFonts w:cs="宋体"/>
                <w:szCs w:val="21"/>
              </w:rPr>
            </w:pPr>
            <w:r>
              <w:rPr>
                <w:rFonts w:hint="eastAsia" w:cs="宋体"/>
                <w:szCs w:val="21"/>
              </w:rPr>
              <w:t>联系电话：028-</w:t>
            </w:r>
            <w:r>
              <w:rPr>
                <w:rFonts w:hint="eastAsia" w:cs="宋体"/>
                <w:szCs w:val="21"/>
                <w:lang w:val="zh-CN"/>
              </w:rPr>
              <w:t>84638556、84882960</w:t>
            </w:r>
            <w:r>
              <w:rPr>
                <w:rFonts w:hint="eastAsia" w:cs="宋体"/>
                <w:szCs w:val="21"/>
              </w:rPr>
              <w:t>转663</w:t>
            </w:r>
          </w:p>
          <w:p>
            <w:pPr>
              <w:pStyle w:val="42"/>
              <w:ind w:left="24" w:leftChars="10" w:right="24" w:rightChars="10"/>
              <w:textAlignment w:val="baseline"/>
              <w:rPr>
                <w:rFonts w:cs="宋体"/>
                <w:szCs w:val="21"/>
              </w:rPr>
            </w:pPr>
            <w:r>
              <w:rPr>
                <w:rFonts w:hint="eastAsia" w:cs="宋体"/>
                <w:szCs w:val="21"/>
              </w:rPr>
              <w:t>通讯地址：</w:t>
            </w:r>
            <w:r>
              <w:rPr>
                <w:rFonts w:hint="eastAsia" w:cs="宋体"/>
                <w:szCs w:val="21"/>
                <w:lang w:val="zh-CN"/>
              </w:rPr>
              <w:t>成都市高新区吉庆三路333号蜀都中心二期一号楼一单元401号</w:t>
            </w:r>
          </w:p>
          <w:p>
            <w:pPr>
              <w:pStyle w:val="42"/>
              <w:ind w:left="24" w:leftChars="10" w:right="24" w:rightChars="10"/>
              <w:textAlignment w:val="baseline"/>
              <w:rPr>
                <w:rFonts w:cs="宋体"/>
                <w:szCs w:val="21"/>
              </w:rPr>
            </w:pPr>
            <w:r>
              <w:rPr>
                <w:rFonts w:hint="eastAsia" w:cs="宋体"/>
                <w:szCs w:val="21"/>
              </w:rPr>
              <w:t>邮编：610041</w:t>
            </w:r>
          </w:p>
          <w:p>
            <w:pPr>
              <w:pStyle w:val="42"/>
              <w:ind w:left="24" w:leftChars="10" w:right="24" w:rightChars="10"/>
              <w:textAlignment w:val="baseline"/>
              <w:rPr>
                <w:rFonts w:cs="宋体"/>
                <w:szCs w:val="21"/>
              </w:rPr>
            </w:pPr>
            <w:r>
              <w:rPr>
                <w:rFonts w:hint="eastAsia" w:cs="宋体"/>
                <w:szCs w:val="21"/>
              </w:rPr>
              <w:t>注：①参照《中华人民共和国政府采购法》等法律法规规定，供应商质疑应当有明确的请求和必要的证明材料，须符合《政府采购质疑和投诉办法》(财政部第94号令)规定，并使用财政部下发《质疑函》范本。</w:t>
            </w:r>
          </w:p>
          <w:p>
            <w:pPr>
              <w:pStyle w:val="42"/>
              <w:ind w:left="24" w:leftChars="10" w:right="24" w:rightChars="10"/>
              <w:textAlignment w:val="baseline"/>
              <w:rPr>
                <w:rFonts w:cs="宋体"/>
                <w:szCs w:val="21"/>
              </w:rPr>
            </w:pPr>
            <w:r>
              <w:rPr>
                <w:rFonts w:hint="eastAsia" w:cs="宋体"/>
                <w:szCs w:val="21"/>
              </w:rPr>
              <w:t>明确的请求是指：供应商对采购文件还是对采购过程还是对中标、成交结果提出质疑；想要达到的结果，如中标成交无效、废标、重新组织采购、赔偿、追究法律责任等；</w:t>
            </w:r>
          </w:p>
          <w:p>
            <w:pPr>
              <w:pStyle w:val="42"/>
              <w:ind w:left="24" w:leftChars="10" w:right="24" w:rightChars="10"/>
              <w:textAlignment w:val="baseline"/>
              <w:rPr>
                <w:rFonts w:cs="宋体"/>
                <w:szCs w:val="21"/>
              </w:rPr>
            </w:pPr>
            <w:r>
              <w:rPr>
                <w:rFonts w:hint="eastAsia" w:cs="宋体"/>
                <w:szCs w:val="21"/>
              </w:rPr>
              <w:t>必要的证明材料是指：包含供应商的营业执照、授权委托书(法定代表人质疑时无需提供)、委托代理人身份证明、参加采购项目的证明、权益受到损害的证明材料、证明提出质疑的事实存在的材料等。</w:t>
            </w:r>
          </w:p>
          <w:p>
            <w:pPr>
              <w:pStyle w:val="42"/>
              <w:ind w:left="24" w:leftChars="10" w:right="24" w:rightChars="10"/>
              <w:textAlignment w:val="baseline"/>
              <w:rPr>
                <w:rFonts w:cs="宋体"/>
                <w:szCs w:val="21"/>
              </w:rPr>
            </w:pPr>
            <w:r>
              <w:rPr>
                <w:rFonts w:hint="eastAsia" w:cs="宋体"/>
                <w:szCs w:val="21"/>
              </w:rPr>
              <w:t>如因供应商提出的质疑函不符合《政府采购质疑和投诉办法》(财政部令第94号)第十二条的要求，四川乾新招投标代理有限公司或采购人将要求供应商在法定质疑期内进行质疑函补正，未进行补正或在法定质疑期内未进行补正的，其所有不利后果由供应商自行承担。</w:t>
            </w:r>
          </w:p>
          <w:p>
            <w:pPr>
              <w:pStyle w:val="42"/>
              <w:ind w:left="24" w:leftChars="10" w:right="24" w:rightChars="10"/>
              <w:textAlignment w:val="baseline"/>
              <w:rPr>
                <w:rFonts w:cs="宋体"/>
                <w:szCs w:val="21"/>
              </w:rPr>
            </w:pPr>
            <w:r>
              <w:rPr>
                <w:rFonts w:hint="eastAsia" w:cs="宋体"/>
                <w:szCs w:val="21"/>
              </w:rPr>
              <w:t>②</w:t>
            </w:r>
            <w:r>
              <w:rPr>
                <w:rFonts w:hint="eastAsia" w:cs="宋体"/>
                <w:szCs w:val="21"/>
                <w:lang w:val="zh-CN"/>
              </w:rPr>
              <w:t>供应商</w:t>
            </w:r>
            <w:r>
              <w:rPr>
                <w:rFonts w:hint="eastAsia" w:cs="宋体"/>
                <w:szCs w:val="21"/>
              </w:rPr>
              <w:t>应当在法定质疑期内一次性提出针对同一采购程序环节的质疑。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0"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rPr>
              <w:t>供应商投诉</w:t>
            </w:r>
          </w:p>
        </w:tc>
        <w:tc>
          <w:tcPr>
            <w:tcW w:w="7061" w:type="dxa"/>
          </w:tcPr>
          <w:p>
            <w:pPr>
              <w:pStyle w:val="42"/>
              <w:ind w:left="24" w:leftChars="10" w:right="24" w:rightChars="10"/>
              <w:textAlignment w:val="baseline"/>
              <w:rPr>
                <w:rFonts w:cs="宋体"/>
                <w:szCs w:val="21"/>
              </w:rPr>
            </w:pPr>
            <w:r>
              <w:rPr>
                <w:rFonts w:hint="eastAsia" w:cs="宋体"/>
                <w:szCs w:val="21"/>
              </w:rPr>
              <w:t>投诉受理部门：</w:t>
            </w:r>
            <w:r>
              <w:rPr>
                <w:rFonts w:hint="eastAsia" w:cs="宋体"/>
                <w:lang w:eastAsia="zh-CN"/>
              </w:rPr>
              <w:t>成都市技师学院</w:t>
            </w:r>
            <w:r>
              <w:rPr>
                <w:rFonts w:hint="eastAsia" w:cs="宋体"/>
                <w:szCs w:val="21"/>
              </w:rPr>
              <w:t>纪检监察处</w:t>
            </w:r>
          </w:p>
          <w:p>
            <w:pPr>
              <w:pStyle w:val="42"/>
              <w:ind w:left="24" w:leftChars="10" w:right="24" w:rightChars="10"/>
              <w:textAlignment w:val="baseline"/>
              <w:rPr>
                <w:rFonts w:cs="宋体"/>
                <w:szCs w:val="21"/>
              </w:rPr>
            </w:pPr>
            <w:r>
              <w:rPr>
                <w:rFonts w:hint="eastAsia" w:cs="宋体"/>
                <w:szCs w:val="21"/>
              </w:rPr>
              <w:t>联系电话：028-64907543</w:t>
            </w:r>
          </w:p>
          <w:p>
            <w:pPr>
              <w:pStyle w:val="42"/>
              <w:ind w:left="24" w:leftChars="10" w:right="24" w:rightChars="10"/>
              <w:textAlignment w:val="baseline"/>
              <w:rPr>
                <w:rFonts w:cs="宋体"/>
                <w:szCs w:val="21"/>
              </w:rPr>
            </w:pPr>
            <w:r>
              <w:rPr>
                <w:rFonts w:hint="eastAsia" w:cs="宋体"/>
                <w:szCs w:val="21"/>
              </w:rPr>
              <w:t>地址：成都市郫都区红光街道港通北3路1899号</w:t>
            </w:r>
          </w:p>
          <w:p>
            <w:pPr>
              <w:pStyle w:val="42"/>
              <w:ind w:left="24" w:leftChars="10" w:right="24" w:rightChars="10"/>
              <w:textAlignment w:val="baseline"/>
              <w:rPr>
                <w:rFonts w:cs="宋体"/>
                <w:szCs w:val="21"/>
              </w:rPr>
            </w:pPr>
            <w:r>
              <w:rPr>
                <w:rFonts w:hint="eastAsia" w:cs="宋体"/>
                <w:szCs w:val="21"/>
              </w:rPr>
              <w:t>邮编：611700</w:t>
            </w:r>
          </w:p>
          <w:p>
            <w:pPr>
              <w:pStyle w:val="42"/>
              <w:ind w:left="24" w:leftChars="10" w:right="24" w:rightChars="10"/>
              <w:textAlignment w:val="baseline"/>
              <w:rPr>
                <w:rFonts w:cs="宋体"/>
                <w:szCs w:val="21"/>
                <w:lang w:val="zh-CN"/>
              </w:rPr>
            </w:pPr>
            <w:r>
              <w:rPr>
                <w:rFonts w:hint="eastAsia" w:cs="宋体"/>
                <w:szCs w:val="21"/>
              </w:rPr>
              <w:t>注：供应商投诉应当有明确的请求和必要的证明材料。供应商投诉的事项不得超出已质疑事项的范围，须符合《政府采购质疑和投诉办法》(财政部第94号令)规定，并使用财政部下发《投诉书》范本。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rPr>
            </w:pPr>
            <w:r>
              <w:rPr>
                <w:rFonts w:hint="eastAsia" w:cs="宋体"/>
                <w:szCs w:val="21"/>
              </w:rPr>
              <w:t>竞争性磋商费用</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无论竞争性磋商的结果如何，供应商自行承担所有与参加竞争性磋商有关的全部费用。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声明承诺提醒</w:t>
            </w:r>
          </w:p>
        </w:tc>
        <w:tc>
          <w:tcPr>
            <w:tcW w:w="7061" w:type="dxa"/>
            <w:vAlign w:val="center"/>
          </w:tcPr>
          <w:p>
            <w:pPr>
              <w:pStyle w:val="42"/>
              <w:ind w:left="24" w:leftChars="10" w:right="24" w:rightChars="10"/>
              <w:rPr>
                <w:rFonts w:cs="宋体"/>
                <w:szCs w:val="21"/>
                <w:lang w:val="zh-CN"/>
              </w:rPr>
            </w:pPr>
            <w:r>
              <w:rPr>
                <w:rFonts w:hint="eastAsia" w:cs="宋体"/>
                <w:szCs w:val="21"/>
                <w:lang w:val="zh-CN"/>
              </w:rPr>
              <w:t>供应商响应文件中提供的各种声明和承诺应当真实有效，无效声明和承诺、虚假声明和承诺将由供应商</w:t>
            </w:r>
            <w:r>
              <w:rPr>
                <w:rFonts w:hint="eastAsia" w:cs="宋体"/>
                <w:szCs w:val="21"/>
              </w:rPr>
              <w:t>自行</w:t>
            </w:r>
            <w:r>
              <w:rPr>
                <w:rFonts w:hint="eastAsia" w:cs="宋体"/>
                <w:szCs w:val="21"/>
                <w:lang w:val="zh-CN"/>
              </w:rPr>
              <w:t>承担由此带来的</w:t>
            </w:r>
            <w:r>
              <w:rPr>
                <w:rFonts w:hint="eastAsia" w:cs="宋体"/>
                <w:szCs w:val="21"/>
              </w:rPr>
              <w:t>一切</w:t>
            </w:r>
            <w:r>
              <w:rPr>
                <w:rFonts w:hint="eastAsia" w:cs="宋体"/>
                <w:szCs w:val="21"/>
                <w:lang w:val="zh-CN"/>
              </w:rPr>
              <w:t>不利后果，</w:t>
            </w:r>
            <w:r>
              <w:rPr>
                <w:rFonts w:hint="eastAsia" w:cs="宋体"/>
                <w:szCs w:val="21"/>
              </w:rPr>
              <w:t>采购代理机构</w:t>
            </w:r>
            <w:r>
              <w:rPr>
                <w:rFonts w:hint="eastAsia" w:cs="宋体"/>
                <w:szCs w:val="21"/>
                <w:lang w:val="zh-CN"/>
              </w:rPr>
              <w:t>还将报告监管部门追究</w:t>
            </w:r>
            <w:r>
              <w:rPr>
                <w:rFonts w:hint="eastAsia" w:cs="宋体"/>
                <w:szCs w:val="21"/>
              </w:rPr>
              <w:t>其</w:t>
            </w:r>
            <w:r>
              <w:rPr>
                <w:rFonts w:hint="eastAsia" w:cs="宋体"/>
                <w:szCs w:val="21"/>
                <w:lang w:val="zh-CN"/>
              </w:rPr>
              <w:t>法律责任。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rPr>
              <w:t>备注</w:t>
            </w:r>
          </w:p>
        </w:tc>
        <w:tc>
          <w:tcPr>
            <w:tcW w:w="7061" w:type="dxa"/>
            <w:vAlign w:val="center"/>
          </w:tcPr>
          <w:p>
            <w:pPr>
              <w:pStyle w:val="42"/>
              <w:ind w:left="24" w:leftChars="10" w:right="24" w:rightChars="10"/>
              <w:rPr>
                <w:rFonts w:cs="宋体"/>
                <w:szCs w:val="21"/>
                <w:lang w:val="zh-CN"/>
              </w:rPr>
            </w:pPr>
            <w:r>
              <w:rPr>
                <w:rFonts w:hint="eastAsia" w:cs="宋体"/>
                <w:szCs w:val="21"/>
                <w:lang w:val="zh-CN"/>
              </w:rPr>
              <w:t>若竞争性磋商文件中其他内容与磋商须知前附表内容不一致的，以磋商须知前附表为准。</w:t>
            </w:r>
          </w:p>
        </w:tc>
      </w:tr>
    </w:tbl>
    <w:p>
      <w:pPr>
        <w:pStyle w:val="35"/>
        <w:spacing w:before="120" w:beforeLines="50" w:after="120" w:afterLines="50"/>
        <w:ind w:firstLine="0" w:firstLineChars="0"/>
        <w:jc w:val="center"/>
        <w:rPr>
          <w:sz w:val="36"/>
          <w:szCs w:val="36"/>
        </w:rPr>
      </w:pPr>
      <w:r>
        <w:rPr>
          <w:rFonts w:hint="eastAsia"/>
        </w:rPr>
        <w:br w:type="page"/>
      </w:r>
      <w:bookmarkStart w:id="21" w:name="_Toc12566"/>
      <w:bookmarkStart w:id="22" w:name="_Toc24996"/>
      <w:r>
        <w:rPr>
          <w:rFonts w:hint="eastAsia"/>
          <w:sz w:val="36"/>
          <w:szCs w:val="36"/>
        </w:rPr>
        <w:t>总则</w:t>
      </w:r>
      <w:bookmarkEnd w:id="21"/>
      <w:bookmarkEnd w:id="22"/>
    </w:p>
    <w:tbl>
      <w:tblPr>
        <w:tblStyle w:val="23"/>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1753"/>
        <w:gridCol w:w="73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622" w:type="dxa"/>
            <w:vAlign w:val="center"/>
          </w:tcPr>
          <w:p>
            <w:pPr>
              <w:pStyle w:val="45"/>
              <w:ind w:left="24" w:leftChars="10" w:right="240" w:rightChars="100"/>
              <w:rPr>
                <w:szCs w:val="21"/>
              </w:rPr>
            </w:pPr>
            <w:r>
              <w:rPr>
                <w:rFonts w:hint="eastAsia"/>
                <w:b/>
                <w:bCs/>
                <w:szCs w:val="21"/>
                <w:lang w:val="zh-CN"/>
              </w:rPr>
              <w:t>序号</w:t>
            </w:r>
          </w:p>
        </w:tc>
        <w:tc>
          <w:tcPr>
            <w:tcW w:w="1753" w:type="dxa"/>
            <w:vAlign w:val="center"/>
          </w:tcPr>
          <w:p>
            <w:pPr>
              <w:pStyle w:val="45"/>
              <w:ind w:left="24" w:leftChars="10" w:right="240" w:rightChars="100"/>
              <w:rPr>
                <w:szCs w:val="21"/>
                <w:lang w:val="zh-CN"/>
              </w:rPr>
            </w:pPr>
            <w:r>
              <w:rPr>
                <w:rFonts w:hint="eastAsia"/>
                <w:b/>
                <w:bCs/>
                <w:szCs w:val="21"/>
                <w:lang w:val="zh-CN"/>
              </w:rPr>
              <w:t>事项</w:t>
            </w:r>
          </w:p>
        </w:tc>
        <w:tc>
          <w:tcPr>
            <w:tcW w:w="7328" w:type="dxa"/>
            <w:vAlign w:val="center"/>
          </w:tcPr>
          <w:p>
            <w:pPr>
              <w:pStyle w:val="45"/>
              <w:ind w:left="24" w:leftChars="10" w:right="240" w:rightChars="100"/>
              <w:rPr>
                <w:szCs w:val="21"/>
                <w:lang w:val="zh-CN"/>
              </w:rPr>
            </w:pPr>
            <w:r>
              <w:rPr>
                <w:rFonts w:hint="eastAsia"/>
                <w:b/>
                <w:bCs/>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1</w:t>
            </w:r>
          </w:p>
        </w:tc>
        <w:tc>
          <w:tcPr>
            <w:tcW w:w="1753" w:type="dxa"/>
            <w:vAlign w:val="center"/>
          </w:tcPr>
          <w:p>
            <w:pPr>
              <w:pStyle w:val="45"/>
              <w:ind w:left="24" w:leftChars="10" w:right="240" w:rightChars="100"/>
              <w:rPr>
                <w:szCs w:val="21"/>
                <w:lang w:val="zh-CN"/>
              </w:rPr>
            </w:pPr>
            <w:r>
              <w:rPr>
                <w:rFonts w:hint="eastAsia"/>
                <w:szCs w:val="21"/>
                <w:lang w:val="zh-CN"/>
              </w:rPr>
              <w:t>适用范围</w:t>
            </w:r>
          </w:p>
        </w:tc>
        <w:tc>
          <w:tcPr>
            <w:tcW w:w="7328" w:type="dxa"/>
            <w:vAlign w:val="center"/>
          </w:tcPr>
          <w:p>
            <w:pPr>
              <w:pStyle w:val="42"/>
              <w:ind w:left="24" w:leftChars="10" w:right="240" w:rightChars="100"/>
              <w:rPr>
                <w:szCs w:val="21"/>
              </w:rPr>
            </w:pPr>
            <w:r>
              <w:rPr>
                <w:rFonts w:hint="eastAsia"/>
                <w:szCs w:val="21"/>
              </w:rPr>
              <w:t>1.</w:t>
            </w:r>
            <w:r>
              <w:rPr>
                <w:rFonts w:hint="eastAsia"/>
                <w:szCs w:val="21"/>
                <w:lang w:val="zh-CN"/>
              </w:rPr>
              <w:t>本竞争性磋商文件(亦</w:t>
            </w:r>
            <w:r>
              <w:rPr>
                <w:rFonts w:hint="eastAsia"/>
                <w:szCs w:val="21"/>
              </w:rPr>
              <w:t>简称“磋商文件”或“采购文件”</w:t>
            </w:r>
            <w:r>
              <w:rPr>
                <w:rFonts w:hint="eastAsia"/>
                <w:szCs w:val="21"/>
                <w:lang w:val="zh-CN"/>
              </w:rPr>
              <w:t>)仅适用于</w:t>
            </w:r>
            <w:r>
              <w:rPr>
                <w:rFonts w:hint="eastAsia"/>
                <w:szCs w:val="21"/>
              </w:rPr>
              <w:t>本次磋商</w:t>
            </w:r>
            <w:r>
              <w:rPr>
                <w:rFonts w:hint="eastAsia"/>
                <w:szCs w:val="21"/>
                <w:lang w:val="zh-CN"/>
              </w:rPr>
              <w:t>采购</w:t>
            </w:r>
            <w:r>
              <w:rPr>
                <w:rFonts w:hint="eastAsia"/>
                <w:szCs w:val="21"/>
              </w:rPr>
              <w:t>项目。</w:t>
            </w:r>
          </w:p>
          <w:p>
            <w:pPr>
              <w:pStyle w:val="42"/>
              <w:ind w:left="24" w:leftChars="10" w:right="240" w:rightChars="100"/>
              <w:rPr>
                <w:szCs w:val="21"/>
                <w:lang w:val="zh-CN"/>
              </w:rPr>
            </w:pPr>
            <w:r>
              <w:rPr>
                <w:rFonts w:hint="eastAsia"/>
                <w:szCs w:val="21"/>
                <w:lang w:val="zh-CN"/>
              </w:rPr>
              <w:t>2.本竞争性</w:t>
            </w:r>
            <w:r>
              <w:rPr>
                <w:rFonts w:hint="eastAsia"/>
                <w:szCs w:val="21"/>
              </w:rPr>
              <w:t>磋商</w:t>
            </w:r>
            <w:r>
              <w:rPr>
                <w:rFonts w:hint="eastAsia"/>
                <w:szCs w:val="21"/>
                <w:lang w:val="zh-CN"/>
              </w:rPr>
              <w:t>文件中的</w:t>
            </w:r>
            <w:r>
              <w:rPr>
                <w:rFonts w:hint="eastAsia"/>
                <w:szCs w:val="21"/>
              </w:rPr>
              <w:t>响应文件</w:t>
            </w:r>
            <w:r>
              <w:rPr>
                <w:rFonts w:hint="eastAsia"/>
                <w:szCs w:val="21"/>
                <w:lang w:val="zh-CN"/>
              </w:rPr>
              <w:t>，仅适用于本采购项目。</w:t>
            </w:r>
          </w:p>
          <w:p>
            <w:pPr>
              <w:pStyle w:val="42"/>
              <w:ind w:left="24" w:leftChars="10" w:right="240" w:rightChars="100"/>
              <w:rPr>
                <w:szCs w:val="21"/>
                <w:lang w:val="zh-CN"/>
              </w:rPr>
            </w:pPr>
            <w:r>
              <w:rPr>
                <w:rFonts w:hint="eastAsia"/>
                <w:szCs w:val="21"/>
              </w:rPr>
              <w:t>3.</w:t>
            </w:r>
            <w:r>
              <w:rPr>
                <w:rFonts w:hint="eastAsia"/>
                <w:szCs w:val="21"/>
                <w:lang w:val="zh-CN"/>
              </w:rPr>
              <w:t>本竞争性</w:t>
            </w:r>
            <w:r>
              <w:rPr>
                <w:rFonts w:hint="eastAsia"/>
                <w:szCs w:val="21"/>
              </w:rPr>
              <w:t>磋商</w:t>
            </w:r>
            <w:r>
              <w:rPr>
                <w:rFonts w:hint="eastAsia"/>
                <w:szCs w:val="21"/>
                <w:lang w:val="zh-CN"/>
              </w:rPr>
              <w:t>文件中的</w:t>
            </w:r>
            <w:r>
              <w:rPr>
                <w:rFonts w:hint="eastAsia"/>
                <w:szCs w:val="21"/>
              </w:rPr>
              <w:t>磋商</w:t>
            </w:r>
            <w:r>
              <w:rPr>
                <w:rFonts w:hint="eastAsia"/>
                <w:szCs w:val="21"/>
                <w:lang w:val="zh-CN"/>
              </w:rPr>
              <w:t>小组(亦可称为“评审委员会”)，仅适用于本采购项目。</w:t>
            </w:r>
          </w:p>
          <w:p>
            <w:pPr>
              <w:pStyle w:val="42"/>
              <w:ind w:left="24" w:leftChars="10" w:right="240" w:rightChars="100"/>
              <w:rPr>
                <w:szCs w:val="21"/>
              </w:rPr>
            </w:pPr>
            <w:r>
              <w:rPr>
                <w:rFonts w:hint="eastAsia"/>
                <w:szCs w:val="21"/>
              </w:rPr>
              <w:t>4</w:t>
            </w:r>
            <w:r>
              <w:rPr>
                <w:rFonts w:hint="eastAsia"/>
                <w:szCs w:val="21"/>
                <w:lang w:val="zh-CN"/>
              </w:rPr>
              <w:t>.本</w:t>
            </w:r>
            <w:r>
              <w:rPr>
                <w:rFonts w:hint="eastAsia"/>
                <w:szCs w:val="21"/>
              </w:rPr>
              <w:t>磋商</w:t>
            </w:r>
            <w:r>
              <w:rPr>
                <w:rFonts w:hint="eastAsia"/>
                <w:szCs w:val="21"/>
                <w:lang w:val="zh-CN"/>
              </w:rPr>
              <w:t>文件的解释权归采购人和采购代理机构所有。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2</w:t>
            </w:r>
          </w:p>
        </w:tc>
        <w:tc>
          <w:tcPr>
            <w:tcW w:w="1753" w:type="dxa"/>
            <w:vAlign w:val="center"/>
          </w:tcPr>
          <w:p>
            <w:pPr>
              <w:pStyle w:val="45"/>
              <w:ind w:left="24" w:leftChars="10" w:right="240" w:rightChars="100"/>
              <w:rPr>
                <w:szCs w:val="21"/>
              </w:rPr>
            </w:pPr>
            <w:r>
              <w:rPr>
                <w:rFonts w:hint="eastAsia"/>
                <w:szCs w:val="21"/>
              </w:rPr>
              <w:t>采购主体</w:t>
            </w:r>
          </w:p>
        </w:tc>
        <w:tc>
          <w:tcPr>
            <w:tcW w:w="7328" w:type="dxa"/>
            <w:vAlign w:val="center"/>
          </w:tcPr>
          <w:p>
            <w:pPr>
              <w:pStyle w:val="42"/>
              <w:ind w:left="24" w:leftChars="10" w:right="240" w:rightChars="100"/>
              <w:rPr>
                <w:szCs w:val="21"/>
              </w:rPr>
            </w:pPr>
            <w:r>
              <w:rPr>
                <w:rFonts w:hint="eastAsia"/>
                <w:szCs w:val="21"/>
              </w:rPr>
              <w:t>1.“采购人”系指</w:t>
            </w:r>
            <w:r>
              <w:rPr>
                <w:rFonts w:hint="eastAsia" w:cs="宋体"/>
                <w:szCs w:val="21"/>
                <w:lang w:eastAsia="zh-CN"/>
              </w:rPr>
              <w:t>成都市技师学院</w:t>
            </w:r>
            <w:r>
              <w:rPr>
                <w:rFonts w:hint="eastAsia"/>
                <w:szCs w:val="21"/>
              </w:rPr>
              <w:t>。</w:t>
            </w:r>
          </w:p>
          <w:p>
            <w:pPr>
              <w:pStyle w:val="42"/>
              <w:ind w:left="24" w:leftChars="10" w:right="240" w:rightChars="100"/>
              <w:rPr>
                <w:szCs w:val="21"/>
              </w:rPr>
            </w:pPr>
            <w:r>
              <w:rPr>
                <w:rFonts w:hint="eastAsia"/>
                <w:szCs w:val="21"/>
              </w:rPr>
              <w:t>2.“供应商”系指获取了竞争性磋商文件拟参加磋商和向采购人提供相应服务的法人、其他组织或者自然人。</w:t>
            </w:r>
          </w:p>
          <w:p>
            <w:pPr>
              <w:pStyle w:val="42"/>
              <w:ind w:left="24" w:leftChars="10" w:right="240" w:rightChars="100"/>
              <w:rPr>
                <w:szCs w:val="21"/>
              </w:rPr>
            </w:pPr>
            <w:r>
              <w:rPr>
                <w:rFonts w:hint="eastAsia"/>
                <w:szCs w:val="21"/>
              </w:rPr>
              <w:t>3.“采购代理机构”系指根据采购人的委托依法办理采购事宜的采购机构。本次竞争性磋商的采购代理机构是四川乾新招投标代理有限公司。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3</w:t>
            </w:r>
          </w:p>
        </w:tc>
        <w:tc>
          <w:tcPr>
            <w:tcW w:w="1753" w:type="dxa"/>
            <w:vAlign w:val="center"/>
          </w:tcPr>
          <w:p>
            <w:pPr>
              <w:pStyle w:val="45"/>
              <w:ind w:left="24" w:leftChars="10" w:right="240" w:rightChars="100"/>
              <w:rPr>
                <w:szCs w:val="21"/>
              </w:rPr>
            </w:pPr>
            <w:r>
              <w:rPr>
                <w:rFonts w:hint="eastAsia"/>
                <w:szCs w:val="21"/>
              </w:rPr>
              <w:t>合格供应商条件</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1.不属于禁止参加本项目采购活动的供应商。</w:t>
            </w:r>
          </w:p>
          <w:p>
            <w:pPr>
              <w:pStyle w:val="42"/>
              <w:ind w:left="24" w:leftChars="10" w:right="240" w:rightChars="100"/>
              <w:rPr>
                <w:szCs w:val="21"/>
              </w:rPr>
            </w:pPr>
            <w:r>
              <w:rPr>
                <w:rFonts w:hint="eastAsia"/>
                <w:szCs w:val="21"/>
              </w:rPr>
              <w:t>2.遵守国家有关的法律、法规、规章和其他政策制度。</w:t>
            </w:r>
          </w:p>
          <w:p>
            <w:pPr>
              <w:pStyle w:val="42"/>
              <w:ind w:left="24" w:leftChars="10" w:right="240" w:rightChars="100"/>
              <w:rPr>
                <w:szCs w:val="21"/>
              </w:rPr>
            </w:pPr>
            <w:r>
              <w:rPr>
                <w:rFonts w:hint="eastAsia"/>
                <w:szCs w:val="21"/>
              </w:rPr>
              <w:t>3.依法通过</w:t>
            </w:r>
            <w:r>
              <w:rPr>
                <w:rFonts w:hint="eastAsia" w:cs="宋体"/>
                <w:szCs w:val="21"/>
              </w:rPr>
              <w:t>采购代理机构</w:t>
            </w:r>
            <w:r>
              <w:rPr>
                <w:rFonts w:hint="eastAsia"/>
                <w:szCs w:val="21"/>
              </w:rPr>
              <w:t>获取了磋商文件并完成报名登记。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4</w:t>
            </w:r>
          </w:p>
        </w:tc>
        <w:tc>
          <w:tcPr>
            <w:tcW w:w="1753" w:type="dxa"/>
            <w:vAlign w:val="center"/>
          </w:tcPr>
          <w:p>
            <w:pPr>
              <w:pStyle w:val="45"/>
              <w:ind w:left="24" w:leftChars="10" w:right="240" w:rightChars="100"/>
              <w:rPr>
                <w:szCs w:val="21"/>
              </w:rPr>
            </w:pPr>
            <w:r>
              <w:rPr>
                <w:rFonts w:hint="eastAsia"/>
                <w:szCs w:val="21"/>
              </w:rPr>
              <w:t>充分、公平竞争保障措施</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参照《关于在政府采购活动中查询及使用信用记录有关问题的通知》(财库〔2016〕125号)等文件要求，采购代理机构将通过“信用中国”网站(www.creditchina.gov.cn)、“中国政府采购网”网站(www.ccgp.gov.cn)等渠道查询供应商的信用记录并保存信用记录结果网页截图，拒绝列入失信被执行人名单、重大税收违法案件当事人名单(重大税收违法失信主体)、政府采购严重违法失信行为记录名单中的供应商参加本项目的采购活动。</w:t>
            </w:r>
          </w:p>
          <w:p>
            <w:pPr>
              <w:pStyle w:val="42"/>
              <w:ind w:left="24" w:leftChars="10" w:right="240" w:rightChars="100"/>
              <w:rPr>
                <w:szCs w:val="21"/>
              </w:rPr>
            </w:pPr>
            <w:r>
              <w:rPr>
                <w:rFonts w:hint="eastAsia"/>
                <w:szCs w:val="21"/>
              </w:rPr>
              <w:t>2.利害关系供应商处理。单位负责人为同一人或者存在直接控股、管理关系的不同供应商不得参加同一合同项下的采购活动。</w:t>
            </w:r>
          </w:p>
          <w:p>
            <w:pPr>
              <w:pStyle w:val="42"/>
              <w:ind w:left="24" w:leftChars="10" w:right="240" w:rightChars="100"/>
              <w:rPr>
                <w:szCs w:val="21"/>
              </w:rPr>
            </w:pPr>
            <w:r>
              <w:rPr>
                <w:rFonts w:hint="eastAsia"/>
                <w:szCs w:val="21"/>
              </w:rPr>
              <w:t>3.前期参与供应商处理。为采购项目提供整体设计、规范编制或者项目管理、监理、检测等服务的供应商，不得再参加该采购项目的其他采购活动。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pPr>
              <w:pStyle w:val="42"/>
              <w:ind w:left="24" w:leftChars="10" w:right="240" w:rightChars="100"/>
              <w:rPr>
                <w:b/>
                <w:bCs/>
                <w:szCs w:val="21"/>
              </w:rPr>
            </w:pPr>
            <w:r>
              <w:rPr>
                <w:rFonts w:hint="eastAsia"/>
                <w:b/>
                <w:bCs/>
                <w:szCs w:val="21"/>
              </w:rPr>
              <w:t>注：本项目无符合本条规定的供应商。</w:t>
            </w:r>
          </w:p>
          <w:p>
            <w:pPr>
              <w:pStyle w:val="42"/>
              <w:ind w:left="24" w:leftChars="10" w:right="240" w:rightChars="100"/>
              <w:rPr>
                <w:szCs w:val="21"/>
              </w:rPr>
            </w:pPr>
            <w:r>
              <w:rPr>
                <w:rFonts w:hint="eastAsia"/>
                <w:szCs w:val="21"/>
              </w:rPr>
              <w:t>4.利害关系代理人处理。2家以上的供应商不得在同一合同项下的采购项目中，同时委托同一个自然人、同一家庭的人员、同一单位的人员作为其代理人，否则，其响应文件作为无效处理。</w:t>
            </w:r>
          </w:p>
          <w:p>
            <w:pPr>
              <w:pStyle w:val="42"/>
              <w:ind w:left="24" w:leftChars="10" w:right="240" w:rightChars="100"/>
              <w:rPr>
                <w:szCs w:val="21"/>
              </w:rPr>
            </w:pPr>
            <w:r>
              <w:rPr>
                <w:rFonts w:hint="eastAsia"/>
                <w:szCs w:val="21"/>
              </w:rPr>
              <w:t>5.供应商实际控制人或者中高级管理人员，同时是采购代理机构工作人员，不得参与本项目采购活动。</w:t>
            </w:r>
          </w:p>
          <w:p>
            <w:pPr>
              <w:pStyle w:val="42"/>
              <w:ind w:left="24" w:leftChars="10" w:right="240" w:rightChars="100"/>
              <w:rPr>
                <w:szCs w:val="21"/>
              </w:rPr>
            </w:pPr>
            <w:r>
              <w:rPr>
                <w:rFonts w:hint="eastAsia"/>
                <w:szCs w:val="21"/>
              </w:rPr>
              <w:t>6.同一母公司的两家以上的子公司只能组成联合体参加本项目同一合同项下的采购活动，不得以不同供应商身份同时参加本项目同一合同项下的采购活动。</w:t>
            </w:r>
          </w:p>
          <w:p>
            <w:pPr>
              <w:pStyle w:val="42"/>
              <w:ind w:left="24" w:leftChars="10" w:right="240" w:rightChars="100"/>
              <w:rPr>
                <w:szCs w:val="21"/>
              </w:rPr>
            </w:pPr>
            <w:r>
              <w:rPr>
                <w:rFonts w:hint="eastAsia"/>
                <w:szCs w:val="21"/>
              </w:rPr>
              <w:t>7.供应商与采购代理机构存在关联关系，或者是采购代理机构的母公司或子公司，不得参加本项目采购活动。</w:t>
            </w:r>
          </w:p>
          <w:p>
            <w:pPr>
              <w:pStyle w:val="42"/>
              <w:ind w:left="24" w:leftChars="10" w:right="240" w:rightChars="100"/>
              <w:rPr>
                <w:szCs w:val="21"/>
              </w:rPr>
            </w:pPr>
            <w:r>
              <w:rPr>
                <w:rFonts w:hint="eastAsia"/>
                <w:szCs w:val="21"/>
              </w:rPr>
              <w:t>8.回避。采购活动中，采购人员及相关人员与供应商有下列利害关系之一的，应当回避：</w:t>
            </w:r>
          </w:p>
          <w:p>
            <w:pPr>
              <w:pStyle w:val="42"/>
              <w:ind w:left="24" w:leftChars="10" w:right="240" w:rightChars="100"/>
              <w:rPr>
                <w:szCs w:val="21"/>
              </w:rPr>
            </w:pPr>
            <w:r>
              <w:rPr>
                <w:rFonts w:hint="eastAsia"/>
                <w:szCs w:val="21"/>
              </w:rPr>
              <w:t>(1)参加采购活动前3年内与供应商存在劳动关系；</w:t>
            </w:r>
          </w:p>
          <w:p>
            <w:pPr>
              <w:pStyle w:val="42"/>
              <w:ind w:left="24" w:leftChars="10" w:right="240" w:rightChars="100"/>
              <w:rPr>
                <w:szCs w:val="21"/>
              </w:rPr>
            </w:pPr>
            <w:r>
              <w:rPr>
                <w:rFonts w:hint="eastAsia"/>
                <w:szCs w:val="21"/>
              </w:rPr>
              <w:t>(2)参加采购活动前3年内担任供应商的董事、监事；</w:t>
            </w:r>
          </w:p>
          <w:p>
            <w:pPr>
              <w:pStyle w:val="42"/>
              <w:ind w:left="24" w:leftChars="10" w:right="240" w:rightChars="100"/>
              <w:rPr>
                <w:szCs w:val="21"/>
              </w:rPr>
            </w:pPr>
            <w:r>
              <w:rPr>
                <w:rFonts w:hint="eastAsia"/>
                <w:szCs w:val="21"/>
              </w:rPr>
              <w:t>(3)参加采购活动前3年内是供应商的控股股东或者实际控制人；</w:t>
            </w:r>
          </w:p>
          <w:p>
            <w:pPr>
              <w:pStyle w:val="42"/>
              <w:ind w:left="24" w:leftChars="10" w:right="240" w:rightChars="100"/>
              <w:rPr>
                <w:szCs w:val="21"/>
              </w:rPr>
            </w:pPr>
            <w:r>
              <w:rPr>
                <w:rFonts w:hint="eastAsia"/>
                <w:szCs w:val="21"/>
              </w:rPr>
              <w:t>(4)与供应商的法定代表人或者负责人有夫妻、直系血亲、三代以内旁系血亲或者近姻亲关系；</w:t>
            </w:r>
          </w:p>
          <w:p>
            <w:pPr>
              <w:pStyle w:val="42"/>
              <w:ind w:left="24" w:leftChars="10" w:right="240" w:rightChars="100"/>
              <w:rPr>
                <w:szCs w:val="21"/>
              </w:rPr>
            </w:pPr>
            <w:r>
              <w:rPr>
                <w:rFonts w:hint="eastAsia"/>
                <w:szCs w:val="21"/>
              </w:rPr>
              <w:t>(5)与供应商有其他可能影响采购活动公平、公正进行的关系。</w:t>
            </w:r>
          </w:p>
          <w:p>
            <w:pPr>
              <w:pStyle w:val="42"/>
              <w:ind w:left="24" w:leftChars="10" w:right="240" w:rightChars="100"/>
              <w:rPr>
                <w:szCs w:val="21"/>
              </w:rPr>
            </w:pPr>
            <w:r>
              <w:rPr>
                <w:rFonts w:hint="eastAsia"/>
                <w:szCs w:val="21"/>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42"/>
              <w:ind w:left="24" w:leftChars="10" w:right="240" w:rightChars="100"/>
              <w:rPr>
                <w:szCs w:val="21"/>
              </w:rPr>
            </w:pPr>
            <w:r>
              <w:rPr>
                <w:rFonts w:hint="eastAsia"/>
                <w:szCs w:val="21"/>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2"/>
              <w:ind w:left="24" w:leftChars="10" w:right="240" w:rightChars="100"/>
              <w:rPr>
                <w:szCs w:val="21"/>
              </w:rPr>
            </w:pPr>
            <w:r>
              <w:rPr>
                <w:rFonts w:hint="eastAsia"/>
                <w:szCs w:val="21"/>
              </w:rPr>
              <w:t>注：按照相关法律法规规定，负责人是指单位法定代表人或者法律、行政法规规定代表单位行使职权的主要负责人。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管理关系是指与不具有出资持股关系的单位之间存在的其他管理与被管理关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5</w:t>
            </w:r>
          </w:p>
        </w:tc>
        <w:tc>
          <w:tcPr>
            <w:tcW w:w="1753" w:type="dxa"/>
            <w:vAlign w:val="center"/>
          </w:tcPr>
          <w:p>
            <w:pPr>
              <w:pStyle w:val="45"/>
              <w:ind w:left="24" w:leftChars="10" w:right="240" w:rightChars="100"/>
              <w:rPr>
                <w:szCs w:val="21"/>
              </w:rPr>
            </w:pPr>
            <w:r>
              <w:rPr>
                <w:rFonts w:hint="eastAsia"/>
                <w:szCs w:val="21"/>
              </w:rPr>
              <w:t>磋商有效期</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pPr>
              <w:pStyle w:val="42"/>
              <w:ind w:left="24" w:leftChars="10" w:right="240" w:rightChars="100"/>
              <w:rPr>
                <w:szCs w:val="21"/>
              </w:rPr>
            </w:pPr>
            <w:r>
              <w:rPr>
                <w:rFonts w:hint="eastAsia"/>
                <w:szCs w:val="21"/>
              </w:rPr>
              <w:t>2.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42"/>
              <w:ind w:left="24" w:leftChars="10" w:right="240" w:rightChars="100"/>
              <w:rPr>
                <w:szCs w:val="21"/>
              </w:rPr>
            </w:pPr>
            <w:r>
              <w:rPr>
                <w:rFonts w:hint="eastAsia"/>
                <w:szCs w:val="21"/>
              </w:rPr>
              <w:t>3.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6</w:t>
            </w:r>
          </w:p>
        </w:tc>
        <w:tc>
          <w:tcPr>
            <w:tcW w:w="1753" w:type="dxa"/>
            <w:vAlign w:val="center"/>
          </w:tcPr>
          <w:p>
            <w:pPr>
              <w:pStyle w:val="45"/>
              <w:ind w:left="24" w:leftChars="10" w:right="240" w:rightChars="100"/>
              <w:rPr>
                <w:szCs w:val="21"/>
              </w:rPr>
            </w:pPr>
            <w:r>
              <w:rPr>
                <w:rFonts w:hint="eastAsia"/>
                <w:szCs w:val="21"/>
              </w:rPr>
              <w:t>其他</w:t>
            </w:r>
          </w:p>
        </w:tc>
        <w:tc>
          <w:tcPr>
            <w:tcW w:w="7328" w:type="dxa"/>
            <w:vAlign w:val="center"/>
          </w:tcPr>
          <w:p>
            <w:pPr>
              <w:pStyle w:val="42"/>
              <w:ind w:left="24" w:leftChars="10" w:right="240" w:rightChars="100"/>
              <w:rPr>
                <w:szCs w:val="21"/>
              </w:rPr>
            </w:pPr>
            <w:r>
              <w:rPr>
                <w:rFonts w:hint="eastAsia"/>
                <w:szCs w:val="21"/>
              </w:rPr>
              <w:t>1.本竞争性磋商文件各部分规定的期间以时、日、月、年计算。期间开始的时和日，不计算在期间内，从次日开始计算。期限的最后一日是国家法定节假日的，顺延到节假日后的次日为期限的最后一日。采购文件涉及的法律法规中所称的“以上”、“以下”、“内”、“以内”，包括本数；所称的“不足”，不包括本数。</w:t>
            </w:r>
          </w:p>
          <w:p>
            <w:pPr>
              <w:pStyle w:val="42"/>
              <w:ind w:left="24" w:leftChars="10" w:right="240" w:rightChars="100"/>
              <w:rPr>
                <w:szCs w:val="21"/>
              </w:rPr>
            </w:pPr>
            <w:r>
              <w:rPr>
                <w:rFonts w:hint="eastAsia"/>
                <w:szCs w:val="21"/>
              </w:rPr>
              <w:t>2.本竞争性磋商文件各部分规定的时间均以北京时间为准。</w:t>
            </w:r>
          </w:p>
        </w:tc>
      </w:tr>
    </w:tbl>
    <w:p>
      <w:pPr>
        <w:rPr>
          <w:rFonts w:asciiTheme="minorEastAsia" w:hAnsiTheme="minorEastAsia" w:eastAsiaTheme="minorEastAsia" w:cstheme="minorEastAsia"/>
          <w:sz w:val="36"/>
          <w:szCs w:val="36"/>
        </w:rPr>
      </w:pPr>
      <w:bookmarkStart w:id="23" w:name="_Toc2042"/>
      <w:bookmarkStart w:id="24" w:name="_Toc23295"/>
      <w:bookmarkStart w:id="25" w:name="_Toc26593"/>
      <w:bookmarkStart w:id="26" w:name="_Toc4011"/>
      <w:r>
        <w:rPr>
          <w:rFonts w:hint="eastAsia"/>
        </w:rPr>
        <w:br w:type="page"/>
      </w:r>
    </w:p>
    <w:p>
      <w:pPr>
        <w:pStyle w:val="35"/>
        <w:spacing w:before="120" w:beforeLines="50" w:after="120" w:afterLines="50"/>
        <w:ind w:firstLine="0" w:firstLineChars="0"/>
        <w:jc w:val="center"/>
        <w:rPr>
          <w:sz w:val="36"/>
          <w:szCs w:val="36"/>
        </w:rPr>
      </w:pPr>
      <w:bookmarkStart w:id="27" w:name="_Toc10752"/>
      <w:bookmarkStart w:id="28" w:name="_Toc5234"/>
      <w:r>
        <w:rPr>
          <w:rFonts w:hint="eastAsia"/>
          <w:sz w:val="36"/>
          <w:szCs w:val="36"/>
        </w:rPr>
        <w:t>竞争性磋商文件</w:t>
      </w:r>
      <w:bookmarkEnd w:id="20"/>
      <w:bookmarkEnd w:id="23"/>
      <w:bookmarkEnd w:id="24"/>
      <w:bookmarkEnd w:id="25"/>
      <w:bookmarkEnd w:id="26"/>
      <w:bookmarkEnd w:id="27"/>
      <w:bookmarkEnd w:id="28"/>
    </w:p>
    <w:p>
      <w:pPr>
        <w:pStyle w:val="49"/>
        <w:spacing w:line="520" w:lineRule="exact"/>
        <w:ind w:firstLine="482"/>
      </w:pPr>
      <w:bookmarkStart w:id="29" w:name="_Toc22302"/>
      <w:bookmarkStart w:id="30" w:name="_Toc22917"/>
      <w:bookmarkStart w:id="31" w:name="_Toc16855"/>
      <w:bookmarkStart w:id="32" w:name="_Toc29532"/>
      <w:bookmarkStart w:id="33" w:name="_Toc319440119"/>
      <w:bookmarkStart w:id="34" w:name="_Toc327196263"/>
      <w:bookmarkStart w:id="35" w:name="_Toc3601"/>
      <w:bookmarkStart w:id="36" w:name="_Toc308084574"/>
      <w:bookmarkStart w:id="37" w:name="_Toc307501086"/>
      <w:bookmarkStart w:id="38" w:name="_Toc31870"/>
      <w:bookmarkStart w:id="39" w:name="_Toc20769"/>
      <w:bookmarkStart w:id="40" w:name="_Toc308188129"/>
      <w:bookmarkStart w:id="41" w:name="_Toc23796"/>
      <w:bookmarkStart w:id="42" w:name="_Toc307564829"/>
      <w:bookmarkStart w:id="43" w:name="_Toc32483"/>
      <w:bookmarkStart w:id="44" w:name="_Toc28450"/>
      <w:bookmarkStart w:id="45" w:name="_Toc319439877"/>
      <w:bookmarkStart w:id="46" w:name="_Toc10311"/>
      <w:bookmarkStart w:id="47" w:name="_Toc309897492"/>
      <w:bookmarkStart w:id="48" w:name="_Toc5790"/>
      <w:bookmarkStart w:id="49" w:name="_Toc12046"/>
      <w:bookmarkStart w:id="50" w:name="_Toc32648"/>
      <w:bookmarkStart w:id="51" w:name="_Toc217446034"/>
      <w:r>
        <w:rPr>
          <w:rFonts w:hint="eastAsia"/>
        </w:rPr>
        <w:t>竞争性磋商文件的构成</w:t>
      </w:r>
      <w:bookmarkEnd w:id="29"/>
      <w:r>
        <w:rPr>
          <w:rFonts w:hint="eastAsia"/>
        </w:rPr>
        <w:t>(实质性要求)</w:t>
      </w:r>
      <w:bookmarkEnd w:id="30"/>
      <w:bookmarkEnd w:id="31"/>
    </w:p>
    <w:p>
      <w:pPr>
        <w:pStyle w:val="46"/>
        <w:spacing w:line="520" w:lineRule="exact"/>
      </w:pPr>
      <w:r>
        <w:rPr>
          <w:rFonts w:hint="eastAsia"/>
        </w:rPr>
        <w:t>竞争性磋商文件是供应商准备响应文件和参加竞争性磋商的依据，同时也是评审的重要依据，具有准法律文件性质。竞争性磋商文件用以阐明磋商项目所需的资质、技术、服务及报价等要求、磋商程序、有关规定和注意事项以及</w:t>
      </w:r>
      <w:r>
        <w:rPr>
          <w:rFonts w:hint="eastAsia"/>
          <w:lang w:val="en-US" w:eastAsia="zh-CN"/>
        </w:rPr>
        <w:t>采购</w:t>
      </w:r>
      <w:r>
        <w:rPr>
          <w:rFonts w:hint="eastAsia"/>
        </w:rPr>
        <w:t>合同条款等。</w:t>
      </w:r>
    </w:p>
    <w:p>
      <w:pPr>
        <w:pStyle w:val="46"/>
        <w:spacing w:line="520" w:lineRule="exact"/>
      </w:pPr>
      <w:r>
        <w:rPr>
          <w:rFonts w:hint="eastAsia"/>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49"/>
        <w:spacing w:line="520" w:lineRule="exact"/>
        <w:ind w:firstLine="482"/>
      </w:pPr>
      <w:bookmarkStart w:id="52" w:name="_Toc11074"/>
      <w:bookmarkStart w:id="53" w:name="_Toc2367"/>
      <w:bookmarkStart w:id="54" w:name="_Toc7038"/>
      <w:r>
        <w:rPr>
          <w:rFonts w:hint="eastAsia"/>
        </w:rPr>
        <w:t>竞争性磋商文件包含内容</w:t>
      </w:r>
      <w:bookmarkEnd w:id="52"/>
      <w:bookmarkEnd w:id="53"/>
      <w:bookmarkEnd w:id="54"/>
    </w:p>
    <w:p>
      <w:pPr>
        <w:pStyle w:val="63"/>
        <w:spacing w:line="520" w:lineRule="exact"/>
        <w:ind w:firstLine="480"/>
      </w:pPr>
      <w:r>
        <w:rPr>
          <w:rFonts w:hint="eastAsia"/>
        </w:rPr>
        <w:t>供应商资格条件、采购邀请、采购方式、采购预算、采购需求、参照执行的政府采购政策要求、评审程序、评审方法、评审标准、价格构成或者报价要求、响应文件编制要求、保证金交纳数额和形式以及不予退还的情形、磋商过程中可能实质性变动的内容、响应文件提交的截止时间、开启时间及地点以及采购合同条款等。本竞争性磋商文件包括以下内容：</w:t>
      </w:r>
    </w:p>
    <w:p>
      <w:pPr>
        <w:pStyle w:val="36"/>
        <w:numPr>
          <w:ilvl w:val="0"/>
          <w:numId w:val="14"/>
        </w:numPr>
        <w:spacing w:line="520" w:lineRule="exact"/>
        <w:ind w:left="0" w:firstLine="480"/>
      </w:pPr>
      <w:r>
        <w:rPr>
          <w:rFonts w:hint="eastAsia"/>
        </w:rPr>
        <w:t>竞争性磋商邀请；</w:t>
      </w:r>
    </w:p>
    <w:p>
      <w:pPr>
        <w:pStyle w:val="36"/>
        <w:numPr>
          <w:ilvl w:val="0"/>
          <w:numId w:val="14"/>
        </w:numPr>
        <w:spacing w:line="520" w:lineRule="exact"/>
        <w:ind w:left="0" w:firstLine="480"/>
      </w:pPr>
      <w:r>
        <w:rPr>
          <w:rFonts w:hint="eastAsia"/>
        </w:rPr>
        <w:t>磋商须知；</w:t>
      </w:r>
    </w:p>
    <w:p>
      <w:pPr>
        <w:pStyle w:val="36"/>
        <w:numPr>
          <w:ilvl w:val="0"/>
          <w:numId w:val="14"/>
        </w:numPr>
        <w:spacing w:line="520" w:lineRule="exact"/>
        <w:ind w:left="0" w:firstLine="480"/>
      </w:pPr>
      <w:r>
        <w:rPr>
          <w:rFonts w:hint="eastAsia"/>
        </w:rPr>
        <w:t>供应商资格条件；</w:t>
      </w:r>
    </w:p>
    <w:p>
      <w:pPr>
        <w:pStyle w:val="36"/>
        <w:numPr>
          <w:ilvl w:val="0"/>
          <w:numId w:val="14"/>
        </w:numPr>
        <w:spacing w:line="520" w:lineRule="exact"/>
        <w:ind w:left="0" w:firstLine="480"/>
      </w:pPr>
      <w:r>
        <w:rPr>
          <w:rFonts w:hint="eastAsia"/>
        </w:rPr>
        <w:t>采购需求；</w:t>
      </w:r>
    </w:p>
    <w:p>
      <w:pPr>
        <w:pStyle w:val="36"/>
        <w:numPr>
          <w:ilvl w:val="0"/>
          <w:numId w:val="14"/>
        </w:numPr>
        <w:spacing w:line="520" w:lineRule="exact"/>
        <w:ind w:left="0" w:firstLine="480"/>
      </w:pPr>
      <w:r>
        <w:rPr>
          <w:rFonts w:hint="eastAsia"/>
        </w:rPr>
        <w:t>参照执行的政府采购政策要求；</w:t>
      </w:r>
    </w:p>
    <w:p>
      <w:pPr>
        <w:pStyle w:val="36"/>
        <w:numPr>
          <w:ilvl w:val="0"/>
          <w:numId w:val="14"/>
        </w:numPr>
        <w:spacing w:line="520" w:lineRule="exact"/>
        <w:ind w:left="0" w:firstLine="480"/>
      </w:pPr>
      <w:r>
        <w:rPr>
          <w:rFonts w:hint="eastAsia"/>
        </w:rPr>
        <w:t>评审程序、评审方法、评审标准；</w:t>
      </w:r>
    </w:p>
    <w:p>
      <w:pPr>
        <w:pStyle w:val="36"/>
        <w:numPr>
          <w:ilvl w:val="0"/>
          <w:numId w:val="14"/>
        </w:numPr>
        <w:spacing w:line="520" w:lineRule="exact"/>
        <w:ind w:left="0" w:firstLine="480"/>
      </w:pPr>
      <w:r>
        <w:rPr>
          <w:rFonts w:hint="eastAsia"/>
        </w:rPr>
        <w:t>报价要求；</w:t>
      </w:r>
    </w:p>
    <w:p>
      <w:pPr>
        <w:pStyle w:val="36"/>
        <w:numPr>
          <w:ilvl w:val="0"/>
          <w:numId w:val="14"/>
        </w:numPr>
        <w:spacing w:line="520" w:lineRule="exact"/>
        <w:ind w:left="0" w:firstLine="480"/>
      </w:pPr>
      <w:r>
        <w:rPr>
          <w:rFonts w:hint="eastAsia"/>
        </w:rPr>
        <w:t>响应文件编制要求；</w:t>
      </w:r>
    </w:p>
    <w:p>
      <w:pPr>
        <w:pStyle w:val="36"/>
        <w:numPr>
          <w:ilvl w:val="0"/>
          <w:numId w:val="14"/>
        </w:numPr>
        <w:spacing w:line="520" w:lineRule="exact"/>
        <w:ind w:left="0" w:firstLine="480"/>
      </w:pPr>
      <w:r>
        <w:rPr>
          <w:rFonts w:hint="eastAsia"/>
        </w:rPr>
        <w:t>磋商过程中可能实质性变动的内容；</w:t>
      </w:r>
    </w:p>
    <w:p>
      <w:pPr>
        <w:pStyle w:val="36"/>
        <w:numPr>
          <w:ilvl w:val="0"/>
          <w:numId w:val="14"/>
        </w:numPr>
        <w:spacing w:line="520" w:lineRule="exact"/>
        <w:ind w:left="0" w:firstLine="480"/>
      </w:pPr>
      <w:r>
        <w:rPr>
          <w:rFonts w:hint="eastAsia"/>
        </w:rPr>
        <w:t>采购合同条款；</w:t>
      </w:r>
    </w:p>
    <w:p>
      <w:pPr>
        <w:pStyle w:val="36"/>
        <w:numPr>
          <w:ilvl w:val="0"/>
          <w:numId w:val="14"/>
        </w:numPr>
        <w:spacing w:line="520" w:lineRule="exact"/>
        <w:ind w:left="0" w:firstLine="480"/>
      </w:pPr>
      <w:r>
        <w:rPr>
          <w:rFonts w:hint="eastAsia"/>
        </w:rPr>
        <w:t>磋商过程中形成的书面澄清、说明、更正。</w:t>
      </w:r>
    </w:p>
    <w:p>
      <w:pPr>
        <w:pStyle w:val="63"/>
        <w:spacing w:line="520" w:lineRule="exact"/>
        <w:ind w:firstLine="480"/>
      </w:pPr>
      <w:r>
        <w:rPr>
          <w:rFonts w:hint="eastAsia"/>
        </w:rPr>
        <w:t>供应商应详细阅读竞争性磋商文件的全部内容，并实质性响应竞争性磋商文件的要求，供应商未对竞争性磋商文件全面做出实质性响应是供应商的风险。</w:t>
      </w:r>
    </w:p>
    <w:p>
      <w:pPr>
        <w:pStyle w:val="49"/>
        <w:spacing w:line="520" w:lineRule="exact"/>
        <w:ind w:firstLine="482"/>
      </w:pPr>
      <w:bookmarkStart w:id="55" w:name="_Toc3896"/>
      <w:bookmarkStart w:id="56" w:name="_Toc17499"/>
      <w:bookmarkStart w:id="57" w:name="_Toc18396"/>
      <w:r>
        <w:rPr>
          <w:rFonts w:hint="eastAsia"/>
        </w:rPr>
        <w:t>竞争性磋商文件的澄清和修改</w:t>
      </w:r>
      <w:bookmarkEnd w:id="55"/>
      <w:bookmarkEnd w:id="56"/>
      <w:bookmarkEnd w:id="57"/>
    </w:p>
    <w:p>
      <w:pPr>
        <w:pStyle w:val="33"/>
        <w:numPr>
          <w:ilvl w:val="1"/>
          <w:numId w:val="0"/>
        </w:numPr>
        <w:spacing w:line="520" w:lineRule="exact"/>
        <w:ind w:firstLine="480" w:firstLineChars="200"/>
      </w:pPr>
      <w:bookmarkStart w:id="58" w:name="_Toc21821"/>
      <w:r>
        <w:rPr>
          <w:rFonts w:hint="eastAsia"/>
        </w:rPr>
        <w:t>1.提交首次响应文件截止之日前，采购人、采购代理机构或者磋商小组可以对已发出的磋商文件进行必要的澄清或者修改，澄清或者修改的内容作为磋商文件的组成部分。</w:t>
      </w:r>
    </w:p>
    <w:p>
      <w:pPr>
        <w:pStyle w:val="33"/>
        <w:numPr>
          <w:ilvl w:val="1"/>
          <w:numId w:val="0"/>
        </w:numPr>
        <w:spacing w:line="520" w:lineRule="exact"/>
        <w:ind w:firstLine="480" w:firstLineChars="200"/>
      </w:pPr>
      <w:r>
        <w:rPr>
          <w:rFonts w:hint="eastAsia"/>
        </w:rPr>
        <w:t>2.采购代理机构将通过“中国招标投标公共服务平台”将澄清或者修改的内容通知所有按照规定获得了磋商文件的供应商，同时在</w:t>
      </w:r>
      <w:r>
        <w:rPr>
          <w:rFonts w:hint="eastAsia"/>
          <w:lang w:eastAsia="zh-CN"/>
        </w:rPr>
        <w:t>“中国招标投标公共服务平台”</w:t>
      </w:r>
      <w:r>
        <w:rPr>
          <w:rFonts w:hint="eastAsia"/>
        </w:rPr>
        <w:t>发布更正公告。</w:t>
      </w:r>
    </w:p>
    <w:p>
      <w:pPr>
        <w:pStyle w:val="33"/>
        <w:numPr>
          <w:ilvl w:val="1"/>
          <w:numId w:val="0"/>
        </w:numPr>
        <w:spacing w:line="520" w:lineRule="exact"/>
        <w:ind w:firstLine="480" w:firstLineChars="200"/>
      </w:pPr>
      <w:r>
        <w:rPr>
          <w:rFonts w:hint="eastAsia"/>
        </w:rPr>
        <w:t>3.澄清或者修改的内容可能影响响应文件编制的，采购人、采购代理机构应当在提交首次响应文件截止时间至少5日前，发布公告通知所有获取磋商文件的供应商；不足5日的，采购人、采购代理机构应当顺延提交首次响应文件截止时间。</w:t>
      </w:r>
    </w:p>
    <w:p>
      <w:pPr>
        <w:pStyle w:val="33"/>
        <w:numPr>
          <w:ilvl w:val="1"/>
          <w:numId w:val="0"/>
        </w:numPr>
        <w:spacing w:line="520" w:lineRule="exact"/>
        <w:ind w:firstLine="480" w:firstLineChars="200"/>
      </w:pPr>
      <w:r>
        <w:rPr>
          <w:rFonts w:hint="eastAsia"/>
        </w:rPr>
        <w:t>4.供应商应于递交响应文件截止前，在</w:t>
      </w:r>
      <w:r>
        <w:rPr>
          <w:rFonts w:hint="eastAsia"/>
          <w:lang w:eastAsia="zh-CN"/>
        </w:rPr>
        <w:t>“中国招标投标公共服务平台”</w:t>
      </w:r>
      <w:r>
        <w:rPr>
          <w:rFonts w:hint="eastAsia"/>
        </w:rPr>
        <w:t>查询本项目的更正公告，以保证其对磋商文件做出正确的响应。供应商未及时关注更正公告的信息造成的不利后果，其责任由供应商自行负责。</w:t>
      </w:r>
    </w:p>
    <w:p>
      <w:pPr>
        <w:pStyle w:val="33"/>
        <w:numPr>
          <w:ilvl w:val="1"/>
          <w:numId w:val="0"/>
        </w:numPr>
        <w:spacing w:line="520" w:lineRule="exact"/>
        <w:ind w:firstLine="480" w:firstLineChars="200"/>
      </w:pPr>
      <w:r>
        <w:rPr>
          <w:rFonts w:hint="eastAsia"/>
        </w:rPr>
        <w:t>5.评审委员会在评审过程中，需要供应商对响应文件中含义不明确、同类问题表述不一致或者有明显文字和计算错误的内容等作出必要的澄清、说明或者更正的，应当以书面形式(须由评审委员会全体成员签字)作出，并给予供应商必要的反馈时间，但不得超出响应文件的范围或者改变响应文件的实质性内容。</w:t>
      </w:r>
    </w:p>
    <w:p>
      <w:pPr>
        <w:pStyle w:val="33"/>
        <w:numPr>
          <w:ilvl w:val="1"/>
          <w:numId w:val="0"/>
        </w:numPr>
        <w:spacing w:line="520" w:lineRule="exact"/>
        <w:ind w:firstLine="480" w:firstLineChars="200"/>
      </w:pPr>
      <w:r>
        <w:rPr>
          <w:rFonts w:hint="eastAsia"/>
        </w:rPr>
        <w:t>6.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pPr>
        <w:pStyle w:val="33"/>
        <w:numPr>
          <w:ilvl w:val="1"/>
          <w:numId w:val="0"/>
        </w:numPr>
        <w:spacing w:line="520" w:lineRule="exact"/>
        <w:ind w:firstLine="480" w:firstLineChars="200"/>
      </w:pPr>
      <w:r>
        <w:rPr>
          <w:rFonts w:hint="eastAsia"/>
        </w:rPr>
        <w:t>7.评审委员会应当积极履行澄清、说明或者更正的职责，不得滥用权力。供应商的响应文件可以要求澄清、说明或者更正的，不得未经澄清、说明或者更正而直接作无效处理。</w:t>
      </w:r>
    </w:p>
    <w:p>
      <w:pPr>
        <w:pStyle w:val="33"/>
        <w:numPr>
          <w:ilvl w:val="1"/>
          <w:numId w:val="0"/>
        </w:numPr>
        <w:spacing w:line="520" w:lineRule="exact"/>
        <w:ind w:firstLine="480" w:firstLineChars="200"/>
      </w:pPr>
      <w:r>
        <w:rPr>
          <w:rFonts w:hint="eastAsia"/>
        </w:rPr>
        <w:t>8.供应商认为采购代理机构需要对磋商文件进行澄清或者修改的，可以在响应文件递交的截止时间前以书面形式向采购代理机构提出申请，由采购代理机构决定是否采纳供应商的申请事项。</w:t>
      </w:r>
    </w:p>
    <w:p>
      <w:pPr>
        <w:pStyle w:val="49"/>
        <w:spacing w:line="520" w:lineRule="exact"/>
        <w:ind w:firstLine="482"/>
      </w:pPr>
      <w:bookmarkStart w:id="59" w:name="_Toc17776"/>
      <w:bookmarkStart w:id="60" w:name="_Toc7821"/>
      <w:r>
        <w:rPr>
          <w:rFonts w:hint="eastAsia"/>
        </w:rPr>
        <w:t>实质性变动</w:t>
      </w:r>
      <w:bookmarkEnd w:id="58"/>
      <w:bookmarkEnd w:id="59"/>
      <w:bookmarkEnd w:id="60"/>
    </w:p>
    <w:p>
      <w:pPr>
        <w:pStyle w:val="46"/>
        <w:spacing w:line="520" w:lineRule="exact"/>
      </w:pPr>
      <w:r>
        <w:rPr>
          <w:rFonts w:hint="eastAsia"/>
        </w:rPr>
        <w:t>磋商小组对磋商文件作出的实质性变动是磋商文件的有效组成部分，磋商小组应当及时以书面形式同时通知所有参加磋商的供应商。</w:t>
      </w:r>
    </w:p>
    <w:p>
      <w:pPr>
        <w:pStyle w:val="49"/>
        <w:spacing w:line="520" w:lineRule="exact"/>
        <w:ind w:firstLine="482"/>
      </w:pPr>
      <w:bookmarkStart w:id="61" w:name="_Toc30694"/>
      <w:bookmarkStart w:id="62" w:name="_Toc29767"/>
      <w:bookmarkStart w:id="63" w:name="_Toc12073"/>
      <w:r>
        <w:rPr>
          <w:rFonts w:hint="eastAsia"/>
        </w:rPr>
        <w:t>答疑会和现场考察</w:t>
      </w:r>
      <w:bookmarkEnd w:id="61"/>
      <w:bookmarkEnd w:id="62"/>
      <w:bookmarkEnd w:id="63"/>
    </w:p>
    <w:p>
      <w:pPr>
        <w:pStyle w:val="63"/>
        <w:spacing w:line="520" w:lineRule="exact"/>
        <w:ind w:firstLine="480"/>
      </w:pPr>
      <w:r>
        <w:rPr>
          <w:rFonts w:hint="eastAsia"/>
        </w:rPr>
        <w:t>根据采购项目和具体情况，采购人、采购代理机构认为有必要，可以在磋商文件提供期限截止后响应文件提交截止前，组织已获取磋商文件的潜在供应商现场考察或者召开答疑会。</w:t>
      </w:r>
    </w:p>
    <w:p>
      <w:pPr>
        <w:pStyle w:val="63"/>
        <w:spacing w:line="520" w:lineRule="exact"/>
        <w:ind w:firstLine="480"/>
      </w:pPr>
      <w:r>
        <w:rPr>
          <w:rFonts w:hint="eastAsia"/>
        </w:rPr>
        <w:t>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作无效处理。</w:t>
      </w:r>
    </w:p>
    <w:p>
      <w:pPr>
        <w:pStyle w:val="63"/>
        <w:spacing w:line="520" w:lineRule="exact"/>
        <w:ind w:firstLine="480"/>
      </w:pPr>
      <w:r>
        <w:rPr>
          <w:rFonts w:hint="eastAsia"/>
        </w:rPr>
        <w:t>供应商考察现场或者参加答疑会所发生的一切费用由供应商自行承担。</w:t>
      </w:r>
    </w:p>
    <w:p>
      <w:pPr>
        <w:pStyle w:val="35"/>
        <w:spacing w:before="120" w:beforeLines="50" w:after="120" w:afterLines="50" w:line="520" w:lineRule="exact"/>
        <w:ind w:firstLine="0" w:firstLineChars="0"/>
        <w:jc w:val="center"/>
        <w:rPr>
          <w:sz w:val="36"/>
          <w:szCs w:val="36"/>
        </w:rPr>
      </w:pPr>
      <w:bookmarkStart w:id="64" w:name="_Toc8756"/>
      <w:bookmarkStart w:id="65" w:name="_Toc12477"/>
      <w:r>
        <w:rPr>
          <w:rFonts w:hint="eastAsia"/>
          <w:sz w:val="36"/>
          <w:szCs w:val="36"/>
        </w:rPr>
        <w:t>响应文件</w:t>
      </w:r>
      <w:bookmarkEnd w:id="64"/>
      <w:bookmarkEnd w:id="65"/>
    </w:p>
    <w:p>
      <w:pPr>
        <w:pStyle w:val="49"/>
        <w:spacing w:line="520" w:lineRule="exact"/>
        <w:ind w:firstLine="482"/>
      </w:pPr>
      <w:bookmarkStart w:id="66" w:name="_Toc9698"/>
      <w:bookmarkStart w:id="67" w:name="_Toc7234"/>
      <w:bookmarkStart w:id="68" w:name="_Toc32122"/>
      <w:bookmarkStart w:id="69" w:name="_Toc32601"/>
      <w:bookmarkStart w:id="70" w:name="_Toc7367"/>
      <w:bookmarkStart w:id="71" w:name="_Toc1594"/>
      <w:r>
        <w:rPr>
          <w:rFonts w:hint="eastAsia"/>
        </w:rPr>
        <w:t>响应文件的语言(实质性要求)</w:t>
      </w:r>
      <w:bookmarkEnd w:id="66"/>
      <w:bookmarkEnd w:id="67"/>
      <w:bookmarkEnd w:id="68"/>
    </w:p>
    <w:p>
      <w:pPr>
        <w:pStyle w:val="33"/>
        <w:numPr>
          <w:ilvl w:val="1"/>
          <w:numId w:val="0"/>
        </w:numPr>
        <w:spacing w:line="520" w:lineRule="exact"/>
        <w:ind w:firstLine="480" w:firstLineChars="200"/>
      </w:pPr>
      <w:bookmarkStart w:id="72" w:name="_Toc21182"/>
      <w:r>
        <w:rPr>
          <w:rFonts w:hint="eastAsia"/>
        </w:rPr>
        <w:t>1.供应商提交的响应文件以及供应商与招标采购单位就有关磋商的所有来往书面文件均须使用中文。响应文件中如附有外文资料，必须逐一对应翻译成中文并加盖供应商公章后附在相关外文资料后面，否则，视为未提供该资料。对于供应商的法定代表人为外籍人士的，法定代表人的签字和护照、行业标准、国家标准、国际标准或行业认证等需要以非中文表述且不宜翻译为中文的除外。</w:t>
      </w:r>
    </w:p>
    <w:p>
      <w:pPr>
        <w:pStyle w:val="33"/>
        <w:numPr>
          <w:ilvl w:val="1"/>
          <w:numId w:val="0"/>
        </w:numPr>
        <w:spacing w:line="520" w:lineRule="exact"/>
        <w:ind w:firstLine="480" w:firstLineChars="200"/>
      </w:pPr>
      <w:r>
        <w:rPr>
          <w:rFonts w:hint="eastAsia"/>
        </w:rPr>
        <w:t>2.翻译的中文资料与外文资料如果出现差异和矛盾时，以中文为准。涉嫌提供虚假材料的按照相关法律法规处理。</w:t>
      </w:r>
    </w:p>
    <w:p>
      <w:pPr>
        <w:pStyle w:val="33"/>
        <w:numPr>
          <w:ilvl w:val="1"/>
          <w:numId w:val="0"/>
        </w:numPr>
        <w:spacing w:line="520" w:lineRule="exact"/>
        <w:ind w:firstLine="480" w:firstLineChars="200"/>
      </w:pPr>
      <w:r>
        <w:rPr>
          <w:rFonts w:hint="eastAsia"/>
        </w:rPr>
        <w:t>3.如因未翻译而造成对供应商的不利后果，由供应商承担。</w:t>
      </w:r>
    </w:p>
    <w:p>
      <w:pPr>
        <w:pStyle w:val="49"/>
        <w:spacing w:line="520" w:lineRule="exact"/>
        <w:ind w:firstLine="482"/>
      </w:pPr>
      <w:bookmarkStart w:id="73" w:name="_Toc8134"/>
      <w:bookmarkStart w:id="74" w:name="_Toc18694"/>
      <w:r>
        <w:rPr>
          <w:rFonts w:hint="eastAsia"/>
        </w:rPr>
        <w:t>计量单位(实质性要求)</w:t>
      </w:r>
      <w:bookmarkEnd w:id="72"/>
      <w:bookmarkEnd w:id="73"/>
      <w:bookmarkEnd w:id="74"/>
    </w:p>
    <w:p>
      <w:pPr>
        <w:pStyle w:val="46"/>
        <w:spacing w:line="520" w:lineRule="exact"/>
      </w:pPr>
      <w:r>
        <w:rPr>
          <w:rFonts w:hint="eastAsia"/>
        </w:rPr>
        <w:t>除采购需求中另有规定外，本采购项下的磋商均采用国家法定的计量单位。</w:t>
      </w:r>
    </w:p>
    <w:p>
      <w:pPr>
        <w:pStyle w:val="49"/>
        <w:spacing w:line="520" w:lineRule="exact"/>
        <w:ind w:firstLine="482"/>
      </w:pPr>
      <w:bookmarkStart w:id="75" w:name="_Toc26768"/>
      <w:bookmarkStart w:id="76" w:name="_Toc9568"/>
      <w:bookmarkStart w:id="77" w:name="_Toc16039"/>
      <w:r>
        <w:rPr>
          <w:rFonts w:hint="eastAsia"/>
        </w:rPr>
        <w:t>知识产权(实质性要求)</w:t>
      </w:r>
      <w:bookmarkEnd w:id="75"/>
      <w:bookmarkEnd w:id="76"/>
      <w:bookmarkEnd w:id="77"/>
    </w:p>
    <w:p>
      <w:pPr>
        <w:pStyle w:val="63"/>
        <w:spacing w:line="520" w:lineRule="exact"/>
        <w:ind w:firstLine="480"/>
      </w:pPr>
      <w:bookmarkStart w:id="78" w:name="_Toc23820"/>
      <w:r>
        <w:rPr>
          <w:rFonts w:hint="eastAsia"/>
        </w:rPr>
        <w:t>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63"/>
        <w:spacing w:line="520" w:lineRule="exact"/>
        <w:ind w:firstLine="480"/>
      </w:pPr>
      <w:r>
        <w:rPr>
          <w:rFonts w:hint="eastAsia" w:cs="宋体"/>
          <w:lang w:eastAsia="zh-Hans"/>
        </w:rPr>
        <w:t>采购人享有本项目实施过程中产生的知识成果及知识产权，并依据实际情况对采购标的涉及的知识产权进行处理</w:t>
      </w:r>
      <w:r>
        <w:rPr>
          <w:rFonts w:hint="eastAsia"/>
        </w:rPr>
        <w:t>。</w:t>
      </w:r>
    </w:p>
    <w:p>
      <w:pPr>
        <w:pStyle w:val="63"/>
        <w:spacing w:line="520" w:lineRule="exact"/>
        <w:ind w:firstLine="480"/>
      </w:pPr>
      <w:r>
        <w:rPr>
          <w:rFonts w:hint="eastAsia" w:cs="宋体"/>
        </w:rPr>
        <w:t>供应商</w:t>
      </w:r>
      <w:r>
        <w:rPr>
          <w:rFonts w:hint="eastAsia" w:cs="宋体"/>
          <w:lang w:eastAsia="zh-Hans"/>
        </w:rPr>
        <w:t>如欲在项目实施过程中采用自有知识成果，需提供相关技术文档，并承诺提供无限期技术支持，采购人享有永久使用权</w:t>
      </w:r>
      <w:r>
        <w:rPr>
          <w:rFonts w:hint="eastAsia" w:cs="宋体"/>
        </w:rPr>
        <w:t>，且</w:t>
      </w:r>
      <w:r>
        <w:rPr>
          <w:rFonts w:hint="eastAsia" w:cs="宋体"/>
          <w:lang w:eastAsia="zh-Hans"/>
        </w:rPr>
        <w:t>不承担该知识产权的相关费用</w:t>
      </w:r>
      <w:r>
        <w:rPr>
          <w:rFonts w:hint="eastAsia" w:cs="宋体"/>
        </w:rPr>
        <w:t>。</w:t>
      </w:r>
      <w:r>
        <w:t>否则视为</w:t>
      </w:r>
      <w:r>
        <w:rPr>
          <w:rFonts w:hint="eastAsia"/>
        </w:rPr>
        <w:t>供应商</w:t>
      </w:r>
      <w:r>
        <w:t>未在本项目实施过程中采用自有知识成果，不影响有效性</w:t>
      </w:r>
      <w:r>
        <w:rPr>
          <w:rFonts w:hint="eastAsia"/>
        </w:rPr>
        <w:t>。</w:t>
      </w:r>
    </w:p>
    <w:p>
      <w:pPr>
        <w:pStyle w:val="63"/>
        <w:spacing w:line="520" w:lineRule="exact"/>
        <w:ind w:firstLine="480"/>
      </w:pPr>
      <w:r>
        <w:rPr>
          <w:rFonts w:hint="eastAsia" w:cs="宋体"/>
          <w:lang w:eastAsia="zh-Hans"/>
        </w:rPr>
        <w:t>如采用</w:t>
      </w:r>
      <w:r>
        <w:rPr>
          <w:rFonts w:hint="eastAsia" w:cs="宋体"/>
        </w:rPr>
        <w:t>供应商</w:t>
      </w:r>
      <w:r>
        <w:rPr>
          <w:rFonts w:hint="eastAsia" w:cs="宋体"/>
          <w:lang w:eastAsia="zh-Hans"/>
        </w:rPr>
        <w:t>所不拥有的知识产权，仍需提供相关技术文档，并承诺提供无限期技术支持，采购人享有永久合法使用的使用权，且不承担该知识产权的相关费用</w:t>
      </w:r>
      <w:r>
        <w:rPr>
          <w:rFonts w:hint="eastAsia" w:cs="宋体"/>
        </w:rPr>
        <w:t>。</w:t>
      </w:r>
    </w:p>
    <w:p>
      <w:pPr>
        <w:pStyle w:val="63"/>
        <w:spacing w:line="520" w:lineRule="exact"/>
        <w:ind w:firstLine="480"/>
      </w:pPr>
      <w:r>
        <w:rPr>
          <w:rFonts w:hint="eastAsia" w:cs="宋体"/>
          <w:lang w:eastAsia="zh-Hans"/>
        </w:rPr>
        <w:t>若项目实施过程形成了新的技术成果或知识产权</w:t>
      </w:r>
      <w:r>
        <w:rPr>
          <w:rFonts w:hint="eastAsia" w:cs="宋体"/>
        </w:rPr>
        <w:t>(</w:t>
      </w:r>
      <w:r>
        <w:rPr>
          <w:rFonts w:hint="eastAsia" w:cs="宋体"/>
          <w:lang w:eastAsia="zh-Hans"/>
        </w:rPr>
        <w:t>包括但不限于新开发的计算机软件、在原有软件基础上修改软件架构或增加新功能等的技术改进、新功能开发过程中形成的技术文件等</w:t>
      </w:r>
      <w:r>
        <w:rPr>
          <w:rFonts w:hint="eastAsia" w:cs="宋体"/>
        </w:rPr>
        <w:t>)</w:t>
      </w:r>
      <w:r>
        <w:rPr>
          <w:rFonts w:hint="eastAsia" w:cs="宋体"/>
          <w:lang w:eastAsia="zh-Hans"/>
        </w:rPr>
        <w:t>，应由采购人和</w:t>
      </w:r>
      <w:r>
        <w:rPr>
          <w:rFonts w:hint="eastAsia" w:cs="宋体"/>
        </w:rPr>
        <w:t>供应商</w:t>
      </w:r>
      <w:r>
        <w:rPr>
          <w:rFonts w:hint="eastAsia" w:cs="宋体"/>
          <w:lang w:eastAsia="zh-Hans"/>
        </w:rPr>
        <w:t>共同所有前述科技成果权利或知识产权，</w:t>
      </w:r>
      <w:r>
        <w:rPr>
          <w:rFonts w:hint="eastAsia" w:cs="宋体"/>
        </w:rPr>
        <w:t>供应商</w:t>
      </w:r>
      <w:r>
        <w:rPr>
          <w:rFonts w:hint="eastAsia" w:cs="宋体"/>
          <w:lang w:eastAsia="zh-Hans"/>
        </w:rPr>
        <w:t>承诺采购人享有前述成果权利或知识产权永久合法使用的使用权，且</w:t>
      </w:r>
      <w:r>
        <w:rPr>
          <w:rFonts w:hint="eastAsia" w:cs="宋体"/>
        </w:rPr>
        <w:t>供应商</w:t>
      </w:r>
      <w:r>
        <w:rPr>
          <w:rFonts w:hint="eastAsia" w:cs="宋体"/>
          <w:lang w:eastAsia="zh-Hans"/>
        </w:rPr>
        <w:t>承诺额外承担任何与之有关的费用</w:t>
      </w:r>
      <w:r>
        <w:rPr>
          <w:rFonts w:hint="eastAsia"/>
        </w:rPr>
        <w:t>。</w:t>
      </w:r>
    </w:p>
    <w:p>
      <w:pPr>
        <w:pStyle w:val="63"/>
        <w:spacing w:line="520" w:lineRule="exact"/>
        <w:ind w:firstLine="480"/>
      </w:pPr>
      <w:r>
        <w:rPr>
          <w:rFonts w:hint="eastAsia"/>
        </w:rPr>
        <w:t xml:space="preserve">如采用供应商所不拥有的知识产权，则在磋商报价中必须包括合法获取该知识产权的相关费用。 </w:t>
      </w:r>
    </w:p>
    <w:p>
      <w:pPr>
        <w:pStyle w:val="49"/>
        <w:spacing w:line="520" w:lineRule="exact"/>
        <w:ind w:firstLine="482"/>
      </w:pPr>
      <w:bookmarkStart w:id="79" w:name="_Toc17387"/>
      <w:bookmarkStart w:id="80" w:name="_Toc25494"/>
      <w:r>
        <w:rPr>
          <w:rFonts w:hint="eastAsia"/>
        </w:rPr>
        <w:t>响应文件格式要求</w:t>
      </w:r>
      <w:bookmarkEnd w:id="78"/>
      <w:bookmarkEnd w:id="79"/>
      <w:bookmarkEnd w:id="80"/>
    </w:p>
    <w:p>
      <w:pPr>
        <w:pStyle w:val="33"/>
        <w:numPr>
          <w:ilvl w:val="1"/>
          <w:numId w:val="0"/>
        </w:numPr>
        <w:spacing w:line="520" w:lineRule="exact"/>
        <w:ind w:left="480" w:leftChars="200"/>
      </w:pPr>
      <w:bookmarkStart w:id="81" w:name="_Toc13765"/>
      <w:r>
        <w:rPr>
          <w:rFonts w:hint="eastAsia"/>
        </w:rPr>
        <w:t>1.供应商应按照磋商文件第三章中提供的“响应文件格式”编制相关内容。</w:t>
      </w:r>
    </w:p>
    <w:p>
      <w:pPr>
        <w:pStyle w:val="33"/>
        <w:numPr>
          <w:ilvl w:val="1"/>
          <w:numId w:val="0"/>
        </w:numPr>
        <w:spacing w:line="520" w:lineRule="exact"/>
        <w:ind w:left="480" w:leftChars="200"/>
      </w:pPr>
      <w:r>
        <w:rPr>
          <w:rFonts w:hint="eastAsia"/>
        </w:rPr>
        <w:t>2.对于磋商文件没有格式要求的由供应商自行编写。</w:t>
      </w:r>
    </w:p>
    <w:p>
      <w:pPr>
        <w:pStyle w:val="49"/>
        <w:spacing w:line="520" w:lineRule="exact"/>
        <w:ind w:firstLine="482"/>
      </w:pPr>
      <w:bookmarkStart w:id="82" w:name="_Toc1285"/>
      <w:bookmarkStart w:id="83" w:name="_Toc13274"/>
      <w:r>
        <w:rPr>
          <w:rFonts w:hint="eastAsia"/>
        </w:rPr>
        <w:t>磋商有效期(实质性要求)</w:t>
      </w:r>
      <w:bookmarkEnd w:id="81"/>
      <w:bookmarkEnd w:id="82"/>
      <w:bookmarkEnd w:id="83"/>
    </w:p>
    <w:p>
      <w:pPr>
        <w:pStyle w:val="63"/>
        <w:spacing w:line="520" w:lineRule="exact"/>
        <w:ind w:firstLine="480"/>
      </w:pPr>
      <w:r>
        <w:rPr>
          <w:rFonts w:hint="eastAsia"/>
        </w:rPr>
        <w:t>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pPr>
        <w:pStyle w:val="63"/>
        <w:spacing w:line="520" w:lineRule="exact"/>
        <w:ind w:firstLine="480"/>
      </w:pPr>
      <w:r>
        <w:rPr>
          <w:rFonts w:hint="eastAsia"/>
        </w:rPr>
        <w:t>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63"/>
        <w:spacing w:line="520" w:lineRule="exact"/>
        <w:ind w:firstLine="480"/>
      </w:pPr>
      <w:r>
        <w:rPr>
          <w:rFonts w:hint="eastAsia"/>
        </w:rPr>
        <w:t>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49"/>
        <w:spacing w:line="520" w:lineRule="exact"/>
        <w:ind w:firstLine="482"/>
      </w:pPr>
      <w:bookmarkStart w:id="84" w:name="_Toc16657"/>
      <w:bookmarkStart w:id="85" w:name="_Toc28963"/>
      <w:bookmarkStart w:id="86" w:name="_Toc3658"/>
      <w:r>
        <w:rPr>
          <w:rFonts w:hint="eastAsia"/>
        </w:rPr>
        <w:t>联合体磋商</w:t>
      </w:r>
      <w:bookmarkEnd w:id="84"/>
      <w:r>
        <w:rPr>
          <w:rFonts w:hint="eastAsia"/>
          <w:lang w:val="zh-CN"/>
        </w:rPr>
        <w:t>(实质性要求)</w:t>
      </w:r>
      <w:bookmarkEnd w:id="85"/>
      <w:bookmarkEnd w:id="86"/>
    </w:p>
    <w:p>
      <w:pPr>
        <w:pStyle w:val="43"/>
        <w:spacing w:line="520" w:lineRule="exact"/>
        <w:ind w:firstLine="480" w:firstLineChars="200"/>
      </w:pPr>
      <w:r>
        <w:rPr>
          <w:rFonts w:hint="eastAsia"/>
        </w:rPr>
        <w:t>本项目不接受联合体参加本次采购活动。</w:t>
      </w:r>
      <w:bookmarkStart w:id="87" w:name="_Toc24757"/>
      <w:bookmarkStart w:id="88" w:name="_Toc25526"/>
    </w:p>
    <w:p>
      <w:pPr>
        <w:pStyle w:val="49"/>
        <w:spacing w:line="520" w:lineRule="exact"/>
        <w:ind w:firstLine="482"/>
      </w:pPr>
      <w:bookmarkStart w:id="89" w:name="_Toc17395"/>
      <w:r>
        <w:rPr>
          <w:rFonts w:hint="eastAsia"/>
        </w:rPr>
        <w:t>响应文件</w:t>
      </w:r>
      <w:bookmarkEnd w:id="69"/>
      <w:bookmarkEnd w:id="70"/>
      <w:bookmarkEnd w:id="71"/>
      <w:r>
        <w:rPr>
          <w:rFonts w:hint="eastAsia"/>
        </w:rPr>
        <w:t>组成(实质性要求)</w:t>
      </w:r>
      <w:bookmarkEnd w:id="87"/>
      <w:bookmarkEnd w:id="88"/>
      <w:bookmarkEnd w:id="89"/>
    </w:p>
    <w:p>
      <w:pPr>
        <w:pStyle w:val="63"/>
        <w:spacing w:line="520" w:lineRule="exact"/>
        <w:ind w:firstLine="480"/>
        <w:rPr>
          <w:rStyle w:val="67"/>
        </w:rPr>
      </w:pPr>
      <w:r>
        <w:rPr>
          <w:rStyle w:val="67"/>
          <w:rFonts w:hint="eastAsia"/>
        </w:rPr>
        <w:t>供应商须按竞争性磋商文件的要求编写响应文件，对竞争性磋商文件提出的要求和条件做出实质性响应。响应文件应包括但不限于下列内容：</w:t>
      </w:r>
    </w:p>
    <w:p>
      <w:pPr>
        <w:pStyle w:val="36"/>
        <w:numPr>
          <w:ilvl w:val="0"/>
          <w:numId w:val="15"/>
        </w:numPr>
        <w:adjustRightInd/>
        <w:spacing w:line="520" w:lineRule="exact"/>
        <w:ind w:left="0" w:firstLine="480"/>
      </w:pPr>
      <w:r>
        <w:rPr>
          <w:rFonts w:hint="eastAsia"/>
        </w:rPr>
        <w:t>文件一：资格、资质性及其他类似效力响应文件</w:t>
      </w:r>
    </w:p>
    <w:p>
      <w:pPr>
        <w:pStyle w:val="46"/>
        <w:adjustRightInd/>
        <w:spacing w:line="520" w:lineRule="exact"/>
      </w:pPr>
      <w:r>
        <w:rPr>
          <w:rFonts w:hint="eastAsia"/>
        </w:rPr>
        <w:t>包括但不限于竞争性磋商文件第四章规定的资格证明材料。</w:t>
      </w:r>
    </w:p>
    <w:p>
      <w:pPr>
        <w:pStyle w:val="36"/>
        <w:numPr>
          <w:ilvl w:val="0"/>
          <w:numId w:val="15"/>
        </w:numPr>
        <w:adjustRightInd/>
        <w:spacing w:line="520" w:lineRule="exact"/>
        <w:ind w:left="0" w:firstLine="480"/>
      </w:pPr>
      <w:r>
        <w:rPr>
          <w:rFonts w:hint="eastAsia"/>
        </w:rPr>
        <w:t>文件二：其他响应文件</w:t>
      </w:r>
    </w:p>
    <w:p>
      <w:pPr>
        <w:pStyle w:val="46"/>
        <w:adjustRightInd/>
        <w:spacing w:line="520" w:lineRule="exact"/>
      </w:pPr>
      <w:r>
        <w:rPr>
          <w:rFonts w:hint="eastAsia"/>
        </w:rPr>
        <w:t>包括但不限于竞争性磋商文件第三章格式要求的内容。</w:t>
      </w:r>
    </w:p>
    <w:p>
      <w:pPr>
        <w:pStyle w:val="63"/>
        <w:spacing w:line="520" w:lineRule="exact"/>
        <w:ind w:firstLine="480"/>
      </w:pPr>
      <w:r>
        <w:rPr>
          <w:rFonts w:hint="eastAsia"/>
        </w:rPr>
        <w:t>补充、修改的内容作为响应文件的组成部分。</w:t>
      </w:r>
    </w:p>
    <w:p>
      <w:pPr>
        <w:pStyle w:val="63"/>
        <w:spacing w:line="520" w:lineRule="exact"/>
        <w:ind w:firstLine="480"/>
      </w:pPr>
      <w:r>
        <w:rPr>
          <w:rFonts w:hint="eastAsia"/>
        </w:rPr>
        <w:t>最后报价是供应商响应文件的有效组成部分。</w:t>
      </w:r>
    </w:p>
    <w:p>
      <w:pPr>
        <w:pStyle w:val="49"/>
        <w:spacing w:line="520" w:lineRule="exact"/>
        <w:ind w:firstLine="482"/>
      </w:pPr>
      <w:bookmarkStart w:id="90" w:name="_Toc4939"/>
      <w:bookmarkStart w:id="91" w:name="_Toc2322"/>
      <w:bookmarkStart w:id="92" w:name="_Toc8102"/>
      <w:bookmarkStart w:id="93" w:name="_Toc11946"/>
      <w:bookmarkStart w:id="94" w:name="_Toc18684"/>
      <w:bookmarkStart w:id="95" w:name="_Toc30559"/>
      <w:r>
        <w:rPr>
          <w:rFonts w:hint="eastAsia"/>
        </w:rPr>
        <w:t>报价</w:t>
      </w:r>
      <w:bookmarkEnd w:id="90"/>
      <w:bookmarkEnd w:id="91"/>
      <w:bookmarkEnd w:id="92"/>
      <w:r>
        <w:rPr>
          <w:rFonts w:hint="eastAsia"/>
        </w:rPr>
        <w:t>要求(实质性要求)</w:t>
      </w:r>
      <w:bookmarkEnd w:id="93"/>
      <w:bookmarkEnd w:id="94"/>
      <w:bookmarkEnd w:id="95"/>
    </w:p>
    <w:p>
      <w:pPr>
        <w:pStyle w:val="63"/>
        <w:spacing w:line="520" w:lineRule="exact"/>
        <w:ind w:firstLine="480"/>
      </w:pPr>
      <w:r>
        <w:rPr>
          <w:rFonts w:hint="eastAsia"/>
        </w:rPr>
        <w:t>所有报价货币一律以人民币报价。采购人不接受任何非人民币币种的报价。</w:t>
      </w:r>
    </w:p>
    <w:p>
      <w:pPr>
        <w:pStyle w:val="63"/>
        <w:spacing w:line="520" w:lineRule="exact"/>
        <w:ind w:firstLine="482"/>
        <w:rPr>
          <w:b/>
          <w:bCs/>
        </w:rPr>
      </w:pPr>
      <w:r>
        <w:rPr>
          <w:rFonts w:hint="eastAsia"/>
          <w:b/>
          <w:bCs/>
        </w:rPr>
        <w:t>供应商在响应文件中可不提供报价，在磋商现场由评审委员会通知现场报价(报价表格式由采购代理机构现场提供，格式详见第三章)。</w:t>
      </w:r>
    </w:p>
    <w:p>
      <w:pPr>
        <w:pStyle w:val="63"/>
        <w:spacing w:line="520" w:lineRule="exact"/>
        <w:ind w:firstLine="480"/>
      </w:pPr>
      <w:r>
        <w:rPr>
          <w:rFonts w:hint="eastAsia"/>
        </w:rPr>
        <w:t>本次磋商采购最后报价采用现场报价，通过资格审查及实质性审查的供应商按磋商小组要求进行报价。</w:t>
      </w:r>
    </w:p>
    <w:p>
      <w:pPr>
        <w:pStyle w:val="63"/>
        <w:spacing w:line="520" w:lineRule="exact"/>
        <w:ind w:firstLine="480"/>
      </w:pPr>
      <w:r>
        <w:rPr>
          <w:rFonts w:hint="eastAsia"/>
          <w:lang w:val="zh-CN"/>
        </w:rPr>
        <w:t>供应商报价(包括最后报价)应为完成本竞争性磋商文件中所要求的</w:t>
      </w:r>
      <w:r>
        <w:rPr>
          <w:rFonts w:hint="eastAsia"/>
        </w:rPr>
        <w:t>服务</w:t>
      </w:r>
      <w:r>
        <w:rPr>
          <w:rFonts w:hint="eastAsia"/>
          <w:lang w:val="zh-CN"/>
        </w:rPr>
        <w:t>所应包括内容的所有价格</w:t>
      </w:r>
      <w:r>
        <w:rPr>
          <w:rFonts w:hint="eastAsia"/>
        </w:rPr>
        <w:t>(含招标代理服务费)</w:t>
      </w:r>
      <w:r>
        <w:rPr>
          <w:rFonts w:hint="eastAsia"/>
          <w:lang w:val="zh-CN"/>
        </w:rPr>
        <w:t>。</w:t>
      </w:r>
    </w:p>
    <w:p>
      <w:pPr>
        <w:pStyle w:val="63"/>
        <w:spacing w:line="520" w:lineRule="exact"/>
        <w:ind w:firstLine="480"/>
      </w:pPr>
      <w:r>
        <w:rPr>
          <w:rFonts w:hint="eastAsia"/>
        </w:rPr>
        <w:t>成交供应商的成交价是以最后报价表的报价为准，并以此作为结算的依据。</w:t>
      </w:r>
    </w:p>
    <w:p>
      <w:pPr>
        <w:pStyle w:val="63"/>
        <w:spacing w:line="520" w:lineRule="exact"/>
        <w:ind w:firstLine="480"/>
      </w:pPr>
      <w:r>
        <w:rPr>
          <w:rFonts w:hint="eastAsia"/>
        </w:rPr>
        <w:t>供应商提交的</w:t>
      </w:r>
      <w:r>
        <w:rPr>
          <w:rFonts w:hint="eastAsia"/>
          <w:lang w:val="zh-CN"/>
        </w:rPr>
        <w:t>报价(包括最后报价)</w:t>
      </w:r>
      <w:r>
        <w:rPr>
          <w:rFonts w:hint="eastAsia"/>
        </w:rPr>
        <w:t>不得超过本项目采购预算，否则将被作为无效响应处理。</w:t>
      </w:r>
    </w:p>
    <w:p>
      <w:pPr>
        <w:pStyle w:val="49"/>
        <w:spacing w:line="520" w:lineRule="exact"/>
        <w:ind w:firstLine="482"/>
      </w:pPr>
      <w:bookmarkStart w:id="96" w:name="_Toc25616"/>
      <w:bookmarkStart w:id="97" w:name="_Toc10494"/>
      <w:bookmarkStart w:id="98" w:name="_Toc20339"/>
      <w:r>
        <w:rPr>
          <w:rFonts w:hint="eastAsia"/>
        </w:rPr>
        <w:t>响应文件编制要求</w:t>
      </w:r>
      <w:bookmarkEnd w:id="96"/>
      <w:bookmarkEnd w:id="97"/>
      <w:bookmarkEnd w:id="98"/>
    </w:p>
    <w:p>
      <w:pPr>
        <w:pStyle w:val="63"/>
        <w:spacing w:line="520" w:lineRule="exact"/>
        <w:ind w:firstLine="480"/>
      </w:pPr>
      <w:r>
        <w:rPr>
          <w:rFonts w:hint="eastAsia"/>
        </w:rPr>
        <w:t>响应文件分</w:t>
      </w:r>
      <w:r>
        <w:rPr>
          <w:rFonts w:hint="eastAsia"/>
          <w:b/>
          <w:bCs/>
        </w:rPr>
        <w:t>《</w:t>
      </w:r>
      <w:r>
        <w:rPr>
          <w:rFonts w:hint="eastAsia"/>
          <w:b/>
          <w:bCs/>
          <w:u w:val="single"/>
        </w:rPr>
        <w:t>资格、资质性及其他类似效力响应文件</w:t>
      </w:r>
      <w:r>
        <w:rPr>
          <w:rFonts w:hint="eastAsia"/>
          <w:b/>
          <w:bCs/>
        </w:rPr>
        <w:t>》、《</w:t>
      </w:r>
      <w:r>
        <w:rPr>
          <w:rFonts w:hint="eastAsia"/>
          <w:b/>
          <w:bCs/>
          <w:u w:val="single"/>
        </w:rPr>
        <w:t>其他响应文件</w:t>
      </w:r>
      <w:r>
        <w:rPr>
          <w:rFonts w:hint="eastAsia"/>
          <w:b/>
          <w:bCs/>
        </w:rPr>
        <w:t>》</w:t>
      </w:r>
      <w:r>
        <w:rPr>
          <w:rFonts w:hint="eastAsia"/>
        </w:rPr>
        <w:t>两部分，分册装订，内容不得相互混装。</w:t>
      </w:r>
    </w:p>
    <w:p>
      <w:pPr>
        <w:pStyle w:val="63"/>
        <w:spacing w:line="520" w:lineRule="exact"/>
        <w:ind w:firstLine="480"/>
      </w:pPr>
      <w:r>
        <w:rPr>
          <w:rFonts w:hint="eastAsia"/>
        </w:rPr>
        <w:t>本项目供应商只提供纸质响应文件。</w:t>
      </w:r>
    </w:p>
    <w:p>
      <w:pPr>
        <w:pStyle w:val="63"/>
        <w:spacing w:line="520" w:lineRule="exact"/>
        <w:ind w:firstLine="480"/>
      </w:pPr>
      <w:r>
        <w:rPr>
          <w:rFonts w:hint="eastAsia"/>
        </w:rPr>
        <w:t>供应商递交的响应文件为一式叁份，其中</w:t>
      </w:r>
      <w:r>
        <w:rPr>
          <w:rFonts w:hint="eastAsia"/>
          <w:b/>
          <w:bCs/>
        </w:rPr>
        <w:t>正本壹份、副本贰份</w:t>
      </w:r>
      <w:r>
        <w:rPr>
          <w:rFonts w:hint="eastAsia"/>
        </w:rPr>
        <w:t>。</w:t>
      </w:r>
    </w:p>
    <w:p>
      <w:pPr>
        <w:pStyle w:val="63"/>
        <w:spacing w:line="520" w:lineRule="exact"/>
        <w:ind w:firstLine="480"/>
      </w:pPr>
      <w:r>
        <w:rPr>
          <w:rFonts w:hint="eastAsia"/>
        </w:rPr>
        <w:t>响应文件正副本应用不褪色、不变质的墨水书写或打印，并装订成册。并在响应文件封面标明项目名称、项目编号、磋商日期、供应商名称以及“正本”、“副本”字样。</w:t>
      </w:r>
    </w:p>
    <w:p>
      <w:pPr>
        <w:pStyle w:val="63"/>
        <w:spacing w:line="520" w:lineRule="exact"/>
        <w:ind w:firstLine="480"/>
      </w:pPr>
      <w:r>
        <w:rPr>
          <w:rFonts w:hint="eastAsia"/>
        </w:rPr>
        <w:t>响应文件正本和副本统一用A4幅面纸印制(图、表及证件可以除外)，逐页编目编码。响应文件副本可采用正本的复印件，若正本和副本有不一致的内容，以正本书面响应文件为准。</w:t>
      </w:r>
    </w:p>
    <w:p>
      <w:pPr>
        <w:pStyle w:val="63"/>
        <w:spacing w:line="520" w:lineRule="exact"/>
        <w:ind w:firstLine="480"/>
      </w:pPr>
      <w:r>
        <w:rPr>
          <w:rFonts w:hint="eastAsia"/>
        </w:rPr>
        <w:t>响应文件的正本和副本应采用左侧胶装，不得散装或不得采用活页夹等可随时拆换的方式装订，不得有零散页。</w:t>
      </w:r>
    </w:p>
    <w:p>
      <w:pPr>
        <w:pStyle w:val="63"/>
        <w:spacing w:line="520" w:lineRule="exact"/>
        <w:ind w:firstLine="480"/>
      </w:pPr>
      <w:r>
        <w:rPr>
          <w:rFonts w:hint="eastAsia"/>
        </w:rPr>
        <w:t>若同一册的内容较多，可装订成若干分册，并在封面标明次序及册数。</w:t>
      </w:r>
    </w:p>
    <w:p>
      <w:pPr>
        <w:pStyle w:val="63"/>
        <w:spacing w:line="520" w:lineRule="exact"/>
        <w:ind w:firstLine="480"/>
      </w:pPr>
      <w:r>
        <w:rPr>
          <w:rFonts w:hint="eastAsia"/>
        </w:rPr>
        <w:t>响应文件中的证明、证件及附件等复印件应集中紧附在相应正文内容后面，并尽量与前面正文部分的顺序相对应。</w:t>
      </w:r>
    </w:p>
    <w:p>
      <w:pPr>
        <w:pStyle w:val="63"/>
        <w:spacing w:line="520" w:lineRule="exact"/>
        <w:ind w:firstLine="480"/>
      </w:pPr>
      <w:r>
        <w:rPr>
          <w:rFonts w:hint="eastAsia"/>
        </w:rPr>
        <w:t>竞争性磋商文件要求响应文件签字的应按竞争性磋商文件的规定和要求签字(注：供应商为法人的，应当由其法定代表人或者授权代表签字确认；供应商为其他组织的，应当由其主要负责人或者授权代表签字确认；签字可用具有法定效力的个人印章代替)；竞争性磋商文件要求响应文件盖章的应加盖供应商单位公章，不得使用专用章(如经济合同章、投标专用章等)或下属单位印章代替；竞争性磋商文件未规定格式的可由供应商自拟格式并加盖供应商单位公章</w:t>
      </w:r>
      <w:r>
        <w:rPr>
          <w:rFonts w:hint="eastAsia"/>
          <w:b/>
          <w:bCs/>
        </w:rPr>
        <w:t>(实质性要求)</w:t>
      </w:r>
      <w:r>
        <w:rPr>
          <w:rFonts w:hint="eastAsia"/>
        </w:rPr>
        <w:t>。</w:t>
      </w:r>
    </w:p>
    <w:p>
      <w:pPr>
        <w:pStyle w:val="63"/>
        <w:spacing w:line="520" w:lineRule="exact"/>
        <w:ind w:firstLine="480"/>
      </w:pPr>
      <w:r>
        <w:rPr>
          <w:rFonts w:hint="eastAsia"/>
        </w:rPr>
        <w:t>本采购文件要求的复印件是指对图文进行复制后的文件，包括扫描、复印、影印等方式复制的材料。</w:t>
      </w:r>
    </w:p>
    <w:p>
      <w:pPr>
        <w:pStyle w:val="63"/>
        <w:spacing w:line="520" w:lineRule="exact"/>
        <w:ind w:firstLine="480"/>
      </w:pPr>
      <w:r>
        <w:rPr>
          <w:rFonts w:hint="eastAsia"/>
        </w:rPr>
        <w:t>为加强采购项目档案的数字化管理，便于采购人后期项目监督、审计及检查，倡导各供应商在递交本项目响应文件时一并递交项目的</w:t>
      </w:r>
      <w:r>
        <w:rPr>
          <w:rFonts w:hint="eastAsia"/>
          <w:b/>
          <w:bCs/>
        </w:rPr>
        <w:t>电子文档一份</w:t>
      </w:r>
      <w:r>
        <w:rPr>
          <w:rFonts w:hint="eastAsia"/>
        </w:rPr>
        <w:t>。电子文档为PDF格式版本，保存介质采用USB闪存盘(U盘)。制作要求为按竞争性磋商文件要求制作完成并加盖供应商公章及签名的响应文件的扫描件。电子文档单独密封递交，外层标注供应商名称、电子文档、加盖供应商公章。如电子文档与书面的响应文件有不一致的内容，以书面响应文件正本为准。</w:t>
      </w:r>
    </w:p>
    <w:p>
      <w:pPr>
        <w:pStyle w:val="63"/>
        <w:spacing w:line="520" w:lineRule="exact"/>
        <w:ind w:firstLine="480"/>
      </w:pPr>
      <w:r>
        <w:rPr>
          <w:rFonts w:hint="eastAsia"/>
        </w:rPr>
        <w:t>补充、修改的响应文件的装订也应按以上要求办理。</w:t>
      </w:r>
    </w:p>
    <w:p>
      <w:pPr>
        <w:pStyle w:val="49"/>
        <w:spacing w:line="520" w:lineRule="exact"/>
        <w:ind w:firstLine="482"/>
      </w:pPr>
      <w:bookmarkStart w:id="99" w:name="_Toc27421"/>
      <w:bookmarkStart w:id="100" w:name="_Toc26009"/>
      <w:bookmarkStart w:id="101" w:name="_Toc22549"/>
      <w:bookmarkStart w:id="102" w:name="_Toc6048"/>
      <w:bookmarkStart w:id="103" w:name="_Toc32589"/>
      <w:bookmarkStart w:id="104" w:name="_Toc27272"/>
      <w:bookmarkStart w:id="105" w:name="_Toc27391"/>
      <w:r>
        <w:rPr>
          <w:rFonts w:hint="eastAsia"/>
        </w:rPr>
        <w:t>响应文件的密封和标注</w:t>
      </w:r>
      <w:bookmarkEnd w:id="99"/>
      <w:bookmarkEnd w:id="100"/>
      <w:bookmarkEnd w:id="101"/>
    </w:p>
    <w:p>
      <w:pPr>
        <w:pStyle w:val="36"/>
        <w:numPr>
          <w:ilvl w:val="2"/>
          <w:numId w:val="0"/>
        </w:numPr>
        <w:spacing w:line="520" w:lineRule="exact"/>
        <w:ind w:firstLine="480" w:firstLineChars="200"/>
      </w:pPr>
      <w:r>
        <w:rPr>
          <w:rFonts w:hint="eastAsia"/>
        </w:rPr>
        <w:t>1.本项不属于本项目磋商小组评审范畴，由采购人、采购代理机构在接收响应文件时及时处理。</w:t>
      </w:r>
    </w:p>
    <w:p>
      <w:pPr>
        <w:pStyle w:val="36"/>
        <w:numPr>
          <w:ilvl w:val="2"/>
          <w:numId w:val="0"/>
        </w:numPr>
        <w:spacing w:line="520" w:lineRule="exact"/>
        <w:ind w:firstLine="480" w:firstLineChars="200"/>
      </w:pPr>
      <w:r>
        <w:rPr>
          <w:rFonts w:hint="eastAsia"/>
        </w:rPr>
        <w:t>2.响应文件可以单独密封包装，也可以将所有响应文件密封包装在一个密封袋内。</w:t>
      </w:r>
    </w:p>
    <w:p>
      <w:pPr>
        <w:pStyle w:val="36"/>
        <w:numPr>
          <w:ilvl w:val="2"/>
          <w:numId w:val="0"/>
        </w:numPr>
        <w:spacing w:line="520" w:lineRule="exact"/>
        <w:ind w:firstLine="480" w:firstLineChars="200"/>
      </w:pPr>
      <w:r>
        <w:rPr>
          <w:rFonts w:hint="eastAsia"/>
        </w:rPr>
        <w:t>3.响应文件密封袋的最外层应清楚地标明采购项目名称、项目编号、供应商名称、磋商日期。</w:t>
      </w:r>
    </w:p>
    <w:p>
      <w:pPr>
        <w:pStyle w:val="36"/>
        <w:numPr>
          <w:ilvl w:val="2"/>
          <w:numId w:val="0"/>
        </w:numPr>
        <w:spacing w:line="520" w:lineRule="exact"/>
        <w:ind w:firstLine="480" w:firstLineChars="200"/>
      </w:pPr>
      <w:r>
        <w:rPr>
          <w:rFonts w:hint="eastAsia"/>
        </w:rPr>
        <w:t>4.所有外层密封袋的封口处应粘贴牢固。</w:t>
      </w:r>
    </w:p>
    <w:p>
      <w:pPr>
        <w:pStyle w:val="36"/>
        <w:numPr>
          <w:ilvl w:val="2"/>
          <w:numId w:val="0"/>
        </w:numPr>
        <w:spacing w:line="520" w:lineRule="exact"/>
        <w:ind w:firstLine="480" w:firstLineChars="200"/>
      </w:pPr>
      <w:r>
        <w:rPr>
          <w:rFonts w:hint="eastAsia"/>
        </w:rPr>
        <w:t>5.未按以上要求进行密封和标注的响应文件，采购人、采购代理机构将拒收或者在响应文件递交截止时间前按照磋商文件要求修改完善后接收。</w:t>
      </w:r>
    </w:p>
    <w:p>
      <w:pPr>
        <w:pStyle w:val="49"/>
        <w:spacing w:line="520" w:lineRule="exact"/>
        <w:ind w:firstLine="482"/>
      </w:pPr>
      <w:bookmarkStart w:id="106" w:name="_Toc18479"/>
      <w:bookmarkStart w:id="107" w:name="_Toc21827"/>
      <w:r>
        <w:rPr>
          <w:rFonts w:hint="eastAsia"/>
        </w:rPr>
        <w:t>响应文件的递交</w:t>
      </w:r>
      <w:bookmarkEnd w:id="102"/>
      <w:bookmarkEnd w:id="103"/>
      <w:bookmarkEnd w:id="104"/>
      <w:bookmarkEnd w:id="105"/>
      <w:bookmarkEnd w:id="106"/>
      <w:bookmarkEnd w:id="107"/>
    </w:p>
    <w:p>
      <w:pPr>
        <w:pStyle w:val="63"/>
        <w:spacing w:line="520" w:lineRule="exact"/>
        <w:ind w:firstLine="480"/>
      </w:pPr>
      <w:r>
        <w:rPr>
          <w:rFonts w:hint="eastAsia"/>
        </w:rPr>
        <w:t>供应商应在竞争性磋商文件规定的响应文件递交截止时间前，将响应文件按磋商文件规定密封、签署、盖章后送达磋商地点。</w:t>
      </w:r>
      <w:r>
        <w:rPr>
          <w:rFonts w:hint="eastAsia"/>
          <w:b/>
          <w:bCs/>
        </w:rPr>
        <w:t>逾期送达的响应文件为无效文件</w:t>
      </w:r>
      <w:r>
        <w:rPr>
          <w:rFonts w:hint="eastAsia"/>
        </w:rPr>
        <w:t>，将被采购代理机构拒收。</w:t>
      </w:r>
    </w:p>
    <w:p>
      <w:pPr>
        <w:pStyle w:val="63"/>
        <w:spacing w:line="520" w:lineRule="exact"/>
        <w:ind w:firstLine="480"/>
      </w:pPr>
      <w:r>
        <w:rPr>
          <w:rFonts w:hint="eastAsia"/>
        </w:rPr>
        <w:t>递交响应文件时，供应商名称和响应文件的项目编号应当与报名供应商名称和磋商文件的项目编号一致。但是，响应文件实质内容与报名供应商名称和磋商文件的项目编号一致，只是封面文字错误的，可以在评审过程中当面予以澄清，以有效的澄清材料作为认定响应文件是否有效的依据。</w:t>
      </w:r>
    </w:p>
    <w:p>
      <w:pPr>
        <w:pStyle w:val="63"/>
        <w:spacing w:line="520" w:lineRule="exact"/>
        <w:ind w:firstLine="480"/>
      </w:pPr>
      <w:r>
        <w:rPr>
          <w:rFonts w:hint="eastAsia"/>
        </w:rPr>
        <w:t>本次竞争性磋商不接收邮寄的响应文件。</w:t>
      </w:r>
    </w:p>
    <w:p>
      <w:pPr>
        <w:pStyle w:val="49"/>
        <w:spacing w:line="520" w:lineRule="exact"/>
        <w:ind w:firstLine="482"/>
      </w:pPr>
      <w:bookmarkStart w:id="108" w:name="_Toc31189"/>
      <w:bookmarkStart w:id="109" w:name="_Toc11511"/>
      <w:bookmarkStart w:id="110" w:name="_Toc32690"/>
      <w:r>
        <w:rPr>
          <w:rFonts w:hint="eastAsia"/>
        </w:rPr>
        <w:t>响应文件的修改和撤回</w:t>
      </w:r>
      <w:bookmarkEnd w:id="108"/>
      <w:bookmarkEnd w:id="109"/>
      <w:bookmarkEnd w:id="110"/>
    </w:p>
    <w:p>
      <w:pPr>
        <w:pStyle w:val="63"/>
        <w:spacing w:line="520" w:lineRule="exact"/>
        <w:ind w:firstLine="480"/>
      </w:pPr>
      <w:r>
        <w:rPr>
          <w:rFonts w:hint="eastAsia"/>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补充、修改的内容应当按照磋商文件要求签署、盖章、密封后，作为响应文件的组成部分。</w:t>
      </w:r>
    </w:p>
    <w:p>
      <w:pPr>
        <w:pStyle w:val="63"/>
        <w:spacing w:line="520" w:lineRule="exact"/>
        <w:ind w:firstLine="480"/>
      </w:pPr>
      <w:r>
        <w:rPr>
          <w:rFonts w:hint="eastAsia"/>
        </w:rPr>
        <w:t>供应商的补充、修改或撤回申请书，应由其法定代表人/单位负责人或授权代表签署并盖单位公章。补充、修改应按磋商文件规定进行密封和标注，并在密封袋上标注“补充”、“修改”字样。</w:t>
      </w:r>
    </w:p>
    <w:p>
      <w:pPr>
        <w:pStyle w:val="63"/>
        <w:spacing w:line="520" w:lineRule="exact"/>
        <w:ind w:firstLine="480"/>
      </w:pPr>
      <w:r>
        <w:rPr>
          <w:rFonts w:hint="eastAsia"/>
        </w:rPr>
        <w:t>在响应文件递交截止时间之后，供应商不得对其递交的响应文件进行撤回。</w:t>
      </w:r>
    </w:p>
    <w:p>
      <w:pPr>
        <w:pStyle w:val="63"/>
        <w:spacing w:line="520" w:lineRule="exact"/>
        <w:ind w:firstLine="480"/>
      </w:pPr>
      <w:r>
        <w:rPr>
          <w:rFonts w:hint="eastAsia"/>
        </w:rPr>
        <w:t>供应商不得在递交截止时间起至响应文件有效期期满前撤销其响应文件，否则将认定其响应文件有效期的承诺为虚假承诺，并依法追究其法律责任。</w:t>
      </w:r>
    </w:p>
    <w:p>
      <w:pPr>
        <w:pStyle w:val="49"/>
        <w:spacing w:line="520" w:lineRule="exact"/>
        <w:ind w:firstLine="482"/>
      </w:pPr>
      <w:bookmarkStart w:id="111" w:name="_Toc9598"/>
      <w:bookmarkStart w:id="112" w:name="_Toc17928"/>
      <w:bookmarkStart w:id="113" w:name="_Toc31639"/>
      <w:bookmarkStart w:id="114" w:name="_Toc21442"/>
      <w:bookmarkStart w:id="115" w:name="_Toc482"/>
      <w:r>
        <w:rPr>
          <w:rFonts w:hint="eastAsia"/>
        </w:rPr>
        <w:t>磋商保证金</w:t>
      </w:r>
      <w:bookmarkEnd w:id="111"/>
      <w:bookmarkEnd w:id="112"/>
      <w:bookmarkEnd w:id="113"/>
      <w:bookmarkEnd w:id="114"/>
      <w:r>
        <w:rPr>
          <w:rFonts w:hint="eastAsia" w:cs="宋体"/>
        </w:rPr>
        <w:t>(实质性要求)</w:t>
      </w:r>
      <w:bookmarkEnd w:id="115"/>
    </w:p>
    <w:p>
      <w:pPr>
        <w:numPr>
          <w:ilvl w:val="3"/>
          <w:numId w:val="3"/>
        </w:numPr>
        <w:wordWrap w:val="0"/>
        <w:topLinePunct/>
        <w:spacing w:line="520" w:lineRule="exact"/>
        <w:ind w:firstLine="480" w:firstLineChars="200"/>
        <w:rPr>
          <w:rFonts w:cs="宋体"/>
          <w:kern w:val="0"/>
        </w:rPr>
      </w:pPr>
      <w:r>
        <w:rPr>
          <w:rFonts w:hint="eastAsia" w:cs="宋体"/>
          <w:kern w:val="0"/>
        </w:rPr>
        <w:t>供应商应按照竞争性磋商文件规定交纳磋商保证金。</w:t>
      </w:r>
    </w:p>
    <w:p>
      <w:pPr>
        <w:numPr>
          <w:ilvl w:val="3"/>
          <w:numId w:val="3"/>
        </w:numPr>
        <w:wordWrap w:val="0"/>
        <w:topLinePunct/>
        <w:spacing w:line="520" w:lineRule="exact"/>
        <w:ind w:firstLine="480" w:firstLineChars="200"/>
        <w:rPr>
          <w:rFonts w:cs="宋体"/>
          <w:kern w:val="0"/>
        </w:rPr>
      </w:pPr>
      <w:r>
        <w:rPr>
          <w:rFonts w:hint="eastAsia" w:cs="宋体"/>
          <w:kern w:val="0"/>
        </w:rPr>
        <w:t>供应商须将提交磋商保证金的银行回单复印件加盖供应商公章作为其磋商保证金有效凭证；若以保函方式提交磋商保证金的，提供加盖该供应商公章的保函原件作为有效凭证。</w:t>
      </w:r>
    </w:p>
    <w:p>
      <w:pPr>
        <w:numPr>
          <w:ilvl w:val="3"/>
          <w:numId w:val="3"/>
        </w:numPr>
        <w:wordWrap w:val="0"/>
        <w:topLinePunct/>
        <w:spacing w:line="520" w:lineRule="exact"/>
        <w:ind w:firstLine="480" w:firstLineChars="200"/>
        <w:rPr>
          <w:rFonts w:cs="宋体"/>
          <w:kern w:val="0"/>
        </w:rPr>
      </w:pPr>
      <w:r>
        <w:rPr>
          <w:rFonts w:hint="eastAsia" w:cs="宋体"/>
          <w:kern w:val="0"/>
        </w:rPr>
        <w:t>磋商保证金的交纳凭证应按磋商文件要求装订在响应文件中与响应文件同时递交。未按磋商文件要求在规定时间前交纳规定数额磋商保证金的响应文件无效。</w:t>
      </w:r>
    </w:p>
    <w:p>
      <w:pPr>
        <w:numPr>
          <w:ilvl w:val="3"/>
          <w:numId w:val="3"/>
        </w:numPr>
        <w:wordWrap w:val="0"/>
        <w:topLinePunct/>
        <w:spacing w:line="520" w:lineRule="exact"/>
        <w:ind w:firstLine="480" w:firstLineChars="200"/>
        <w:rPr>
          <w:rFonts w:cs="宋体"/>
          <w:kern w:val="0"/>
        </w:rPr>
      </w:pPr>
      <w:r>
        <w:rPr>
          <w:rFonts w:hint="eastAsia" w:cs="宋体"/>
          <w:kern w:val="0"/>
        </w:rPr>
        <w:t>供应商所交纳的磋商保证金不计利息。</w:t>
      </w:r>
    </w:p>
    <w:p>
      <w:pPr>
        <w:numPr>
          <w:ilvl w:val="3"/>
          <w:numId w:val="3"/>
        </w:numPr>
        <w:wordWrap w:val="0"/>
        <w:topLinePunct/>
        <w:spacing w:line="520" w:lineRule="exact"/>
        <w:ind w:firstLine="480" w:firstLineChars="200"/>
        <w:rPr>
          <w:rFonts w:cs="宋体"/>
          <w:kern w:val="0"/>
        </w:rPr>
      </w:pPr>
      <w:r>
        <w:rPr>
          <w:rFonts w:hint="eastAsia" w:cs="宋体"/>
          <w:kern w:val="0"/>
        </w:rPr>
        <w:t>未成交供应商的磋商保证金，将在成交通知书发出后五个工作日内全额退还。成交供应商的磋商保证金，在合同签订生效后五个工作日内全额退还，退还时请返还采购合同(原件)1份，到本采购代理机构财务部门办理。</w:t>
      </w:r>
    </w:p>
    <w:p>
      <w:pPr>
        <w:wordWrap w:val="0"/>
        <w:topLinePunct/>
        <w:spacing w:line="520" w:lineRule="exact"/>
        <w:ind w:firstLine="482" w:firstLineChars="200"/>
        <w:jc w:val="both"/>
        <w:rPr>
          <w:rFonts w:ascii="Times New Roman" w:hAnsi="Times New Roman"/>
          <w:b/>
          <w:kern w:val="0"/>
        </w:rPr>
      </w:pPr>
      <w:r>
        <w:rPr>
          <w:rFonts w:hint="eastAsia" w:ascii="Times New Roman" w:hAnsi="Times New Roman"/>
          <w:b/>
          <w:kern w:val="0"/>
        </w:rPr>
        <w:t>注：①因供应商自身原因造成的保证金延迟退还，采购代理机构不承担相应责任；②供应商因涉嫌违法违规，按照规定应当不予退还保证金的，有关部门处理认定违法违规行为期间不计入退还保证金期限内。</w:t>
      </w:r>
    </w:p>
    <w:p>
      <w:pPr>
        <w:numPr>
          <w:ilvl w:val="3"/>
          <w:numId w:val="3"/>
        </w:numPr>
        <w:wordWrap w:val="0"/>
        <w:topLinePunct/>
        <w:spacing w:line="520" w:lineRule="exact"/>
        <w:ind w:firstLine="480" w:firstLineChars="200"/>
        <w:rPr>
          <w:rFonts w:cs="宋体"/>
          <w:kern w:val="0"/>
        </w:rPr>
      </w:pPr>
      <w:r>
        <w:rPr>
          <w:rFonts w:hint="eastAsia" w:cs="宋体"/>
          <w:kern w:val="0"/>
        </w:rPr>
        <w:t>发生下列情形之一的，采购代理机构将不予退还磋商保证金：</w:t>
      </w:r>
    </w:p>
    <w:p>
      <w:pPr>
        <w:wordWrap w:val="0"/>
        <w:topLinePunct/>
        <w:spacing w:line="520" w:lineRule="exact"/>
        <w:ind w:firstLine="480" w:firstLineChars="200"/>
        <w:jc w:val="both"/>
        <w:rPr>
          <w:rFonts w:cs="宋体"/>
          <w:bCs/>
          <w:kern w:val="0"/>
        </w:rPr>
      </w:pPr>
      <w:r>
        <w:rPr>
          <w:rFonts w:hint="eastAsia" w:cs="宋体"/>
          <w:bCs/>
          <w:kern w:val="0"/>
        </w:rPr>
        <w:t>6.1供应商在提交响应文件截止时间后撤回响应文件的；</w:t>
      </w:r>
    </w:p>
    <w:p>
      <w:pPr>
        <w:wordWrap w:val="0"/>
        <w:topLinePunct/>
        <w:spacing w:line="520" w:lineRule="exact"/>
        <w:ind w:firstLine="480" w:firstLineChars="200"/>
        <w:jc w:val="both"/>
        <w:rPr>
          <w:rFonts w:cs="宋体"/>
          <w:bCs/>
          <w:kern w:val="0"/>
        </w:rPr>
      </w:pPr>
      <w:r>
        <w:rPr>
          <w:rFonts w:hint="eastAsia" w:cs="宋体"/>
          <w:bCs/>
          <w:kern w:val="0"/>
        </w:rPr>
        <w:t>6.2供应商在响应文件中提供虚假材料的；</w:t>
      </w:r>
    </w:p>
    <w:p>
      <w:pPr>
        <w:wordWrap w:val="0"/>
        <w:topLinePunct/>
        <w:spacing w:line="520" w:lineRule="exact"/>
        <w:ind w:firstLine="480" w:firstLineChars="200"/>
        <w:jc w:val="both"/>
        <w:rPr>
          <w:rFonts w:cs="宋体"/>
          <w:bCs/>
          <w:kern w:val="0"/>
        </w:rPr>
      </w:pPr>
      <w:r>
        <w:rPr>
          <w:rFonts w:hint="eastAsia" w:cs="宋体"/>
          <w:bCs/>
          <w:kern w:val="0"/>
        </w:rPr>
        <w:t>6.3除因不可抗力或磋商文件认可的情形以外，成交供应商不与采购人签订合同的；</w:t>
      </w:r>
    </w:p>
    <w:p>
      <w:pPr>
        <w:wordWrap w:val="0"/>
        <w:topLinePunct/>
        <w:spacing w:line="520" w:lineRule="exact"/>
        <w:ind w:firstLine="480" w:firstLineChars="200"/>
        <w:jc w:val="both"/>
        <w:rPr>
          <w:rFonts w:cs="宋体"/>
          <w:bCs/>
          <w:kern w:val="0"/>
        </w:rPr>
      </w:pPr>
      <w:r>
        <w:rPr>
          <w:rFonts w:hint="eastAsia" w:cs="宋体"/>
          <w:bCs/>
          <w:kern w:val="0"/>
        </w:rPr>
        <w:t>6.4供应商与采购人、其他供应商或者采购代理机构恶意串通的；</w:t>
      </w:r>
    </w:p>
    <w:p>
      <w:pPr>
        <w:wordWrap w:val="0"/>
        <w:topLinePunct/>
        <w:spacing w:line="520" w:lineRule="exact"/>
        <w:ind w:firstLine="480" w:firstLineChars="200"/>
        <w:jc w:val="both"/>
        <w:rPr>
          <w:bCs/>
        </w:rPr>
      </w:pPr>
      <w:r>
        <w:rPr>
          <w:rFonts w:hint="eastAsia" w:cs="宋体"/>
          <w:bCs/>
          <w:kern w:val="0"/>
        </w:rPr>
        <w:t>6.5磋商文件规定的其他情形</w:t>
      </w:r>
      <w:r>
        <w:rPr>
          <w:rFonts w:hint="eastAsia"/>
          <w:bCs/>
        </w:rPr>
        <w:t>。</w:t>
      </w:r>
    </w:p>
    <w:p>
      <w:pPr>
        <w:pStyle w:val="35"/>
        <w:spacing w:before="120" w:beforeLines="50" w:after="120" w:afterLines="50" w:line="520" w:lineRule="exact"/>
        <w:ind w:firstLine="0" w:firstLineChars="0"/>
        <w:jc w:val="center"/>
        <w:rPr>
          <w:sz w:val="36"/>
          <w:szCs w:val="36"/>
        </w:rPr>
      </w:pPr>
      <w:bookmarkStart w:id="116" w:name="_Toc23809"/>
      <w:bookmarkStart w:id="117" w:name="_Toc29699"/>
      <w:bookmarkStart w:id="118" w:name="_Toc152"/>
      <w:bookmarkStart w:id="119" w:name="_Toc6138"/>
      <w:bookmarkStart w:id="120" w:name="_Toc6947"/>
      <w:bookmarkStart w:id="121" w:name="_Toc5914"/>
      <w:r>
        <w:rPr>
          <w:rFonts w:hint="eastAsia"/>
          <w:sz w:val="36"/>
          <w:szCs w:val="36"/>
        </w:rPr>
        <w:t>磋商会</w:t>
      </w:r>
      <w:bookmarkEnd w:id="116"/>
      <w:bookmarkEnd w:id="117"/>
      <w:bookmarkEnd w:id="118"/>
    </w:p>
    <w:p>
      <w:pPr>
        <w:pStyle w:val="33"/>
        <w:numPr>
          <w:ilvl w:val="1"/>
          <w:numId w:val="16"/>
        </w:numPr>
        <w:spacing w:line="520" w:lineRule="exact"/>
        <w:ind w:firstLine="482"/>
        <w:outlineLvl w:val="2"/>
        <w:rPr>
          <w:b/>
          <w:bCs/>
        </w:rPr>
      </w:pPr>
      <w:bookmarkStart w:id="122" w:name="_Toc29277"/>
      <w:bookmarkStart w:id="123" w:name="_Toc13910"/>
      <w:r>
        <w:rPr>
          <w:rFonts w:hint="eastAsia"/>
          <w:b/>
          <w:bCs/>
        </w:rPr>
        <w:t>磋商会人员</w:t>
      </w:r>
      <w:bookmarkEnd w:id="122"/>
      <w:bookmarkEnd w:id="123"/>
    </w:p>
    <w:p>
      <w:pPr>
        <w:pStyle w:val="46"/>
        <w:spacing w:line="520" w:lineRule="exact"/>
      </w:pPr>
      <w:r>
        <w:rPr>
          <w:rFonts w:hint="eastAsia"/>
        </w:rPr>
        <w:t>采购代理机构在竞争性磋商文件规定的时间和地点组织磋商，采购人、供应商须派授权代表参加并签到以证明其出席，磋商会由采购代理机构主持。</w:t>
      </w:r>
    </w:p>
    <w:p>
      <w:pPr>
        <w:pStyle w:val="33"/>
        <w:numPr>
          <w:ilvl w:val="1"/>
          <w:numId w:val="16"/>
        </w:numPr>
        <w:spacing w:line="520" w:lineRule="exact"/>
        <w:ind w:firstLine="482"/>
        <w:outlineLvl w:val="2"/>
        <w:rPr>
          <w:b/>
          <w:bCs/>
        </w:rPr>
      </w:pPr>
      <w:bookmarkStart w:id="124" w:name="_Toc31855"/>
      <w:bookmarkStart w:id="125" w:name="_Toc31335"/>
      <w:r>
        <w:rPr>
          <w:rFonts w:hint="eastAsia"/>
          <w:b/>
          <w:bCs/>
        </w:rPr>
        <w:t>磋商会内容</w:t>
      </w:r>
      <w:bookmarkEnd w:id="124"/>
      <w:bookmarkEnd w:id="125"/>
    </w:p>
    <w:p>
      <w:pPr>
        <w:pStyle w:val="46"/>
        <w:spacing w:line="520" w:lineRule="exact"/>
      </w:pPr>
      <w:r>
        <w:rPr>
          <w:rFonts w:hint="eastAsia"/>
        </w:rPr>
        <w:t>磋商会主持人按照磋商文件规定宣布响应文件递交截止时间，按照规定主持磋商会。将按以下程序进行：</w:t>
      </w:r>
    </w:p>
    <w:p>
      <w:pPr>
        <w:pStyle w:val="36"/>
        <w:spacing w:line="520" w:lineRule="exact"/>
        <w:ind w:firstLine="480"/>
      </w:pPr>
      <w:r>
        <w:rPr>
          <w:rFonts w:hint="eastAsia"/>
        </w:rPr>
        <w:t>宣布磋商会开始。响应文件递交截止时间已到，主持人宣布磋商会开始并致辞；</w:t>
      </w:r>
    </w:p>
    <w:p>
      <w:pPr>
        <w:pStyle w:val="36"/>
        <w:spacing w:line="520" w:lineRule="exact"/>
        <w:ind w:firstLine="480"/>
      </w:pPr>
      <w:r>
        <w:rPr>
          <w:rFonts w:hint="eastAsia"/>
        </w:rPr>
        <w:t>宣布会场纪律和有关注意事项；</w:t>
      </w:r>
    </w:p>
    <w:p>
      <w:pPr>
        <w:pStyle w:val="36"/>
        <w:spacing w:line="520" w:lineRule="exact"/>
        <w:ind w:firstLine="480"/>
      </w:pPr>
      <w:r>
        <w:rPr>
          <w:rFonts w:hint="eastAsia"/>
        </w:rPr>
        <w:t>确认响应文件的密封情况，是指供应商确认自己递交的响应文件的密封情况，不代表对其他供应商的响应文件的密封情况确认。供应商或者其推选的代表对其他供应商的响应文件密封情况有异议的，可以当场向会议主持人或者现场监督人员反映，要求现场记录人员予以记录，但不得干扰、阻挠磋商会议工作的正常进行；</w:t>
      </w:r>
    </w:p>
    <w:p>
      <w:pPr>
        <w:pStyle w:val="36"/>
        <w:spacing w:line="520" w:lineRule="exact"/>
        <w:ind w:firstLine="480"/>
      </w:pPr>
      <w:r>
        <w:rPr>
          <w:rFonts w:hint="eastAsia"/>
        </w:rPr>
        <w:t>供应商或者其推选的代表需现场对磋商会议记录进行签字确认经确认无误后，由采购代理机构工作人员宣布磋商纪律，并由供应商签字确认；</w:t>
      </w:r>
    </w:p>
    <w:p>
      <w:pPr>
        <w:pStyle w:val="36"/>
        <w:spacing w:line="520" w:lineRule="exact"/>
        <w:ind w:firstLine="480"/>
      </w:pPr>
      <w:r>
        <w:rPr>
          <w:rFonts w:hint="eastAsia"/>
        </w:rPr>
        <w:t>供应商不足3家的，终止采购活动，并退回响应文件；</w:t>
      </w:r>
    </w:p>
    <w:p>
      <w:pPr>
        <w:pStyle w:val="36"/>
        <w:spacing w:line="520" w:lineRule="exact"/>
        <w:ind w:firstLine="480"/>
      </w:pPr>
      <w:r>
        <w:rPr>
          <w:rFonts w:hint="eastAsia"/>
        </w:rPr>
        <w:t>宣布磋商会结束。所有供应商代表应立即退场。同时所有供应商应保持通讯设备的畅通，以方便进行下一步的磋商活动和在评审过程中评审委员会要求供应商对响应文件的必要澄清、说明或者更正。评审结果供应商在</w:t>
      </w:r>
      <w:r>
        <w:rPr>
          <w:rFonts w:hint="eastAsia"/>
          <w:lang w:eastAsia="zh-CN"/>
        </w:rPr>
        <w:t>“中国招标投标公共服务平台”</w:t>
      </w:r>
      <w:r>
        <w:rPr>
          <w:rFonts w:hint="eastAsia"/>
        </w:rPr>
        <w:t>查询。</w:t>
      </w:r>
    </w:p>
    <w:bookmarkEnd w:id="119"/>
    <w:bookmarkEnd w:id="120"/>
    <w:bookmarkEnd w:id="121"/>
    <w:p>
      <w:pPr>
        <w:pStyle w:val="33"/>
        <w:numPr>
          <w:ilvl w:val="1"/>
          <w:numId w:val="16"/>
        </w:numPr>
        <w:spacing w:line="520" w:lineRule="exact"/>
        <w:ind w:firstLine="482"/>
        <w:outlineLvl w:val="2"/>
        <w:rPr>
          <w:b/>
          <w:bCs/>
        </w:rPr>
      </w:pPr>
      <w:bookmarkStart w:id="126" w:name="_Toc19847"/>
      <w:bookmarkStart w:id="127" w:name="_Toc10036"/>
      <w:bookmarkStart w:id="128" w:name="_Toc10103"/>
      <w:r>
        <w:rPr>
          <w:rFonts w:hint="eastAsia"/>
          <w:b/>
          <w:bCs/>
        </w:rPr>
        <w:t>电子监控档案</w:t>
      </w:r>
      <w:bookmarkEnd w:id="126"/>
      <w:bookmarkEnd w:id="127"/>
      <w:bookmarkEnd w:id="128"/>
    </w:p>
    <w:p>
      <w:pPr>
        <w:pStyle w:val="33"/>
        <w:numPr>
          <w:ilvl w:val="1"/>
          <w:numId w:val="0"/>
        </w:numPr>
        <w:spacing w:line="520" w:lineRule="exact"/>
        <w:ind w:left="480" w:leftChars="200"/>
      </w:pPr>
      <w:r>
        <w:rPr>
          <w:rFonts w:hint="eastAsia"/>
        </w:rPr>
        <w:t>本项目磋商会和评审过程进行全过程电子监控，并将电子监控资料存储介质留存归档。</w:t>
      </w:r>
    </w:p>
    <w:p>
      <w:pPr>
        <w:pStyle w:val="35"/>
        <w:spacing w:before="120" w:beforeLines="50" w:after="120" w:afterLines="50" w:line="520" w:lineRule="exact"/>
        <w:ind w:firstLine="0" w:firstLineChars="0"/>
        <w:jc w:val="center"/>
        <w:rPr>
          <w:sz w:val="36"/>
          <w:szCs w:val="36"/>
        </w:rPr>
      </w:pPr>
      <w:bookmarkStart w:id="129" w:name="_Toc5015"/>
      <w:bookmarkStart w:id="130" w:name="_Toc31404"/>
      <w:bookmarkStart w:id="131" w:name="_Toc18593"/>
      <w:bookmarkStart w:id="132" w:name="_Toc12604"/>
      <w:bookmarkStart w:id="133" w:name="_Toc14786"/>
      <w:bookmarkStart w:id="134" w:name="_Toc8117"/>
      <w:bookmarkStart w:id="135" w:name="_Toc11904"/>
      <w:r>
        <w:rPr>
          <w:rFonts w:hint="eastAsia"/>
          <w:sz w:val="36"/>
          <w:szCs w:val="36"/>
        </w:rPr>
        <w:t>成交事项</w:t>
      </w:r>
      <w:bookmarkEnd w:id="129"/>
      <w:bookmarkEnd w:id="130"/>
      <w:bookmarkEnd w:id="131"/>
    </w:p>
    <w:bookmarkEnd w:id="132"/>
    <w:bookmarkEnd w:id="133"/>
    <w:bookmarkEnd w:id="134"/>
    <w:bookmarkEnd w:id="135"/>
    <w:p>
      <w:pPr>
        <w:pStyle w:val="49"/>
        <w:spacing w:line="520" w:lineRule="exact"/>
        <w:ind w:firstLine="482"/>
      </w:pPr>
      <w:bookmarkStart w:id="136" w:name="_Toc16799"/>
      <w:bookmarkStart w:id="137" w:name="_Toc17044"/>
      <w:bookmarkStart w:id="138" w:name="_Toc27841"/>
      <w:r>
        <w:rPr>
          <w:rFonts w:hint="eastAsia"/>
        </w:rPr>
        <w:t>确定成交</w:t>
      </w:r>
      <w:bookmarkEnd w:id="136"/>
      <w:r>
        <w:rPr>
          <w:rFonts w:hint="eastAsia"/>
        </w:rPr>
        <w:t>供应商</w:t>
      </w:r>
      <w:bookmarkEnd w:id="137"/>
      <w:bookmarkEnd w:id="138"/>
    </w:p>
    <w:p>
      <w:pPr>
        <w:pStyle w:val="63"/>
        <w:spacing w:line="520" w:lineRule="exact"/>
        <w:ind w:firstLine="480"/>
      </w:pPr>
      <w:r>
        <w:rPr>
          <w:rFonts w:hint="eastAsia"/>
        </w:rPr>
        <w:t>采购代理机构应当在评审结束后2个工作日内将评审报告送采购人确认。</w:t>
      </w:r>
    </w:p>
    <w:p>
      <w:pPr>
        <w:pStyle w:val="63"/>
        <w:spacing w:line="520" w:lineRule="exact"/>
        <w:ind w:firstLine="480"/>
      </w:pPr>
      <w:r>
        <w:rPr>
          <w:rFonts w:hint="eastAsia"/>
        </w:rPr>
        <w:t>本项目采购人根据磋商小组推荐的成交候选人名单，按顺序确定成交供应商。如果成交候选人及其现任法定代表人、主要负责人存在行贿犯罪记录，采购人将不确定其为成交供应商。采购人在确认成交供应商前，应到中国裁判文书网(https://wenshu.court.gov.cn)查询成交候选供应商及其现任法定代表人、主要负责人是否存在行贿犯罪记录。</w:t>
      </w:r>
    </w:p>
    <w:p>
      <w:pPr>
        <w:pStyle w:val="63"/>
        <w:spacing w:line="520" w:lineRule="exact"/>
        <w:ind w:firstLine="480"/>
      </w:pPr>
      <w:r>
        <w:rPr>
          <w:rFonts w:hint="eastAsia"/>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pStyle w:val="63"/>
        <w:spacing w:line="520" w:lineRule="exact"/>
        <w:ind w:firstLine="480"/>
      </w:pPr>
      <w:r>
        <w:rPr>
          <w:rFonts w:hint="eastAsia"/>
        </w:rPr>
        <w:t>采购人不确定排序前一位成交候选供应商为成交供应商的，应当将不确定的理由书面告知该成交候选供应商，并在</w:t>
      </w:r>
      <w:r>
        <w:rPr>
          <w:rFonts w:hint="eastAsia"/>
          <w:lang w:eastAsia="zh-CN"/>
        </w:rPr>
        <w:t>“中国招标投标公共服务平台”</w:t>
      </w:r>
      <w:r>
        <w:rPr>
          <w:rFonts w:hint="eastAsia"/>
        </w:rPr>
        <w:t>公告。</w:t>
      </w:r>
    </w:p>
    <w:p>
      <w:pPr>
        <w:pStyle w:val="63"/>
        <w:spacing w:line="520" w:lineRule="exact"/>
        <w:ind w:firstLine="480"/>
      </w:pPr>
      <w:r>
        <w:rPr>
          <w:rFonts w:hint="eastAsia"/>
        </w:rPr>
        <w:t>采购人依法确定不出成交供应商的，应当重新组织采购，书面告知成交候选供应商，说明理由，并在</w:t>
      </w:r>
      <w:r>
        <w:rPr>
          <w:rFonts w:hint="eastAsia"/>
          <w:lang w:eastAsia="zh-CN"/>
        </w:rPr>
        <w:t>“中国招标投标公共服务平台”</w:t>
      </w:r>
      <w:r>
        <w:rPr>
          <w:rFonts w:hint="eastAsia"/>
        </w:rPr>
        <w:t>公告。</w:t>
      </w:r>
    </w:p>
    <w:p>
      <w:pPr>
        <w:pStyle w:val="63"/>
        <w:spacing w:line="520" w:lineRule="exact"/>
        <w:ind w:firstLine="480"/>
      </w:pPr>
      <w:r>
        <w:rPr>
          <w:rFonts w:hint="eastAsia"/>
        </w:rPr>
        <w:t>采购人确定成交供应商过程中，发现成交候选供应商有下列情形之一的，不予确定其为成交供应商：</w:t>
      </w:r>
    </w:p>
    <w:p>
      <w:pPr>
        <w:pStyle w:val="63"/>
        <w:numPr>
          <w:ilvl w:val="3"/>
          <w:numId w:val="0"/>
        </w:numPr>
        <w:spacing w:line="520" w:lineRule="exact"/>
        <w:ind w:left="480" w:leftChars="200"/>
      </w:pPr>
      <w:r>
        <w:rPr>
          <w:rFonts w:hint="eastAsia"/>
        </w:rPr>
        <w:t>6.1成交候选供应商属于禁止参加本项目采购活动的；</w:t>
      </w:r>
    </w:p>
    <w:p>
      <w:pPr>
        <w:pStyle w:val="63"/>
        <w:numPr>
          <w:ilvl w:val="3"/>
          <w:numId w:val="0"/>
        </w:numPr>
        <w:spacing w:line="520" w:lineRule="exact"/>
        <w:ind w:left="480" w:leftChars="200"/>
      </w:pPr>
      <w:r>
        <w:rPr>
          <w:rFonts w:hint="eastAsia"/>
        </w:rPr>
        <w:t>6.2成交候选供应商因不可抗力，不能继续参加采购活动；</w:t>
      </w:r>
    </w:p>
    <w:p>
      <w:pPr>
        <w:pStyle w:val="63"/>
        <w:numPr>
          <w:ilvl w:val="3"/>
          <w:numId w:val="0"/>
        </w:numPr>
        <w:spacing w:line="520" w:lineRule="exact"/>
        <w:ind w:left="480" w:leftChars="200"/>
      </w:pPr>
      <w:r>
        <w:rPr>
          <w:rFonts w:hint="eastAsia"/>
        </w:rPr>
        <w:t>6.3成交候选供应商无偿赠与或者低于成本价竞争；</w:t>
      </w:r>
    </w:p>
    <w:p>
      <w:pPr>
        <w:pStyle w:val="63"/>
        <w:numPr>
          <w:ilvl w:val="3"/>
          <w:numId w:val="0"/>
        </w:numPr>
        <w:spacing w:line="520" w:lineRule="exact"/>
        <w:ind w:left="480" w:leftChars="200"/>
      </w:pPr>
      <w:r>
        <w:rPr>
          <w:rFonts w:hint="eastAsia"/>
        </w:rPr>
        <w:t>6.4成交候选供应商提供虚假材料；</w:t>
      </w:r>
    </w:p>
    <w:p>
      <w:pPr>
        <w:pStyle w:val="63"/>
        <w:numPr>
          <w:ilvl w:val="3"/>
          <w:numId w:val="0"/>
        </w:numPr>
        <w:spacing w:line="520" w:lineRule="exact"/>
        <w:ind w:left="480" w:leftChars="200"/>
      </w:pPr>
      <w:r>
        <w:rPr>
          <w:rFonts w:hint="eastAsia"/>
        </w:rPr>
        <w:t>6.5成交候选供应商恶意串通。</w:t>
      </w:r>
    </w:p>
    <w:p>
      <w:pPr>
        <w:pStyle w:val="49"/>
        <w:spacing w:line="520" w:lineRule="exact"/>
        <w:ind w:firstLine="482"/>
      </w:pPr>
      <w:bookmarkStart w:id="139" w:name="_Toc17698"/>
      <w:bookmarkStart w:id="140" w:name="_Toc6422"/>
      <w:bookmarkStart w:id="141" w:name="_Toc30953"/>
      <w:r>
        <w:rPr>
          <w:rFonts w:hint="eastAsia"/>
        </w:rPr>
        <w:t>成交结果</w:t>
      </w:r>
      <w:bookmarkEnd w:id="139"/>
      <w:bookmarkEnd w:id="140"/>
      <w:bookmarkEnd w:id="141"/>
    </w:p>
    <w:p>
      <w:pPr>
        <w:pStyle w:val="63"/>
        <w:numPr>
          <w:ilvl w:val="0"/>
          <w:numId w:val="17"/>
        </w:numPr>
        <w:tabs>
          <w:tab w:val="clear" w:pos="312"/>
        </w:tabs>
        <w:spacing w:line="520" w:lineRule="exact"/>
        <w:ind w:firstLine="480"/>
      </w:pPr>
      <w:bookmarkStart w:id="142" w:name="_Toc7224"/>
      <w:r>
        <w:rPr>
          <w:rFonts w:hint="eastAsia"/>
        </w:rPr>
        <w:t>采购代理机构在成交供应商确定后2个工作日内，在</w:t>
      </w:r>
      <w:r>
        <w:rPr>
          <w:rFonts w:hint="eastAsia"/>
          <w:lang w:eastAsia="zh-CN"/>
        </w:rPr>
        <w:t>“中国招标投标公共服务平台”</w:t>
      </w:r>
      <w:r>
        <w:rPr>
          <w:rFonts w:hint="eastAsia"/>
        </w:rPr>
        <w:t>发布成交公告，同时采购代理机构将成交通知书发至成交供应商。</w:t>
      </w:r>
    </w:p>
    <w:p>
      <w:pPr>
        <w:pStyle w:val="63"/>
        <w:numPr>
          <w:ilvl w:val="3"/>
          <w:numId w:val="0"/>
        </w:numPr>
        <w:spacing w:line="520" w:lineRule="exact"/>
        <w:ind w:firstLine="480" w:firstLineChars="200"/>
      </w:pPr>
      <w:r>
        <w:rPr>
          <w:rFonts w:hint="eastAsia"/>
        </w:rPr>
        <w:t>2.采购项目需要交纳履约保证金的，成交供应商应当按照规定和要求及时向采购人交纳。</w:t>
      </w:r>
    </w:p>
    <w:p>
      <w:pPr>
        <w:pStyle w:val="49"/>
        <w:spacing w:line="520" w:lineRule="exact"/>
        <w:ind w:firstLine="482"/>
      </w:pPr>
      <w:bookmarkStart w:id="143" w:name="_Toc31562"/>
      <w:bookmarkStart w:id="144" w:name="_Toc30607"/>
      <w:r>
        <w:rPr>
          <w:rFonts w:hint="eastAsia"/>
        </w:rPr>
        <w:t>成交通知书</w:t>
      </w:r>
      <w:bookmarkEnd w:id="142"/>
      <w:bookmarkEnd w:id="143"/>
      <w:bookmarkEnd w:id="144"/>
    </w:p>
    <w:p>
      <w:pPr>
        <w:pStyle w:val="63"/>
        <w:spacing w:line="520" w:lineRule="exact"/>
        <w:ind w:firstLine="480"/>
      </w:pPr>
      <w:r>
        <w:rPr>
          <w:rFonts w:hint="eastAsia"/>
        </w:rPr>
        <w:t>成交通知书为签订采购合同的依据之一，是合同的有效组成部分。</w:t>
      </w:r>
    </w:p>
    <w:p>
      <w:pPr>
        <w:pStyle w:val="63"/>
        <w:spacing w:line="520" w:lineRule="exact"/>
        <w:ind w:firstLine="480"/>
      </w:pPr>
      <w:r>
        <w:rPr>
          <w:rFonts w:hint="eastAsia"/>
        </w:rPr>
        <w:t>成交通知书对采购人和成交供应商均具有法律效力。成交通知书发出后，采购人改变成交结果，或者成交供应商无正当理由放弃成交的，应当承担相应的法律责任。</w:t>
      </w:r>
    </w:p>
    <w:p>
      <w:pPr>
        <w:pStyle w:val="63"/>
        <w:spacing w:line="520" w:lineRule="exact"/>
        <w:ind w:firstLine="480"/>
      </w:pPr>
      <w:r>
        <w:rPr>
          <w:rFonts w:hint="eastAsia"/>
        </w:rPr>
        <w:t>成交供应商的响应文件本应作为无效响应处理或者有法律法规规章制度规定的成交无效情形的，采购人和采购代理机构在取得有权主体的认定以后，将宣布发出的成交通知书无效，并收回发出的成交通知书(成交供应商也应当缴回)，依法重新确定成交供应商或者重新开展采购活动。</w:t>
      </w:r>
    </w:p>
    <w:p>
      <w:pPr>
        <w:pStyle w:val="63"/>
        <w:spacing w:line="520" w:lineRule="exact"/>
        <w:ind w:firstLine="480"/>
      </w:pPr>
      <w:r>
        <w:rPr>
          <w:rFonts w:hint="eastAsia" w:cs="宋体"/>
        </w:rPr>
        <w:t>供应商应主动关注</w:t>
      </w:r>
      <w:r>
        <w:rPr>
          <w:rFonts w:hint="eastAsia"/>
          <w:lang w:eastAsia="zh-CN"/>
        </w:rPr>
        <w:t>“中国招标投标公共服务平台”</w:t>
      </w:r>
      <w:r>
        <w:rPr>
          <w:rFonts w:hint="eastAsia" w:cs="宋体"/>
        </w:rPr>
        <w:t>公告信息</w:t>
      </w:r>
      <w:r>
        <w:rPr>
          <w:rFonts w:hint="eastAsia" w:cs="宋体"/>
          <w:lang w:val="zh-CN"/>
        </w:rPr>
        <w:t>，</w:t>
      </w:r>
      <w:r>
        <w:rPr>
          <w:rFonts w:hint="eastAsia" w:cs="宋体"/>
        </w:rPr>
        <w:t>积极配合代理机构办理成交通知书事宜。</w:t>
      </w:r>
      <w:r>
        <w:rPr>
          <w:rFonts w:hint="eastAsia"/>
        </w:rPr>
        <w:t>逾期未主动领取</w:t>
      </w:r>
      <w:r>
        <w:rPr>
          <w:rFonts w:hint="eastAsia" w:cs="宋体"/>
        </w:rPr>
        <w:t>成交</w:t>
      </w:r>
      <w:r>
        <w:rPr>
          <w:rFonts w:hint="eastAsia" w:cs="宋体"/>
          <w:lang w:val="zh-CN"/>
        </w:rPr>
        <w:t>通知书</w:t>
      </w:r>
      <w:r>
        <w:rPr>
          <w:rFonts w:hint="eastAsia" w:cs="宋体"/>
        </w:rPr>
        <w:t>或不配合代理机构发出成交通知书</w:t>
      </w:r>
      <w:r>
        <w:rPr>
          <w:rFonts w:hint="eastAsia" w:cs="宋体"/>
          <w:lang w:val="zh-CN"/>
        </w:rPr>
        <w:t>的</w:t>
      </w:r>
      <w:r>
        <w:rPr>
          <w:rFonts w:hint="eastAsia" w:cs="宋体"/>
        </w:rPr>
        <w:t>一切不利后果由成交供应商自行承担。</w:t>
      </w:r>
    </w:p>
    <w:p>
      <w:pPr>
        <w:pStyle w:val="35"/>
        <w:spacing w:before="120" w:beforeLines="50" w:after="120" w:afterLines="50" w:line="520" w:lineRule="exact"/>
        <w:ind w:firstLine="0" w:firstLineChars="0"/>
        <w:jc w:val="center"/>
        <w:rPr>
          <w:sz w:val="36"/>
          <w:szCs w:val="36"/>
        </w:rPr>
      </w:pPr>
      <w:bookmarkStart w:id="145" w:name="_Toc29192"/>
      <w:bookmarkStart w:id="146" w:name="_Toc11290"/>
      <w:bookmarkStart w:id="147" w:name="_Toc13058"/>
      <w:r>
        <w:rPr>
          <w:rFonts w:hint="eastAsia"/>
          <w:sz w:val="36"/>
          <w:szCs w:val="36"/>
        </w:rPr>
        <w:t>合同事项</w:t>
      </w:r>
      <w:bookmarkEnd w:id="145"/>
      <w:bookmarkEnd w:id="146"/>
      <w:bookmarkEnd w:id="147"/>
    </w:p>
    <w:p>
      <w:pPr>
        <w:pStyle w:val="49"/>
        <w:spacing w:line="520" w:lineRule="exact"/>
        <w:ind w:firstLine="482"/>
      </w:pPr>
      <w:bookmarkStart w:id="148" w:name="_Toc29970"/>
      <w:bookmarkStart w:id="149" w:name="_Toc31924"/>
      <w:bookmarkStart w:id="150" w:name="_Toc8081"/>
      <w:bookmarkStart w:id="151" w:name="_Toc19462"/>
      <w:r>
        <w:rPr>
          <w:rFonts w:hint="eastAsia"/>
        </w:rPr>
        <w:t>签订合同</w:t>
      </w:r>
      <w:bookmarkEnd w:id="148"/>
      <w:bookmarkEnd w:id="149"/>
      <w:bookmarkEnd w:id="150"/>
    </w:p>
    <w:p>
      <w:pPr>
        <w:pStyle w:val="36"/>
        <w:spacing w:line="520" w:lineRule="exact"/>
        <w:ind w:firstLine="480"/>
      </w:pPr>
      <w:r>
        <w:rPr>
          <w:rFonts w:hint="eastAsia"/>
        </w:rPr>
        <w:t>成交供应商应在成交通知书发出后，按照磋商文件第五章相关要求与采购人签订采购合同。由于成交供应商的原因逾期未与采购人签订采购合同的，将视为放弃成交，取消其成交资格并将按相关规定进行处理。</w:t>
      </w:r>
      <w:r>
        <w:rPr>
          <w:rFonts w:hint="eastAsia"/>
          <w:lang w:eastAsia="zh-Hans"/>
        </w:rPr>
        <w:t>若因采购人的原因未与</w:t>
      </w:r>
      <w:r>
        <w:rPr>
          <w:rFonts w:hint="eastAsia"/>
        </w:rPr>
        <w:t>成交供应商</w:t>
      </w:r>
      <w:r>
        <w:rPr>
          <w:rFonts w:hint="eastAsia"/>
          <w:lang w:eastAsia="zh-Hans"/>
        </w:rPr>
        <w:t>签订合同</w:t>
      </w:r>
      <w:r>
        <w:rPr>
          <w:lang w:eastAsia="zh-Hans"/>
        </w:rPr>
        <w:t>，</w:t>
      </w:r>
      <w:r>
        <w:rPr>
          <w:rFonts w:hint="eastAsia"/>
          <w:lang w:eastAsia="zh-Hans"/>
        </w:rPr>
        <w:t>采购人将向</w:t>
      </w:r>
      <w:r>
        <w:rPr>
          <w:rFonts w:hint="eastAsia"/>
        </w:rPr>
        <w:t>成交供应商</w:t>
      </w:r>
      <w:r>
        <w:rPr>
          <w:rFonts w:hint="eastAsia"/>
          <w:lang w:eastAsia="zh-Hans"/>
        </w:rPr>
        <w:t>支付</w:t>
      </w:r>
      <w:r>
        <w:rPr>
          <w:rFonts w:hint="eastAsia"/>
        </w:rPr>
        <w:t>成交供应商</w:t>
      </w:r>
      <w:r>
        <w:rPr>
          <w:rFonts w:hint="eastAsia"/>
          <w:lang w:eastAsia="zh-Hans"/>
        </w:rPr>
        <w:t>因本次采购事宜产生的标书制作等直接费用</w:t>
      </w:r>
      <w:r>
        <w:rPr>
          <w:lang w:eastAsia="zh-Hans"/>
        </w:rPr>
        <w:t>。</w:t>
      </w:r>
    </w:p>
    <w:p>
      <w:pPr>
        <w:pStyle w:val="36"/>
        <w:spacing w:line="520" w:lineRule="exact"/>
        <w:ind w:firstLine="480"/>
      </w:pPr>
      <w:r>
        <w:rPr>
          <w:rFonts w:hint="eastAsia"/>
        </w:rPr>
        <w:t>采购合同应当包括采购人与成交供应商的名称和住所、标的、数量、质量、价款或者报酬、履行期限及地点和方式、验收要求、违约责任、解决争议的方法等内容。</w:t>
      </w:r>
    </w:p>
    <w:p>
      <w:pPr>
        <w:pStyle w:val="36"/>
        <w:spacing w:line="520" w:lineRule="exact"/>
        <w:ind w:firstLine="480"/>
      </w:pPr>
      <w:r>
        <w:rPr>
          <w:rFonts w:hint="eastAsia"/>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36"/>
        <w:spacing w:line="520" w:lineRule="exact"/>
        <w:ind w:firstLine="480"/>
      </w:pPr>
      <w:r>
        <w:rPr>
          <w:rFonts w:hint="eastAsia"/>
        </w:rPr>
        <w:t>成交供应商拒绝与采购人签订合同的，采购人可以按照评审报告推荐的成交候选人名单排序，确定下一候选人为成交供应商，也可以重新开展采购活动。拒绝签订采购合同的成交供应商不得参加对该项目重新开展的采购活动。</w:t>
      </w:r>
    </w:p>
    <w:p>
      <w:pPr>
        <w:pStyle w:val="36"/>
        <w:spacing w:line="520" w:lineRule="exact"/>
        <w:ind w:firstLine="480"/>
      </w:pPr>
      <w:r>
        <w:rPr>
          <w:rFonts w:hint="eastAsia"/>
        </w:rPr>
        <w:t>本项目的竞争性磋商文件、成交供应商提交的响应文件、磋商中的最后报价、成交供应商承诺书、成交通知书等文件均具有法律约束力，属于合同组成部分。</w:t>
      </w:r>
    </w:p>
    <w:p>
      <w:pPr>
        <w:pStyle w:val="36"/>
        <w:spacing w:line="520" w:lineRule="exact"/>
        <w:ind w:firstLine="480"/>
      </w:pPr>
      <w:r>
        <w:rPr>
          <w:rFonts w:hint="eastAsia"/>
        </w:rPr>
        <w:t>成交供应商在采购合同签订之后2个工作日内，将签订的采购合同送采购代理机构进行归档留存(也可将签订的采购合同扫描成PDF格式版本发送至</w:t>
      </w:r>
      <w:r>
        <w:fldChar w:fldCharType="begin"/>
      </w:r>
      <w:r>
        <w:instrText xml:space="preserve"> HYPERLINK "mailto:scqxzb@163.com" </w:instrText>
      </w:r>
      <w:r>
        <w:fldChar w:fldCharType="separate"/>
      </w:r>
      <w:r>
        <w:rPr>
          <w:rFonts w:hint="eastAsia"/>
        </w:rPr>
        <w:t>scqxzb@163.com</w:t>
      </w:r>
      <w:r>
        <w:rPr>
          <w:rFonts w:hint="eastAsia"/>
        </w:rPr>
        <w:fldChar w:fldCharType="end"/>
      </w:r>
      <w:r>
        <w:rPr>
          <w:rFonts w:hint="eastAsia"/>
        </w:rPr>
        <w:t>，邮件命名为“采购合同-项目名称-供应商名称”)。</w:t>
      </w:r>
    </w:p>
    <w:p>
      <w:pPr>
        <w:pStyle w:val="49"/>
        <w:spacing w:line="520" w:lineRule="exact"/>
        <w:ind w:firstLine="482"/>
      </w:pPr>
      <w:bookmarkStart w:id="152" w:name="_Toc2425"/>
      <w:bookmarkStart w:id="153" w:name="_Toc291"/>
      <w:bookmarkStart w:id="154" w:name="_Toc9902"/>
      <w:r>
        <w:rPr>
          <w:rFonts w:hint="eastAsia"/>
        </w:rPr>
        <w:t>合同分包(实质性要求)</w:t>
      </w:r>
      <w:bookmarkEnd w:id="152"/>
      <w:bookmarkEnd w:id="153"/>
      <w:bookmarkEnd w:id="154"/>
    </w:p>
    <w:p>
      <w:pPr>
        <w:pStyle w:val="46"/>
        <w:spacing w:line="520" w:lineRule="exact"/>
      </w:pPr>
      <w:bookmarkStart w:id="155" w:name="_Toc13796"/>
      <w:r>
        <w:rPr>
          <w:rFonts w:hint="eastAsia"/>
        </w:rPr>
        <w:t>本项目不允许供应商以合同分包形式进行磋商。</w:t>
      </w:r>
    </w:p>
    <w:p>
      <w:pPr>
        <w:pStyle w:val="49"/>
        <w:spacing w:line="520" w:lineRule="exact"/>
        <w:ind w:firstLine="482"/>
      </w:pPr>
      <w:bookmarkStart w:id="156" w:name="_Toc20512"/>
      <w:bookmarkStart w:id="157" w:name="_Toc3664"/>
      <w:r>
        <w:rPr>
          <w:rFonts w:hint="eastAsia"/>
        </w:rPr>
        <w:t>合同转包(实质性要求)</w:t>
      </w:r>
      <w:bookmarkEnd w:id="155"/>
      <w:bookmarkEnd w:id="156"/>
      <w:bookmarkEnd w:id="157"/>
    </w:p>
    <w:p>
      <w:pPr>
        <w:pStyle w:val="63"/>
        <w:spacing w:line="520" w:lineRule="exact"/>
        <w:ind w:firstLine="480"/>
      </w:pPr>
      <w:r>
        <w:rPr>
          <w:rFonts w:hint="eastAsia"/>
        </w:rPr>
        <w:t>本项目禁止成交供应商将任何采购合同义务转包。本项目所称转包，是指成交供应商将采购合同义务转让给第三人，并退出现有采购合同当事人双方的权利义务关系，受让人(即第三人)成为采购合同的另一方当事人的行为。</w:t>
      </w:r>
    </w:p>
    <w:p>
      <w:pPr>
        <w:pStyle w:val="63"/>
        <w:spacing w:line="520" w:lineRule="exact"/>
        <w:ind w:firstLine="480"/>
      </w:pPr>
      <w:r>
        <w:rPr>
          <w:rFonts w:hint="eastAsia"/>
        </w:rPr>
        <w:t>成交供应商转包的，视同拒绝履行采购合同义务，将依法追究法律责任。</w:t>
      </w:r>
    </w:p>
    <w:p>
      <w:pPr>
        <w:pStyle w:val="49"/>
        <w:spacing w:line="520" w:lineRule="exact"/>
        <w:ind w:firstLine="482"/>
      </w:pPr>
      <w:bookmarkStart w:id="158" w:name="_Toc26599"/>
      <w:bookmarkStart w:id="159" w:name="_Toc24530"/>
      <w:bookmarkStart w:id="160" w:name="_Toc27950"/>
      <w:r>
        <w:rPr>
          <w:rFonts w:hint="eastAsia"/>
        </w:rPr>
        <w:t>补充合同</w:t>
      </w:r>
      <w:bookmarkEnd w:id="158"/>
      <w:bookmarkEnd w:id="159"/>
      <w:bookmarkEnd w:id="160"/>
    </w:p>
    <w:p>
      <w:pPr>
        <w:pStyle w:val="46"/>
        <w:spacing w:line="520" w:lineRule="exact"/>
      </w:pPr>
      <w:r>
        <w:rPr>
          <w:rFonts w:hint="eastAsi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49"/>
        <w:spacing w:line="520" w:lineRule="exact"/>
        <w:ind w:firstLine="482"/>
      </w:pPr>
      <w:bookmarkStart w:id="161" w:name="_Toc2945"/>
      <w:bookmarkStart w:id="162" w:name="_Toc26332"/>
      <w:bookmarkStart w:id="163" w:name="_Toc19111"/>
      <w:r>
        <w:rPr>
          <w:rFonts w:hint="eastAsia"/>
        </w:rPr>
        <w:t>履行合同</w:t>
      </w:r>
      <w:bookmarkEnd w:id="161"/>
      <w:bookmarkEnd w:id="162"/>
      <w:bookmarkEnd w:id="163"/>
    </w:p>
    <w:p>
      <w:pPr>
        <w:pStyle w:val="63"/>
        <w:spacing w:line="520" w:lineRule="exact"/>
        <w:ind w:firstLine="480"/>
      </w:pPr>
      <w:r>
        <w:rPr>
          <w:rFonts w:hint="eastAsia"/>
        </w:rPr>
        <w:t>采购人与成交供应商应当根据合同的约定依法履行合同义务，保证合同顺利完成。</w:t>
      </w:r>
    </w:p>
    <w:p>
      <w:pPr>
        <w:pStyle w:val="63"/>
        <w:spacing w:line="520" w:lineRule="exact"/>
        <w:ind w:firstLine="480"/>
      </w:pPr>
      <w:r>
        <w:rPr>
          <w:rFonts w:hint="eastAsia"/>
        </w:rPr>
        <w:t>采购合同的履行、违约责任和解决争议的方法等适用《中华人民共和国民法典》。</w:t>
      </w:r>
    </w:p>
    <w:p>
      <w:pPr>
        <w:pStyle w:val="49"/>
        <w:spacing w:line="520" w:lineRule="exact"/>
        <w:ind w:firstLine="482"/>
      </w:pPr>
      <w:bookmarkStart w:id="164" w:name="_Toc27385"/>
      <w:bookmarkStart w:id="165" w:name="_Toc30777"/>
      <w:bookmarkStart w:id="166" w:name="_Toc17186"/>
      <w:bookmarkStart w:id="167" w:name="_Toc19475"/>
      <w:bookmarkStart w:id="168" w:name="_Toc8615"/>
      <w:bookmarkStart w:id="169" w:name="_Toc26311"/>
      <w:r>
        <w:rPr>
          <w:rFonts w:hint="eastAsia"/>
        </w:rPr>
        <w:t>付款方式及履约验收</w:t>
      </w:r>
      <w:bookmarkEnd w:id="164"/>
      <w:bookmarkEnd w:id="165"/>
      <w:bookmarkEnd w:id="166"/>
      <w:bookmarkEnd w:id="167"/>
      <w:bookmarkEnd w:id="168"/>
      <w:bookmarkEnd w:id="169"/>
    </w:p>
    <w:p>
      <w:pPr>
        <w:pStyle w:val="63"/>
        <w:spacing w:line="520" w:lineRule="exact"/>
        <w:ind w:firstLine="480"/>
      </w:pPr>
      <w:r>
        <w:rPr>
          <w:rFonts w:hint="eastAsia"/>
        </w:rPr>
        <w:t>付款方式</w:t>
      </w:r>
    </w:p>
    <w:p>
      <w:pPr>
        <w:pStyle w:val="64"/>
        <w:numPr>
          <w:ilvl w:val="4"/>
          <w:numId w:val="0"/>
        </w:numPr>
        <w:spacing w:line="520" w:lineRule="exact"/>
        <w:ind w:left="480" w:leftChars="200"/>
      </w:pPr>
      <w:r>
        <w:rPr>
          <w:rFonts w:hint="eastAsia"/>
        </w:rPr>
        <w:t>详见磋商文件第五章。</w:t>
      </w:r>
    </w:p>
    <w:p>
      <w:pPr>
        <w:pStyle w:val="63"/>
        <w:spacing w:line="520" w:lineRule="exact"/>
        <w:ind w:firstLine="480"/>
      </w:pPr>
      <w:r>
        <w:rPr>
          <w:rFonts w:hint="eastAsia"/>
        </w:rPr>
        <w:t>履约验收</w:t>
      </w:r>
      <w:r>
        <w:rPr>
          <w:rFonts w:hint="eastAsia"/>
          <w:b/>
          <w:bCs/>
        </w:rPr>
        <w:t>(实质性要求)</w:t>
      </w:r>
    </w:p>
    <w:p>
      <w:pPr>
        <w:pStyle w:val="63"/>
        <w:numPr>
          <w:ilvl w:val="255"/>
          <w:numId w:val="0"/>
        </w:numPr>
        <w:spacing w:line="480" w:lineRule="exact"/>
        <w:ind w:left="480" w:leftChars="200"/>
        <w:rPr>
          <w:rFonts w:cs="宋体"/>
        </w:rPr>
      </w:pPr>
      <w:bookmarkStart w:id="170" w:name="_Toc217446071"/>
      <w:r>
        <w:rPr>
          <w:rFonts w:hint="eastAsia"/>
        </w:rPr>
        <w:t>详见磋商文件第五章。</w:t>
      </w:r>
    </w:p>
    <w:bookmarkEnd w:id="170"/>
    <w:p>
      <w:pPr>
        <w:pStyle w:val="35"/>
        <w:spacing w:before="120" w:beforeLines="50" w:after="120" w:afterLines="50" w:line="520" w:lineRule="exact"/>
        <w:ind w:firstLine="0" w:firstLineChars="0"/>
        <w:jc w:val="center"/>
        <w:rPr>
          <w:sz w:val="36"/>
          <w:szCs w:val="36"/>
        </w:rPr>
      </w:pPr>
      <w:bookmarkStart w:id="171" w:name="_Toc23470"/>
      <w:bookmarkStart w:id="172" w:name="_Toc13265"/>
      <w:bookmarkStart w:id="173" w:name="_Toc12071"/>
      <w:r>
        <w:rPr>
          <w:rFonts w:hint="eastAsia"/>
          <w:sz w:val="36"/>
          <w:szCs w:val="36"/>
        </w:rPr>
        <w:t>磋商纪律要求</w:t>
      </w:r>
      <w:bookmarkEnd w:id="171"/>
      <w:bookmarkEnd w:id="172"/>
      <w:bookmarkEnd w:id="173"/>
    </w:p>
    <w:p>
      <w:pPr>
        <w:pStyle w:val="49"/>
        <w:spacing w:line="520" w:lineRule="exact"/>
        <w:ind w:firstLine="482"/>
      </w:pPr>
      <w:bookmarkStart w:id="174" w:name="_Toc25072"/>
      <w:bookmarkStart w:id="175" w:name="_Toc23681"/>
      <w:bookmarkStart w:id="176" w:name="_Toc1613"/>
      <w:r>
        <w:rPr>
          <w:rFonts w:hint="eastAsia"/>
        </w:rPr>
        <w:t>供应商参加本项目采购活动不得具有的情形</w:t>
      </w:r>
      <w:bookmarkEnd w:id="151"/>
      <w:bookmarkEnd w:id="174"/>
      <w:bookmarkEnd w:id="175"/>
      <w:bookmarkEnd w:id="176"/>
    </w:p>
    <w:p>
      <w:pPr>
        <w:pStyle w:val="33"/>
        <w:numPr>
          <w:ilvl w:val="1"/>
          <w:numId w:val="0"/>
        </w:numPr>
        <w:spacing w:line="520" w:lineRule="exact"/>
        <w:ind w:left="480" w:leftChars="200"/>
      </w:pPr>
      <w:r>
        <w:rPr>
          <w:rFonts w:hint="eastAsia"/>
        </w:rPr>
        <w:t>1.提供虚假材料谋取成交；</w:t>
      </w:r>
    </w:p>
    <w:p>
      <w:pPr>
        <w:pStyle w:val="33"/>
        <w:numPr>
          <w:ilvl w:val="1"/>
          <w:numId w:val="0"/>
        </w:numPr>
        <w:spacing w:line="520" w:lineRule="exact"/>
        <w:ind w:left="480" w:leftChars="200"/>
      </w:pPr>
      <w:r>
        <w:rPr>
          <w:rFonts w:hint="eastAsia"/>
        </w:rPr>
        <w:t>2.采取不正当手段诋毁、排挤其他供应商；</w:t>
      </w:r>
    </w:p>
    <w:p>
      <w:pPr>
        <w:pStyle w:val="33"/>
        <w:numPr>
          <w:ilvl w:val="1"/>
          <w:numId w:val="0"/>
        </w:numPr>
        <w:spacing w:line="520" w:lineRule="exact"/>
        <w:ind w:left="480" w:leftChars="200"/>
      </w:pPr>
      <w:r>
        <w:rPr>
          <w:rFonts w:hint="eastAsia"/>
        </w:rPr>
        <w:t>3.与采购人、采购代理机构或其他供应商恶意串通；</w:t>
      </w:r>
    </w:p>
    <w:p>
      <w:pPr>
        <w:pStyle w:val="33"/>
        <w:numPr>
          <w:ilvl w:val="1"/>
          <w:numId w:val="0"/>
        </w:numPr>
        <w:spacing w:line="520" w:lineRule="exact"/>
        <w:ind w:left="480" w:leftChars="200"/>
      </w:pPr>
      <w:r>
        <w:rPr>
          <w:rFonts w:hint="eastAsia"/>
        </w:rPr>
        <w:t>4.向采购人、采购代理机构、磋商小组成员行贿或者提供其他不正当利益；</w:t>
      </w:r>
    </w:p>
    <w:p>
      <w:pPr>
        <w:pStyle w:val="33"/>
        <w:numPr>
          <w:ilvl w:val="1"/>
          <w:numId w:val="0"/>
        </w:numPr>
        <w:spacing w:line="520" w:lineRule="exact"/>
        <w:ind w:left="480" w:leftChars="200"/>
      </w:pPr>
      <w:r>
        <w:rPr>
          <w:rFonts w:hint="eastAsia"/>
        </w:rPr>
        <w:t>5.在磋商过程中与采购人、采购代理机构进行协商；</w:t>
      </w:r>
    </w:p>
    <w:p>
      <w:pPr>
        <w:pStyle w:val="33"/>
        <w:numPr>
          <w:ilvl w:val="1"/>
          <w:numId w:val="0"/>
        </w:numPr>
        <w:spacing w:line="520" w:lineRule="exact"/>
        <w:ind w:left="480" w:leftChars="200"/>
      </w:pPr>
      <w:r>
        <w:rPr>
          <w:rFonts w:hint="eastAsia"/>
        </w:rPr>
        <w:t>6.成交后无正当理由拒不与采购人签订采购合同；</w:t>
      </w:r>
    </w:p>
    <w:p>
      <w:pPr>
        <w:pStyle w:val="33"/>
        <w:numPr>
          <w:ilvl w:val="1"/>
          <w:numId w:val="0"/>
        </w:numPr>
        <w:spacing w:line="520" w:lineRule="exact"/>
        <w:ind w:left="480" w:leftChars="200"/>
      </w:pPr>
      <w:r>
        <w:rPr>
          <w:rFonts w:hint="eastAsia"/>
        </w:rPr>
        <w:t>7.未按照磋商文件确定的事项签订采购合同；</w:t>
      </w:r>
    </w:p>
    <w:p>
      <w:pPr>
        <w:pStyle w:val="33"/>
        <w:numPr>
          <w:ilvl w:val="1"/>
          <w:numId w:val="0"/>
        </w:numPr>
        <w:spacing w:line="520" w:lineRule="exact"/>
        <w:ind w:left="480" w:leftChars="200"/>
      </w:pPr>
      <w:r>
        <w:rPr>
          <w:rFonts w:hint="eastAsia"/>
        </w:rPr>
        <w:t>8.将采购合同转包或者违规分包；</w:t>
      </w:r>
    </w:p>
    <w:p>
      <w:pPr>
        <w:pStyle w:val="33"/>
        <w:numPr>
          <w:ilvl w:val="1"/>
          <w:numId w:val="0"/>
        </w:numPr>
        <w:spacing w:line="520" w:lineRule="exact"/>
        <w:ind w:left="480" w:leftChars="200"/>
      </w:pPr>
      <w:r>
        <w:rPr>
          <w:rFonts w:hint="eastAsia"/>
        </w:rPr>
        <w:t>9.提供假冒伪劣产品；</w:t>
      </w:r>
    </w:p>
    <w:p>
      <w:pPr>
        <w:pStyle w:val="33"/>
        <w:numPr>
          <w:ilvl w:val="1"/>
          <w:numId w:val="0"/>
        </w:numPr>
        <w:spacing w:line="520" w:lineRule="exact"/>
        <w:ind w:left="480" w:leftChars="200"/>
      </w:pPr>
      <w:r>
        <w:rPr>
          <w:rFonts w:hint="eastAsia"/>
        </w:rPr>
        <w:t>10.擅自变更、中止或者终止采购合同；</w:t>
      </w:r>
    </w:p>
    <w:p>
      <w:pPr>
        <w:pStyle w:val="33"/>
        <w:numPr>
          <w:ilvl w:val="1"/>
          <w:numId w:val="0"/>
        </w:numPr>
        <w:spacing w:line="520" w:lineRule="exact"/>
        <w:ind w:left="480" w:leftChars="200"/>
      </w:pPr>
      <w:r>
        <w:rPr>
          <w:rFonts w:hint="eastAsia"/>
        </w:rPr>
        <w:t>11.拒绝有关部门的监督检查或者向监督检查部门提供虚假情况；</w:t>
      </w:r>
    </w:p>
    <w:p>
      <w:pPr>
        <w:pStyle w:val="33"/>
        <w:numPr>
          <w:ilvl w:val="1"/>
          <w:numId w:val="0"/>
        </w:numPr>
        <w:spacing w:line="520" w:lineRule="exact"/>
        <w:ind w:left="480" w:leftChars="200"/>
      </w:pPr>
      <w:r>
        <w:rPr>
          <w:rFonts w:hint="eastAsia"/>
        </w:rPr>
        <w:t>12.法律法规规定的其他情形。</w:t>
      </w:r>
    </w:p>
    <w:p>
      <w:pPr>
        <w:pStyle w:val="46"/>
        <w:spacing w:line="520" w:lineRule="exact"/>
      </w:pPr>
      <w:bookmarkStart w:id="177" w:name="_Toc29848"/>
      <w:bookmarkStart w:id="178" w:name="_Toc28656"/>
      <w:bookmarkStart w:id="179" w:name="_Toc1683"/>
      <w:bookmarkStart w:id="180" w:name="_Toc11007"/>
      <w:bookmarkStart w:id="181" w:name="_Toc19578"/>
      <w:bookmarkStart w:id="182" w:name="_Toc12708"/>
      <w:bookmarkStart w:id="183" w:name="_Toc31594"/>
      <w:bookmarkStart w:id="184" w:name="_Toc17041"/>
      <w:r>
        <w:rPr>
          <w:rFonts w:hint="eastAsia"/>
        </w:rPr>
        <w:t>供应商有上述情形的，按照规定追究法律责任，具备1～10条情形之一的，同时将取消成交资格或者认定成交无效。</w:t>
      </w:r>
    </w:p>
    <w:p>
      <w:pPr>
        <w:pStyle w:val="49"/>
        <w:spacing w:line="520" w:lineRule="exact"/>
        <w:ind w:firstLine="482"/>
      </w:pPr>
      <w:bookmarkStart w:id="185" w:name="_Toc25720"/>
      <w:bookmarkStart w:id="186" w:name="_Toc29926"/>
      <w:bookmarkStart w:id="187" w:name="_Toc18558"/>
      <w:r>
        <w:rPr>
          <w:rFonts w:hint="eastAsia"/>
        </w:rPr>
        <w:t>磋商现场纪律要求</w:t>
      </w:r>
      <w:bookmarkEnd w:id="185"/>
      <w:bookmarkEnd w:id="186"/>
      <w:bookmarkEnd w:id="187"/>
    </w:p>
    <w:p>
      <w:pPr>
        <w:pStyle w:val="46"/>
        <w:spacing w:line="520" w:lineRule="exact"/>
      </w:pPr>
      <w:r>
        <w:rPr>
          <w:rFonts w:hint="eastAsia"/>
        </w:rPr>
        <w:t>供应商在磋商现场须听从采购代理机构的安排，自觉遵守秩序，不得起哄，大声喧哗；不得现场与其他供应商协商报价；不得干预磋商评审，否则由此造成的一切不利后果由供应商自行独立承担。</w:t>
      </w:r>
    </w:p>
    <w:bookmarkEnd w:id="177"/>
    <w:bookmarkEnd w:id="178"/>
    <w:bookmarkEnd w:id="179"/>
    <w:bookmarkEnd w:id="180"/>
    <w:bookmarkEnd w:id="181"/>
    <w:bookmarkEnd w:id="182"/>
    <w:bookmarkEnd w:id="183"/>
    <w:p>
      <w:pPr>
        <w:pStyle w:val="35"/>
        <w:spacing w:before="120" w:beforeLines="50" w:after="120" w:afterLines="50" w:line="520" w:lineRule="exact"/>
        <w:ind w:firstLine="0" w:firstLineChars="0"/>
        <w:jc w:val="center"/>
        <w:rPr>
          <w:sz w:val="36"/>
          <w:szCs w:val="36"/>
        </w:rPr>
      </w:pPr>
      <w:bookmarkStart w:id="188" w:name="_Toc14507"/>
      <w:bookmarkStart w:id="189" w:name="_Toc25459"/>
      <w:bookmarkStart w:id="190" w:name="_Toc19072"/>
      <w:r>
        <w:rPr>
          <w:rFonts w:hint="eastAsia"/>
          <w:sz w:val="36"/>
          <w:szCs w:val="36"/>
        </w:rPr>
        <w:t>其他</w:t>
      </w:r>
      <w:bookmarkEnd w:id="188"/>
      <w:bookmarkEnd w:id="189"/>
      <w:bookmarkEnd w:id="190"/>
    </w:p>
    <w:p>
      <w:pPr>
        <w:pStyle w:val="49"/>
        <w:spacing w:line="520" w:lineRule="exact"/>
        <w:ind w:firstLine="482"/>
      </w:pPr>
      <w:bookmarkStart w:id="191" w:name="_Toc3342"/>
      <w:bookmarkStart w:id="192" w:name="_Toc22740"/>
      <w:bookmarkStart w:id="193" w:name="_Toc24369"/>
      <w:r>
        <w:rPr>
          <w:rFonts w:hint="eastAsia"/>
        </w:rPr>
        <w:t>询问、质疑和投诉</w:t>
      </w:r>
      <w:bookmarkEnd w:id="191"/>
      <w:bookmarkEnd w:id="192"/>
      <w:bookmarkEnd w:id="193"/>
    </w:p>
    <w:p>
      <w:pPr>
        <w:pStyle w:val="33"/>
        <w:numPr>
          <w:ilvl w:val="1"/>
          <w:numId w:val="0"/>
        </w:numPr>
        <w:spacing w:line="520" w:lineRule="exact"/>
        <w:ind w:left="480" w:leftChars="200"/>
      </w:pPr>
      <w:r>
        <w:rPr>
          <w:rFonts w:hint="eastAsia"/>
        </w:rPr>
        <w:t>具体详见磋商须知前附表</w:t>
      </w:r>
      <w:bookmarkEnd w:id="184"/>
      <w:r>
        <w:rPr>
          <w:rFonts w:hint="eastAsia"/>
        </w:rPr>
        <w:t>。</w:t>
      </w:r>
    </w:p>
    <w:p>
      <w:pPr>
        <w:pStyle w:val="49"/>
        <w:spacing w:line="520" w:lineRule="exact"/>
        <w:ind w:firstLine="482"/>
      </w:pPr>
      <w:bookmarkStart w:id="194" w:name="_Toc31084"/>
      <w:bookmarkStart w:id="195" w:name="_Toc6918"/>
      <w:bookmarkStart w:id="196" w:name="_Toc24020"/>
      <w:bookmarkStart w:id="197" w:name="_Toc1748"/>
      <w:bookmarkStart w:id="198" w:name="_Toc18625"/>
      <w:bookmarkStart w:id="199" w:name="_Toc16406"/>
      <w:bookmarkStart w:id="200" w:name="_Toc10108"/>
      <w:bookmarkStart w:id="201" w:name="_Toc2794"/>
      <w:bookmarkStart w:id="202" w:name="_Toc26947"/>
      <w:r>
        <w:rPr>
          <w:rFonts w:hint="eastAsia"/>
        </w:rPr>
        <w:t>关于行贿犯罪档案查询工作的规定</w:t>
      </w:r>
      <w:bookmarkEnd w:id="194"/>
      <w:bookmarkEnd w:id="195"/>
      <w:bookmarkEnd w:id="196"/>
      <w:bookmarkEnd w:id="197"/>
      <w:bookmarkEnd w:id="198"/>
      <w:bookmarkEnd w:id="199"/>
      <w:bookmarkEnd w:id="200"/>
      <w:bookmarkEnd w:id="201"/>
      <w:bookmarkEnd w:id="202"/>
    </w:p>
    <w:p>
      <w:pPr>
        <w:pStyle w:val="46"/>
        <w:spacing w:line="520" w:lineRule="exact"/>
      </w:pPr>
      <w:bookmarkStart w:id="203" w:name="_Toc29751"/>
      <w:bookmarkStart w:id="204" w:name="_Toc14412"/>
      <w:bookmarkStart w:id="205" w:name="_Toc4110"/>
      <w:r>
        <w:rPr>
          <w:rFonts w:hint="eastAsia"/>
        </w:rPr>
        <w:t>因国家检察机关职务犯罪侦查部门转隶工作已经完成，供应商参与采购活动时须按照磋商文件要求提供承诺函或由采购代理机构通过“中国裁判文书网”查询，并将查询记录存档。</w:t>
      </w:r>
      <w:bookmarkEnd w:id="203"/>
      <w:bookmarkEnd w:id="204"/>
    </w:p>
    <w:p>
      <w:pPr>
        <w:pStyle w:val="49"/>
        <w:spacing w:line="520" w:lineRule="exact"/>
        <w:ind w:firstLine="482"/>
      </w:pPr>
      <w:bookmarkStart w:id="206" w:name="_Toc27271"/>
      <w:bookmarkStart w:id="207" w:name="_Toc24800"/>
      <w:bookmarkStart w:id="208" w:name="_Toc5492"/>
      <w:r>
        <w:rPr>
          <w:rFonts w:hint="eastAsia"/>
        </w:rPr>
        <w:t>供应商信用信息查询</w:t>
      </w:r>
      <w:bookmarkEnd w:id="205"/>
      <w:bookmarkEnd w:id="206"/>
      <w:bookmarkEnd w:id="207"/>
      <w:bookmarkEnd w:id="208"/>
    </w:p>
    <w:p>
      <w:pPr>
        <w:pStyle w:val="33"/>
        <w:numPr>
          <w:ilvl w:val="1"/>
          <w:numId w:val="0"/>
        </w:numPr>
        <w:spacing w:line="520" w:lineRule="exact"/>
        <w:ind w:firstLine="480" w:firstLineChars="200"/>
      </w:pPr>
      <w:r>
        <w:rPr>
          <w:rFonts w:hint="eastAsia"/>
        </w:rPr>
        <w:t>1.供应商信用信息查询渠道</w:t>
      </w:r>
    </w:p>
    <w:p>
      <w:pPr>
        <w:pStyle w:val="46"/>
        <w:spacing w:line="520" w:lineRule="exact"/>
      </w:pPr>
      <w:r>
        <w:rPr>
          <w:rFonts w:hint="eastAsia"/>
        </w:rPr>
        <w:t>“信用中国”网站(www.creditchina.gov.cn)、“中国政府采购网”(www.ccgp.gov.cn)等。</w:t>
      </w:r>
    </w:p>
    <w:p>
      <w:pPr>
        <w:pStyle w:val="33"/>
        <w:numPr>
          <w:ilvl w:val="1"/>
          <w:numId w:val="0"/>
        </w:numPr>
        <w:spacing w:line="520" w:lineRule="exact"/>
        <w:ind w:firstLine="480" w:firstLineChars="200"/>
      </w:pPr>
      <w:r>
        <w:rPr>
          <w:rFonts w:hint="eastAsia"/>
        </w:rPr>
        <w:t>2.供应商信用信息查询截止时点</w:t>
      </w:r>
    </w:p>
    <w:p>
      <w:pPr>
        <w:pStyle w:val="46"/>
        <w:spacing w:line="520" w:lineRule="exact"/>
      </w:pPr>
      <w:r>
        <w:rPr>
          <w:rFonts w:hint="eastAsia"/>
        </w:rPr>
        <w:t>信用信息查询在资格审查阶段进行。</w:t>
      </w:r>
    </w:p>
    <w:p>
      <w:pPr>
        <w:pStyle w:val="33"/>
        <w:numPr>
          <w:ilvl w:val="1"/>
          <w:numId w:val="0"/>
        </w:numPr>
        <w:spacing w:line="520" w:lineRule="exact"/>
        <w:ind w:firstLine="480" w:firstLineChars="200"/>
      </w:pPr>
      <w:r>
        <w:rPr>
          <w:rFonts w:hint="eastAsia"/>
        </w:rPr>
        <w:t>3.供应商信用信息查询记录和证据留存的具体方式</w:t>
      </w:r>
    </w:p>
    <w:p>
      <w:pPr>
        <w:pStyle w:val="46"/>
        <w:spacing w:line="520" w:lineRule="exact"/>
      </w:pPr>
      <w:r>
        <w:rPr>
          <w:rFonts w:hint="eastAsia"/>
        </w:rPr>
        <w:t>采购代理机构通过“信用中国”网站、“中国政府采购网”等渠道对供应商进行信用记录查询，并将查询记录存档。</w:t>
      </w:r>
    </w:p>
    <w:p>
      <w:pPr>
        <w:pStyle w:val="33"/>
        <w:numPr>
          <w:ilvl w:val="255"/>
          <w:numId w:val="0"/>
        </w:numPr>
        <w:spacing w:line="520" w:lineRule="exact"/>
        <w:ind w:firstLine="480" w:firstLineChars="200"/>
      </w:pPr>
      <w:r>
        <w:rPr>
          <w:rFonts w:hint="eastAsia"/>
        </w:rPr>
        <w:t>4.供应商信用信息的使用：凡被列入失信被执行人、重大税收违法案件当事人名单(重大税收违法失信主体)、政府采购严重违法失信行为记录名单的，视为存在不良信用记录，参与本项目的将被拒绝。</w:t>
      </w:r>
    </w:p>
    <w:p>
      <w:pPr>
        <w:pStyle w:val="49"/>
        <w:spacing w:line="520" w:lineRule="exact"/>
        <w:ind w:firstLine="482"/>
      </w:pPr>
      <w:bookmarkStart w:id="209" w:name="_Toc7951"/>
      <w:bookmarkStart w:id="210" w:name="_Toc11038"/>
      <w:bookmarkStart w:id="211" w:name="_Toc5438"/>
      <w:r>
        <w:rPr>
          <w:rFonts w:hint="eastAsia"/>
        </w:rPr>
        <w:t>保密</w:t>
      </w:r>
      <w:bookmarkEnd w:id="209"/>
      <w:bookmarkEnd w:id="210"/>
      <w:bookmarkEnd w:id="211"/>
    </w:p>
    <w:p>
      <w:pPr>
        <w:pStyle w:val="9"/>
        <w:tabs>
          <w:tab w:val="left" w:pos="1134"/>
          <w:tab w:val="clear" w:pos="0"/>
        </w:tabs>
        <w:spacing w:line="520" w:lineRule="exact"/>
        <w:ind w:firstLine="480"/>
      </w:pPr>
      <w:r>
        <w:rPr>
          <w:rFonts w:hint="eastAsia"/>
        </w:rPr>
        <w:t>1.各采购当事人不得透露有关成功获取采购文件的潜在供应商的任何情况。</w:t>
      </w:r>
    </w:p>
    <w:p>
      <w:pPr>
        <w:pStyle w:val="9"/>
        <w:tabs>
          <w:tab w:val="left" w:pos="1134"/>
          <w:tab w:val="clear" w:pos="0"/>
        </w:tabs>
        <w:spacing w:line="520" w:lineRule="exact"/>
        <w:ind w:firstLine="480"/>
      </w:pPr>
      <w:r>
        <w:rPr>
          <w:rFonts w:hint="eastAsia"/>
        </w:rPr>
        <w:t>2.供应商有关响应文件的审查、澄清、评估和比较以及合同授予意向等情况均不得对外透露。</w:t>
      </w:r>
    </w:p>
    <w:p>
      <w:pPr>
        <w:pStyle w:val="49"/>
        <w:spacing w:line="520" w:lineRule="exact"/>
        <w:ind w:firstLine="482"/>
      </w:pPr>
      <w:bookmarkStart w:id="212" w:name="_Toc17777"/>
      <w:bookmarkStart w:id="213" w:name="_Toc10353"/>
      <w:bookmarkStart w:id="214" w:name="_Toc9400"/>
      <w:r>
        <w:rPr>
          <w:rFonts w:hint="eastAsia"/>
        </w:rPr>
        <w:t>回避</w:t>
      </w:r>
      <w:bookmarkEnd w:id="212"/>
      <w:bookmarkEnd w:id="213"/>
      <w:bookmarkEnd w:id="214"/>
    </w:p>
    <w:p>
      <w:pPr>
        <w:pStyle w:val="20"/>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在采购活动中，采购人员及相关人员与供应商有下列利害关系之一的，应当回避：</w:t>
      </w:r>
    </w:p>
    <w:p>
      <w:pPr>
        <w:pStyle w:val="20"/>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1.参加采购活动前3年内与供应商存在劳动关系；</w:t>
      </w:r>
    </w:p>
    <w:p>
      <w:pPr>
        <w:pStyle w:val="20"/>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2.参加采购活动前3年内担任供应商的董事、监事；</w:t>
      </w:r>
    </w:p>
    <w:p>
      <w:pPr>
        <w:pStyle w:val="20"/>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3.参加采购活动前3年内是供应商的控股股东或者实际控制人；</w:t>
      </w:r>
    </w:p>
    <w:p>
      <w:pPr>
        <w:pStyle w:val="20"/>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4.与供应商的法定代表人或者负责人有夫妻、直系血亲、三代以内旁系血亲或者近姻亲关系；</w:t>
      </w:r>
    </w:p>
    <w:p>
      <w:pPr>
        <w:pStyle w:val="20"/>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5.与供应商有其他可能影响采购活动公平、公正进行的关系。</w:t>
      </w:r>
    </w:p>
    <w:p>
      <w:pPr>
        <w:pStyle w:val="9"/>
        <w:tabs>
          <w:tab w:val="left" w:pos="1134"/>
          <w:tab w:val="clear" w:pos="0"/>
        </w:tabs>
        <w:spacing w:line="520" w:lineRule="exact"/>
        <w:ind w:firstLine="480"/>
      </w:pPr>
      <w:r>
        <w:rPr>
          <w:rFonts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49"/>
        <w:spacing w:line="520" w:lineRule="exact"/>
        <w:ind w:firstLine="482"/>
      </w:pPr>
      <w:bookmarkStart w:id="215" w:name="_Toc30603"/>
      <w:bookmarkStart w:id="216" w:name="_Toc26098"/>
      <w:r>
        <w:rPr>
          <w:rFonts w:hint="eastAsia"/>
        </w:rPr>
        <w:t>解释说明</w:t>
      </w:r>
      <w:bookmarkEnd w:id="215"/>
      <w:bookmarkEnd w:id="216"/>
    </w:p>
    <w:p>
      <w:pPr>
        <w:pStyle w:val="33"/>
        <w:numPr>
          <w:ilvl w:val="1"/>
          <w:numId w:val="0"/>
        </w:numPr>
        <w:spacing w:line="520" w:lineRule="exact"/>
        <w:ind w:firstLine="480" w:firstLineChars="200"/>
      </w:pPr>
      <w:r>
        <w:rPr>
          <w:rFonts w:hint="eastAsia"/>
        </w:rPr>
        <w:t>1.本磋商文件中作为实质性要求的内容，除明确要求需在响应文件中提供承诺函等证明材料的外，评审委员会在评审时，仅对响应文件是否违背实质性要求进行审查。</w:t>
      </w:r>
    </w:p>
    <w:p>
      <w:pPr>
        <w:pStyle w:val="33"/>
        <w:numPr>
          <w:ilvl w:val="1"/>
          <w:numId w:val="0"/>
        </w:numPr>
        <w:spacing w:line="520" w:lineRule="exact"/>
        <w:ind w:firstLine="480" w:firstLineChars="200"/>
      </w:pPr>
      <w:r>
        <w:rPr>
          <w:rFonts w:hint="eastAsia"/>
        </w:rPr>
        <w:t>2.本磋商文件中所引用的相关法律法规规定，在采购中有调整的，按照调整后的相关法律法规规定执行。在本项目响应文件递交截止时间届满后，因相关法律法规规定的调整导致不符合相关法律法规规定的，按照调整后的相关法律法规规定执行，本磋商文件不再做调整。</w:t>
      </w:r>
    </w:p>
    <w:p>
      <w:pPr>
        <w:pStyle w:val="33"/>
        <w:numPr>
          <w:ilvl w:val="1"/>
          <w:numId w:val="0"/>
        </w:numPr>
        <w:spacing w:line="520" w:lineRule="exact"/>
        <w:ind w:firstLine="480" w:firstLineChars="200"/>
      </w:pPr>
      <w:r>
        <w:rPr>
          <w:rFonts w:hint="eastAsia"/>
        </w:rPr>
        <w:t>3.国家或行业主管部门对供应商和采购产品的技术标准、质量标准和资格资质条件等有强制性规定的，必须符合其要求</w:t>
      </w:r>
      <w:r>
        <w:rPr>
          <w:rFonts w:hint="eastAsia"/>
          <w:b/>
          <w:bCs/>
        </w:rPr>
        <w:t>(实质性要求)</w:t>
      </w:r>
      <w:r>
        <w:rPr>
          <w:rFonts w:hint="eastAsia"/>
        </w:rPr>
        <w:t>。</w:t>
      </w:r>
    </w:p>
    <w:p>
      <w:pPr>
        <w:pStyle w:val="33"/>
        <w:numPr>
          <w:ilvl w:val="1"/>
          <w:numId w:val="0"/>
        </w:numPr>
        <w:spacing w:line="520" w:lineRule="exact"/>
        <w:ind w:firstLine="480" w:firstLineChars="200"/>
      </w:pPr>
      <w:r>
        <w:rPr>
          <w:rFonts w:hint="eastAsia"/>
        </w:rPr>
        <w:t>4.</w:t>
      </w:r>
      <w:r>
        <w:rPr>
          <w:rFonts w:hint="eastAsia" w:cs="宋体"/>
        </w:rPr>
        <w:t>本项目涉及企业资质、产品认证、国家标准、人员执业资格等描述与国家最新要求不一致时以最新要求为准。</w:t>
      </w:r>
    </w:p>
    <w:p>
      <w:pPr>
        <w:pStyle w:val="43"/>
      </w:pPr>
    </w:p>
    <w:p>
      <w:pPr>
        <w:pStyle w:val="43"/>
      </w:pP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Pr>
        <w:pStyle w:val="48"/>
        <w:spacing w:before="120" w:after="120"/>
      </w:pPr>
      <w:bookmarkStart w:id="217" w:name="_Toc5589"/>
      <w:r>
        <w:rPr>
          <w:rFonts w:hint="eastAsia"/>
        </w:rPr>
        <w:br w:type="page"/>
      </w:r>
      <w:bookmarkEnd w:id="217"/>
      <w:bookmarkStart w:id="218" w:name="_Toc29575"/>
      <w:bookmarkStart w:id="219" w:name="_Toc26601"/>
      <w:bookmarkStart w:id="220" w:name="_Toc29102"/>
      <w:bookmarkStart w:id="221" w:name="_Toc25961"/>
      <w:bookmarkStart w:id="222" w:name="_Toc31402"/>
      <w:bookmarkStart w:id="223" w:name="_Toc4206"/>
      <w:r>
        <w:rPr>
          <w:rFonts w:hint="eastAsia"/>
        </w:rPr>
        <w:t>响应文件格式</w:t>
      </w:r>
      <w:bookmarkEnd w:id="218"/>
      <w:bookmarkEnd w:id="219"/>
      <w:bookmarkEnd w:id="220"/>
      <w:bookmarkEnd w:id="221"/>
      <w:bookmarkEnd w:id="222"/>
      <w:bookmarkEnd w:id="223"/>
    </w:p>
    <w:p>
      <w:pPr>
        <w:pStyle w:val="46"/>
        <w:spacing w:line="520" w:lineRule="exact"/>
      </w:pPr>
      <w:bookmarkStart w:id="224" w:name="_Toc294701519"/>
      <w:bookmarkStart w:id="225" w:name="_Toc294688711"/>
      <w:bookmarkStart w:id="226" w:name="_Toc16460"/>
      <w:bookmarkStart w:id="227" w:name="_Toc295978802"/>
      <w:bookmarkStart w:id="228" w:name="_Toc211218954"/>
      <w:bookmarkStart w:id="229" w:name="_Toc439161746"/>
      <w:bookmarkStart w:id="230" w:name="_Toc316462354"/>
      <w:bookmarkStart w:id="231" w:name="_Toc287367101"/>
      <w:bookmarkStart w:id="232" w:name="_Toc182759327"/>
      <w:bookmarkStart w:id="233" w:name="_Toc182629023"/>
      <w:r>
        <w:rPr>
          <w:rFonts w:hint="eastAsia"/>
        </w:rPr>
        <w:t>一、本章所制响应文件格式，除格式中明确将该格式作为实质性要求的，一律不具有强制性，供应商不涉及的格式可以不提供。</w:t>
      </w:r>
    </w:p>
    <w:p>
      <w:pPr>
        <w:pStyle w:val="46"/>
        <w:spacing w:line="520" w:lineRule="exact"/>
      </w:pPr>
      <w:r>
        <w:rPr>
          <w:rFonts w:hint="eastAsia"/>
        </w:rPr>
        <w:t>二、本章所制响应文件格式有关表格中的备注栏，由供应商根据自身响应情况作解释性说明，不作为必填项。</w:t>
      </w:r>
    </w:p>
    <w:p>
      <w:pPr>
        <w:pStyle w:val="46"/>
        <w:spacing w:line="520" w:lineRule="exact"/>
      </w:pPr>
      <w:r>
        <w:rPr>
          <w:rFonts w:hint="eastAsia"/>
        </w:rPr>
        <w:t>三、本章格式中“注”的内容，供应商可自行决定是否保留在响应文件中，未保留的视为供应商默认接受“注”的内容。</w:t>
      </w:r>
    </w:p>
    <w:p>
      <w:pPr>
        <w:pStyle w:val="46"/>
        <w:spacing w:line="520" w:lineRule="exact"/>
      </w:pPr>
      <w:r>
        <w:rPr>
          <w:rFonts w:hint="eastAsia"/>
        </w:rPr>
        <w:t>四、本章所制响应文件格式中需要填写的相关内容事项，可能会与本采购项目无关，在不改变响应文件原义、不影响本项目采购需求的情况下，供应商可以不予填写，但应当注明。</w:t>
      </w:r>
    </w:p>
    <w:p>
      <w:pPr>
        <w:pStyle w:val="43"/>
      </w:pPr>
      <w:r>
        <w:rPr>
          <w:rFonts w:hint="eastAsia"/>
        </w:rPr>
        <w:br w:type="page"/>
      </w:r>
    </w:p>
    <w:p>
      <w:pPr>
        <w:pStyle w:val="34"/>
      </w:pPr>
      <w:r>
        <w:rPr>
          <w:rFonts w:hint="eastAsia"/>
        </w:rPr>
        <w:t>附件：密封袋的格式</w:t>
      </w:r>
    </w:p>
    <w:p>
      <w:pPr>
        <w:pStyle w:val="34"/>
      </w:pPr>
    </w:p>
    <w:p>
      <w:pPr>
        <w:pStyle w:val="34"/>
      </w:pPr>
    </w:p>
    <w:p>
      <w:pPr>
        <w:pStyle w:val="34"/>
      </w:pPr>
    </w:p>
    <w:tbl>
      <w:tblPr>
        <w:tblStyle w:val="23"/>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tcPr>
          <w:p>
            <w:pPr>
              <w:pStyle w:val="34"/>
            </w:pP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xml:space="preserve">                   </w:t>
            </w: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u w:val="single"/>
              </w:rPr>
              <w:t xml:space="preserve">                   </w:t>
            </w:r>
          </w:p>
          <w:p>
            <w:pPr>
              <w:tabs>
                <w:tab w:val="left" w:pos="7665"/>
                <w:tab w:val="clear" w:pos="0"/>
              </w:tabs>
              <w:spacing w:line="400" w:lineRule="exact"/>
              <w:jc w:val="center"/>
              <w:rPr>
                <w:rFonts w:asciiTheme="minorEastAsia" w:hAnsiTheme="minorEastAsia" w:eastAsiaTheme="minorEastAsia" w:cstheme="minorEastAsia"/>
                <w:b/>
                <w:sz w:val="32"/>
                <w:szCs w:val="32"/>
              </w:rPr>
            </w:pPr>
          </w:p>
          <w:p>
            <w:pPr>
              <w:pStyle w:val="34"/>
              <w:jc w:val="center"/>
              <w:rPr>
                <w:b/>
                <w:bCs/>
                <w:sz w:val="32"/>
                <w:szCs w:val="32"/>
              </w:rPr>
            </w:pPr>
            <w:r>
              <w:rPr>
                <w:rFonts w:hint="eastAsia"/>
                <w:b/>
                <w:bCs/>
                <w:sz w:val="32"/>
                <w:szCs w:val="32"/>
              </w:rPr>
              <w:t>资格、资质性及其他类似效力响应文件</w:t>
            </w:r>
          </w:p>
          <w:p>
            <w:pPr>
              <w:pStyle w:val="34"/>
              <w:jc w:val="center"/>
              <w:rPr>
                <w:b/>
                <w:bCs/>
                <w:sz w:val="32"/>
                <w:szCs w:val="32"/>
              </w:rPr>
            </w:pPr>
            <w:r>
              <w:rPr>
                <w:rFonts w:hint="eastAsia"/>
                <w:b/>
                <w:bCs/>
                <w:sz w:val="32"/>
                <w:szCs w:val="32"/>
              </w:rPr>
              <w:t>/其他响应文件/电子文档</w:t>
            </w:r>
          </w:p>
          <w:p>
            <w:pPr>
              <w:tabs>
                <w:tab w:val="left" w:pos="7665"/>
                <w:tab w:val="clear" w:pos="0"/>
              </w:tabs>
              <w:spacing w:line="400" w:lineRule="exact"/>
              <w:jc w:val="center"/>
              <w:rPr>
                <w:rFonts w:asciiTheme="minorEastAsia" w:hAnsiTheme="minorEastAsia" w:eastAsiaTheme="minorEastAsia" w:cstheme="minorEastAsia"/>
              </w:rPr>
            </w:pP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p>
          <w:p>
            <w:pPr>
              <w:pStyle w:val="34"/>
              <w:ind w:firstLine="2280" w:firstLineChars="950"/>
            </w:pPr>
            <w:r>
              <w:rPr>
                <w:rFonts w:hint="eastAsia" w:asciiTheme="minorEastAsia" w:hAnsiTheme="minorEastAsia" w:eastAsiaTheme="minorEastAsia" w:cstheme="minorEastAsia"/>
              </w:rPr>
              <w:t>磋商时间：</w:t>
            </w:r>
            <w:r>
              <w:rPr>
                <w:rFonts w:hint="eastAsia" w:asciiTheme="minorEastAsia" w:hAnsiTheme="minorEastAsia" w:eastAsiaTheme="minorEastAsia" w:cstheme="minorEastAsia"/>
                <w:u w:val="single"/>
              </w:rPr>
              <w:t xml:space="preserve">                   </w:t>
            </w:r>
            <w:r>
              <w:rPr>
                <w:rFonts w:hint="eastAsia"/>
              </w:rPr>
              <w:t xml:space="preserve">                   </w:t>
            </w:r>
          </w:p>
          <w:p>
            <w:pPr>
              <w:pStyle w:val="34"/>
            </w:pPr>
          </w:p>
        </w:tc>
      </w:tr>
    </w:tbl>
    <w:p>
      <w:pPr>
        <w:pStyle w:val="34"/>
      </w:pPr>
      <w:bookmarkStart w:id="234" w:name="_Toc11581"/>
      <w:bookmarkStart w:id="235" w:name="_Toc6994"/>
      <w:r>
        <w:rPr>
          <w:rFonts w:hint="eastAsia"/>
        </w:rPr>
        <w:br w:type="page"/>
      </w:r>
    </w:p>
    <w:p>
      <w:pPr>
        <w:pStyle w:val="34"/>
      </w:pPr>
      <w:r>
        <w:rPr>
          <w:rFonts w:hint="eastAsia"/>
        </w:rPr>
        <w:t>响应文件封面格式</w:t>
      </w:r>
      <w:bookmarkEnd w:id="224"/>
      <w:bookmarkEnd w:id="225"/>
      <w:bookmarkEnd w:id="226"/>
      <w:bookmarkEnd w:id="227"/>
      <w:bookmarkEnd w:id="228"/>
      <w:bookmarkEnd w:id="229"/>
      <w:bookmarkEnd w:id="230"/>
      <w:bookmarkEnd w:id="231"/>
      <w:bookmarkEnd w:id="232"/>
      <w:bookmarkEnd w:id="233"/>
      <w:bookmarkEnd w:id="234"/>
      <w:bookmarkEnd w:id="235"/>
    </w:p>
    <w:p>
      <w:pPr>
        <w:pStyle w:val="34"/>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b/>
                                <w:sz w:val="28"/>
                                <w:szCs w:val="28"/>
                              </w:rPr>
                            </w:pPr>
                            <w:r>
                              <w:rPr>
                                <w:rFonts w:hint="eastAsia"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60288;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fill on="t" focussize="0,0"/>
                <v:stroke color="#000000" joinstyle="miter"/>
                <v:imagedata o:title=""/>
                <o:lock v:ext="edit" aspectratio="f"/>
                <v:textbox style="mso-fit-shape-to-text:t;">
                  <w:txbxContent>
                    <w:p>
                      <w:pPr>
                        <w:rPr>
                          <w:rFonts w:cs="宋体"/>
                          <w:b/>
                          <w:sz w:val="28"/>
                          <w:szCs w:val="28"/>
                        </w:rPr>
                      </w:pPr>
                      <w:r>
                        <w:rPr>
                          <w:rFonts w:hint="eastAsia" w:cs="宋体"/>
                          <w:b/>
                          <w:sz w:val="28"/>
                          <w:szCs w:val="28"/>
                        </w:rPr>
                        <w:t>正本或副本</w:t>
                      </w:r>
                    </w:p>
                  </w:txbxContent>
                </v:textbox>
              </v:rect>
            </w:pict>
          </mc:Fallback>
        </mc:AlternateContent>
      </w:r>
    </w:p>
    <w:p>
      <w:pPr>
        <w:pStyle w:val="34"/>
      </w:pPr>
    </w:p>
    <w:p>
      <w:pPr>
        <w:pStyle w:val="34"/>
      </w:pPr>
    </w:p>
    <w:p>
      <w:pPr>
        <w:pStyle w:val="34"/>
      </w:pPr>
    </w:p>
    <w:p>
      <w:pPr>
        <w:pStyle w:val="34"/>
        <w:spacing w:line="360" w:lineRule="auto"/>
        <w:jc w:val="center"/>
        <w:rPr>
          <w:b/>
          <w:bCs/>
          <w:sz w:val="48"/>
          <w:szCs w:val="48"/>
        </w:rPr>
      </w:pPr>
    </w:p>
    <w:p>
      <w:pPr>
        <w:pStyle w:val="34"/>
        <w:spacing w:line="360" w:lineRule="auto"/>
        <w:jc w:val="center"/>
        <w:rPr>
          <w:b/>
          <w:bCs/>
          <w:sz w:val="48"/>
          <w:szCs w:val="48"/>
        </w:rPr>
      </w:pPr>
      <w:r>
        <w:rPr>
          <w:rFonts w:hint="eastAsia"/>
          <w:b/>
          <w:bCs/>
          <w:sz w:val="48"/>
          <w:szCs w:val="48"/>
        </w:rPr>
        <w:t>资格、资质性及其他类似效力响应文件</w:t>
      </w:r>
    </w:p>
    <w:p>
      <w:pPr>
        <w:pStyle w:val="34"/>
        <w:spacing w:line="360" w:lineRule="auto"/>
        <w:jc w:val="center"/>
        <w:rPr>
          <w:b/>
          <w:bCs/>
          <w:sz w:val="48"/>
          <w:szCs w:val="48"/>
        </w:rPr>
      </w:pPr>
      <w:r>
        <w:rPr>
          <w:rFonts w:hint="eastAsia"/>
          <w:b/>
          <w:bCs/>
          <w:sz w:val="48"/>
          <w:szCs w:val="48"/>
        </w:rPr>
        <w:t>/其他响应文件</w:t>
      </w:r>
    </w:p>
    <w:p>
      <w:pPr>
        <w:pStyle w:val="34"/>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r>
        <w:rPr>
          <w:rFonts w:hint="eastAsia"/>
          <w:b/>
          <w:bCs/>
          <w:sz w:val="32"/>
          <w:szCs w:val="32"/>
        </w:rPr>
        <w:t>项目名称：</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项目编号：</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供应商名称：</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磋商日期：</w:t>
      </w:r>
      <w:r>
        <w:rPr>
          <w:rFonts w:hint="eastAsia"/>
          <w:b/>
          <w:bCs/>
          <w:sz w:val="32"/>
          <w:szCs w:val="32"/>
          <w:u w:val="single"/>
        </w:rPr>
        <w:t xml:space="preserve">      </w:t>
      </w:r>
      <w:r>
        <w:rPr>
          <w:rFonts w:hint="eastAsia"/>
          <w:b/>
          <w:bCs/>
          <w:sz w:val="32"/>
          <w:szCs w:val="32"/>
        </w:rPr>
        <w:t>年</w:t>
      </w:r>
      <w:r>
        <w:rPr>
          <w:rFonts w:hint="eastAsia"/>
          <w:b/>
          <w:bCs/>
          <w:sz w:val="32"/>
          <w:szCs w:val="32"/>
          <w:u w:val="single"/>
        </w:rPr>
        <w:t xml:space="preserve">    </w:t>
      </w:r>
      <w:r>
        <w:rPr>
          <w:rFonts w:hint="eastAsia"/>
          <w:b/>
          <w:bCs/>
          <w:sz w:val="32"/>
          <w:szCs w:val="32"/>
        </w:rPr>
        <w:t>月</w:t>
      </w:r>
      <w:r>
        <w:rPr>
          <w:rFonts w:hint="eastAsia"/>
          <w:b/>
          <w:bCs/>
          <w:sz w:val="32"/>
          <w:szCs w:val="32"/>
          <w:u w:val="single"/>
        </w:rPr>
        <w:t xml:space="preserve">    </w:t>
      </w:r>
      <w:r>
        <w:rPr>
          <w:rFonts w:hint="eastAsia"/>
          <w:b/>
          <w:bCs/>
          <w:sz w:val="32"/>
          <w:szCs w:val="32"/>
        </w:rPr>
        <w:t>日</w:t>
      </w:r>
    </w:p>
    <w:p>
      <w:pPr>
        <w:pStyle w:val="43"/>
      </w:pPr>
      <w:bookmarkStart w:id="236" w:name="_Toc31011"/>
      <w:bookmarkStart w:id="237" w:name="_Toc5565"/>
      <w:bookmarkStart w:id="238" w:name="_Toc5306"/>
      <w:bookmarkStart w:id="239" w:name="_Toc11556"/>
      <w:r>
        <w:rPr>
          <w:rFonts w:hint="eastAsia"/>
        </w:rPr>
        <w:br w:type="page"/>
      </w:r>
    </w:p>
    <w:bookmarkEnd w:id="236"/>
    <w:bookmarkEnd w:id="237"/>
    <w:bookmarkEnd w:id="238"/>
    <w:bookmarkEnd w:id="239"/>
    <w:p>
      <w:pPr>
        <w:pStyle w:val="43"/>
      </w:pPr>
      <w:bookmarkStart w:id="240" w:name="_Toc15611"/>
    </w:p>
    <w:p>
      <w:pPr>
        <w:pStyle w:val="43"/>
      </w:pPr>
    </w:p>
    <w:p>
      <w:pPr>
        <w:pStyle w:val="43"/>
      </w:pPr>
    </w:p>
    <w:p>
      <w:pPr>
        <w:pStyle w:val="43"/>
      </w:pPr>
    </w:p>
    <w:p>
      <w:pPr>
        <w:pStyle w:val="43"/>
      </w:pPr>
    </w:p>
    <w:p>
      <w:pPr>
        <w:pStyle w:val="43"/>
      </w:pPr>
    </w:p>
    <w:p>
      <w:pPr>
        <w:pStyle w:val="43"/>
      </w:pPr>
    </w:p>
    <w:p>
      <w:pPr>
        <w:pStyle w:val="43"/>
      </w:pPr>
      <w:bookmarkStart w:id="241" w:name="_Toc24630"/>
    </w:p>
    <w:p>
      <w:pPr>
        <w:pStyle w:val="43"/>
      </w:pPr>
    </w:p>
    <w:p>
      <w:pPr>
        <w:pStyle w:val="43"/>
      </w:pPr>
    </w:p>
    <w:p>
      <w:pPr>
        <w:pStyle w:val="43"/>
      </w:pPr>
    </w:p>
    <w:p>
      <w:pPr>
        <w:pStyle w:val="43"/>
      </w:pPr>
    </w:p>
    <w:p>
      <w:pPr>
        <w:pStyle w:val="35"/>
        <w:numPr>
          <w:ilvl w:val="1"/>
          <w:numId w:val="0"/>
        </w:numPr>
        <w:spacing w:before="480" w:beforeLines="200"/>
        <w:jc w:val="center"/>
        <w:rPr>
          <w:sz w:val="32"/>
          <w:szCs w:val="32"/>
        </w:rPr>
      </w:pPr>
      <w:bookmarkStart w:id="242" w:name="_Toc5039"/>
      <w:bookmarkStart w:id="243" w:name="_Toc24442"/>
      <w:r>
        <w:rPr>
          <w:rFonts w:hint="eastAsia"/>
          <w:sz w:val="32"/>
          <w:szCs w:val="32"/>
        </w:rPr>
        <w:t>第一部分 资格、资质性及其他类似效力响应文件(格式)</w:t>
      </w:r>
      <w:bookmarkEnd w:id="240"/>
      <w:bookmarkEnd w:id="241"/>
      <w:bookmarkEnd w:id="242"/>
      <w:bookmarkEnd w:id="243"/>
      <w:bookmarkStart w:id="244" w:name="_Toc23537"/>
      <w:bookmarkStart w:id="245" w:name="_Toc16168"/>
    </w:p>
    <w:p>
      <w:pPr>
        <w:pStyle w:val="43"/>
      </w:pPr>
      <w:r>
        <w:rPr>
          <w:rFonts w:hint="eastAsia"/>
        </w:rPr>
        <w:br w:type="page"/>
      </w:r>
      <w:bookmarkEnd w:id="244"/>
      <w:bookmarkEnd w:id="245"/>
      <w:bookmarkStart w:id="246" w:name="_Toc26837"/>
      <w:bookmarkStart w:id="247" w:name="_Toc4996"/>
    </w:p>
    <w:p>
      <w:pPr>
        <w:pStyle w:val="44"/>
        <w:numPr>
          <w:ilvl w:val="0"/>
          <w:numId w:val="18"/>
        </w:numPr>
        <w:spacing w:before="120" w:after="120"/>
        <w:ind w:firstLine="0"/>
      </w:pPr>
      <w:bookmarkStart w:id="248" w:name="_Toc14778"/>
      <w:bookmarkStart w:id="249" w:name="_Toc30526"/>
      <w:r>
        <w:rPr>
          <w:rFonts w:hint="eastAsia"/>
        </w:rPr>
        <w:t>法定代表人/单位负责人授权书</w:t>
      </w:r>
      <w:bookmarkEnd w:id="246"/>
      <w:bookmarkEnd w:id="247"/>
      <w:bookmarkEnd w:id="248"/>
      <w:bookmarkEnd w:id="249"/>
    </w:p>
    <w:p>
      <w:pPr>
        <w:pStyle w:val="43"/>
      </w:pPr>
      <w:r>
        <w:rPr>
          <w:rFonts w:hint="eastAsia" w:asciiTheme="minorEastAsia" w:hAnsiTheme="minorEastAsia" w:eastAsiaTheme="minorEastAsia" w:cstheme="minorEastAsia"/>
          <w:u w:val="single"/>
        </w:rPr>
        <w:t xml:space="preserve">                     </w:t>
      </w:r>
      <w:r>
        <w:rPr>
          <w:rFonts w:hint="eastAsia"/>
        </w:rPr>
        <w:t>(采购代理机构名称)：</w:t>
      </w:r>
    </w:p>
    <w:p>
      <w:pPr>
        <w:pStyle w:val="46"/>
      </w:pPr>
      <w:r>
        <w:rPr>
          <w:rFonts w:hint="eastAsia"/>
        </w:rPr>
        <w:t>本授权声明：</w:t>
      </w:r>
      <w:r>
        <w:rPr>
          <w:rFonts w:hint="eastAsia" w:asciiTheme="minorEastAsia" w:hAnsiTheme="minorEastAsia" w:eastAsiaTheme="minorEastAsia" w:cstheme="minorEastAsia"/>
          <w:u w:val="single"/>
        </w:rPr>
        <w:t xml:space="preserve">                     </w:t>
      </w:r>
      <w:r>
        <w:rPr>
          <w:rFonts w:hint="eastAsia"/>
        </w:rPr>
        <w:t>(供应商名称)</w:t>
      </w:r>
      <w:r>
        <w:rPr>
          <w:rFonts w:hint="eastAsia" w:asciiTheme="minorEastAsia" w:hAnsiTheme="minorEastAsia" w:eastAsiaTheme="minorEastAsia" w:cstheme="minorEastAsia"/>
          <w:u w:val="single"/>
        </w:rPr>
        <w:t xml:space="preserve">          </w:t>
      </w:r>
      <w:r>
        <w:rPr>
          <w:rFonts w:hint="eastAsia"/>
        </w:rPr>
        <w:t>(法定代表人/单位负责人姓名、职务)授权</w:t>
      </w:r>
      <w:r>
        <w:rPr>
          <w:rFonts w:hint="eastAsia" w:asciiTheme="minorEastAsia" w:hAnsiTheme="minorEastAsia" w:eastAsiaTheme="minorEastAsia" w:cstheme="minorEastAsia"/>
          <w:u w:val="single"/>
        </w:rPr>
        <w:t xml:space="preserve">                        </w:t>
      </w:r>
      <w:r>
        <w:rPr>
          <w:rFonts w:hint="eastAsia"/>
        </w:rPr>
        <w:t>(被授权人姓名、职务、身份证号码)为我方参加“</w:t>
      </w:r>
      <w:r>
        <w:rPr>
          <w:rFonts w:hint="eastAsia" w:asciiTheme="minorEastAsia" w:hAnsiTheme="minorEastAsia" w:eastAsiaTheme="minorEastAsia" w:cstheme="minorEastAsia"/>
          <w:u w:val="single"/>
        </w:rPr>
        <w:t xml:space="preserve">                     </w:t>
      </w:r>
      <w:r>
        <w:rPr>
          <w:rFonts w:hint="eastAsia"/>
        </w:rPr>
        <w:t>(项目名称)(项目编号：</w:t>
      </w:r>
      <w:r>
        <w:rPr>
          <w:rFonts w:hint="eastAsia" w:asciiTheme="minorEastAsia" w:hAnsiTheme="minorEastAsia" w:eastAsiaTheme="minorEastAsia" w:cstheme="minorEastAsia"/>
          <w:u w:val="single"/>
        </w:rPr>
        <w:t xml:space="preserve">           </w:t>
      </w:r>
      <w:r>
        <w:rPr>
          <w:rFonts w:hint="eastAsia"/>
        </w:rPr>
        <w:t>)”采购活动的合法代表，以我方名义全权处理参与该项目采购活动、合同签订以及合同履约中的一切事宜，我单位均予承认，所产生的法律后果均由我单位承担。</w:t>
      </w:r>
    </w:p>
    <w:p>
      <w:pPr>
        <w:pStyle w:val="46"/>
      </w:pPr>
      <w:r>
        <w:rPr>
          <w:rFonts w:hint="eastAsia"/>
        </w:rPr>
        <w:t>特此声明。</w:t>
      </w:r>
    </w:p>
    <w:p>
      <w:pPr>
        <w:pStyle w:val="43"/>
      </w:pPr>
    </w:p>
    <w:p>
      <w:pPr>
        <w:pStyle w:val="43"/>
      </w:pPr>
    </w:p>
    <w:p>
      <w:pPr>
        <w:pStyle w:val="43"/>
      </w:pPr>
    </w:p>
    <w:p>
      <w:pPr>
        <w:pStyle w:val="43"/>
      </w:pPr>
    </w:p>
    <w:p>
      <w:pPr>
        <w:pStyle w:val="43"/>
      </w:pPr>
    </w:p>
    <w:p>
      <w:pPr>
        <w:pStyle w:val="43"/>
      </w:pPr>
    </w:p>
    <w:p>
      <w:pPr>
        <w:pStyle w:val="43"/>
      </w:pPr>
    </w:p>
    <w:p>
      <w:pPr>
        <w:pStyle w:val="46"/>
      </w:pPr>
      <w:r>
        <w:rPr>
          <w:rFonts w:hint="eastAsia"/>
        </w:rPr>
        <w:t>法定代表人/单位负责人：</w:t>
      </w:r>
      <w:r>
        <w:rPr>
          <w:rFonts w:hint="eastAsia" w:asciiTheme="minorEastAsia" w:hAnsiTheme="minorEastAsia" w:eastAsiaTheme="minorEastAsia" w:cstheme="minorEastAsia"/>
          <w:u w:val="single"/>
        </w:rPr>
        <w:t xml:space="preserve">             </w:t>
      </w:r>
      <w:r>
        <w:rPr>
          <w:rFonts w:hint="eastAsia"/>
        </w:rPr>
        <w:t>(签字或盖章)</w:t>
      </w:r>
    </w:p>
    <w:p>
      <w:pPr>
        <w:pStyle w:val="46"/>
      </w:pPr>
      <w:r>
        <w:rPr>
          <w:rFonts w:hint="eastAsia"/>
        </w:rPr>
        <w:t>授权代表：</w:t>
      </w:r>
      <w:r>
        <w:rPr>
          <w:rFonts w:hint="eastAsia" w:asciiTheme="minorEastAsia" w:hAnsiTheme="minorEastAsia" w:eastAsiaTheme="minorEastAsia" w:cstheme="minorEastAsia"/>
          <w:u w:val="single"/>
        </w:rPr>
        <w:t xml:space="preserve">             </w:t>
      </w:r>
      <w:r>
        <w:rPr>
          <w:rFonts w:hint="eastAsia"/>
        </w:rPr>
        <w:t>(签字或盖章)</w:t>
      </w:r>
    </w:p>
    <w:p>
      <w:pPr>
        <w:pStyle w:val="46"/>
      </w:pPr>
      <w:r>
        <w:rPr>
          <w:rFonts w:hint="eastAsia"/>
        </w:rPr>
        <w:t>供应商名称：</w:t>
      </w:r>
      <w:r>
        <w:rPr>
          <w:rFonts w:hint="eastAsia" w:asciiTheme="minorEastAsia" w:hAnsiTheme="minorEastAsia" w:eastAsiaTheme="minorEastAsia" w:cstheme="minorEastAsia"/>
          <w:u w:val="single"/>
        </w:rPr>
        <w:t xml:space="preserve">             </w:t>
      </w:r>
      <w:r>
        <w:rPr>
          <w:rFonts w:hint="eastAsia"/>
        </w:rPr>
        <w:t>(盖章)</w:t>
      </w:r>
    </w:p>
    <w:p>
      <w:pPr>
        <w:pStyle w:val="46"/>
      </w:pPr>
      <w:r>
        <w:rPr>
          <w:rFonts w:hint="eastAsia"/>
        </w:rPr>
        <w:t>磋商日期：</w:t>
      </w:r>
      <w:r>
        <w:rPr>
          <w:rFonts w:hint="eastAsia" w:asciiTheme="minorEastAsia" w:hAnsiTheme="minorEastAsia" w:eastAsiaTheme="minorEastAsia" w:cstheme="minorEastAsia"/>
          <w:u w:val="single"/>
        </w:rPr>
        <w:t xml:space="preserve">             </w:t>
      </w:r>
      <w:r>
        <w:rPr>
          <w:rFonts w:hint="eastAsia"/>
        </w:rPr>
        <w:t xml:space="preserve">     </w:t>
      </w:r>
    </w:p>
    <w:p>
      <w:pPr>
        <w:pStyle w:val="43"/>
      </w:pPr>
    </w:p>
    <w:p>
      <w:pPr>
        <w:pStyle w:val="47"/>
        <w:ind w:firstLine="482"/>
      </w:pPr>
      <w:r>
        <w:rPr>
          <w:rFonts w:hint="eastAsia"/>
        </w:rPr>
        <w:t>注：1.法定代表人/单位负责人不亲自参加磋商，而授权代表参加磋商的适用。</w:t>
      </w:r>
    </w:p>
    <w:p>
      <w:pPr>
        <w:pStyle w:val="47"/>
        <w:ind w:firstLine="482"/>
      </w:pPr>
      <w:r>
        <w:rPr>
          <w:rFonts w:hint="eastAsia"/>
        </w:rPr>
        <w:t>2.</w:t>
      </w:r>
      <w:r>
        <w:t>供应商为法人单位时提供“法定代表人授权书”，供应商为其他组织时提供“单位负责人授权书”，供应商为自然人时提供“自然人身份证明材料”。</w:t>
      </w:r>
    </w:p>
    <w:p>
      <w:pPr>
        <w:pStyle w:val="47"/>
        <w:ind w:firstLine="482"/>
      </w:pPr>
      <w:r>
        <w:rPr>
          <w:rFonts w:hint="eastAsia"/>
        </w:rPr>
        <w:t>3.</w:t>
      </w:r>
      <w:r>
        <w:t>应附法定代表人/单位负责人身份证明材料复印件和授权代表身份证明材料复印件。</w:t>
      </w:r>
    </w:p>
    <w:p>
      <w:pPr>
        <w:pStyle w:val="47"/>
        <w:ind w:firstLine="482"/>
      </w:pPr>
      <w:r>
        <w:rPr>
          <w:rFonts w:hint="eastAsia"/>
        </w:rPr>
        <w:t>4.</w:t>
      </w:r>
      <w:r>
        <w:t>身份证明材料包括居民身份证或户口本或军官证或护照等。</w:t>
      </w:r>
    </w:p>
    <w:p>
      <w:pPr>
        <w:pStyle w:val="47"/>
        <w:ind w:firstLine="482"/>
      </w:pPr>
      <w:r>
        <w:rPr>
          <w:rFonts w:hint="eastAsia"/>
        </w:rPr>
        <w:t>5.</w:t>
      </w:r>
      <w:r>
        <w:t>身份证明材料应同时提供其在有效期的材料，如居民身份证正、反面复印件</w:t>
      </w:r>
      <w:r>
        <w:rPr>
          <w:rFonts w:hint="eastAsia"/>
        </w:rPr>
        <w:t>。</w:t>
      </w:r>
    </w:p>
    <w:p>
      <w:pPr>
        <w:pStyle w:val="43"/>
      </w:pPr>
      <w:r>
        <w:rPr>
          <w:rFonts w:hint="eastAsia"/>
        </w:rPr>
        <w:br w:type="page"/>
      </w:r>
    </w:p>
    <w:p>
      <w:pPr>
        <w:pStyle w:val="44"/>
        <w:numPr>
          <w:ilvl w:val="0"/>
          <w:numId w:val="19"/>
        </w:numPr>
        <w:spacing w:before="120" w:after="120"/>
        <w:ind w:firstLine="0"/>
      </w:pPr>
      <w:bookmarkStart w:id="250" w:name="_Toc9688"/>
      <w:bookmarkStart w:id="251" w:name="_Toc22355"/>
      <w:bookmarkStart w:id="252" w:name="_Toc22140"/>
      <w:bookmarkStart w:id="253" w:name="_Toc5501"/>
      <w:bookmarkStart w:id="254" w:name="_Toc9243"/>
      <w:bookmarkStart w:id="255" w:name="_Toc25674"/>
      <w:r>
        <w:rPr>
          <w:rFonts w:hint="eastAsia"/>
        </w:rPr>
        <w:t>法定代表人/单位负责人证明书</w:t>
      </w:r>
      <w:bookmarkEnd w:id="250"/>
      <w:bookmarkEnd w:id="251"/>
      <w:bookmarkEnd w:id="252"/>
      <w:bookmarkEnd w:id="253"/>
      <w:bookmarkEnd w:id="254"/>
      <w:bookmarkEnd w:id="255"/>
    </w:p>
    <w:p>
      <w:pPr>
        <w:pStyle w:val="46"/>
      </w:pPr>
      <w:r>
        <w:rPr>
          <w:rFonts w:hint="eastAsia"/>
        </w:rPr>
        <w:t>单位名称：</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地    址：</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本人系</w:t>
      </w:r>
      <w:r>
        <w:rPr>
          <w:rFonts w:hint="eastAsia"/>
          <w:u w:val="single"/>
        </w:rPr>
        <w:t xml:space="preserve">                           </w:t>
      </w:r>
      <w:r>
        <w:rPr>
          <w:rFonts w:hint="eastAsia"/>
        </w:rPr>
        <w:t>(供应商名称)的法定代表人/单位负责人。就参加你单位组织的“</w:t>
      </w:r>
      <w:r>
        <w:rPr>
          <w:rFonts w:hint="eastAsia"/>
          <w:u w:val="single"/>
        </w:rPr>
        <w:t xml:space="preserve">             </w:t>
      </w:r>
      <w:r>
        <w:rPr>
          <w:rFonts w:hint="eastAsia"/>
        </w:rPr>
        <w:t>(项目名称)(项目编号：</w:t>
      </w:r>
      <w:r>
        <w:rPr>
          <w:rFonts w:hint="eastAsia"/>
          <w:u w:val="single"/>
        </w:rPr>
        <w:t xml:space="preserve">         </w:t>
      </w:r>
      <w:r>
        <w:rPr>
          <w:rFonts w:hint="eastAsia"/>
        </w:rPr>
        <w:t>)”的采购活动、合同签订以及合同履约等一切事宜，我单位均予承认，所产生的法律后果均由我单位承担。</w:t>
      </w:r>
    </w:p>
    <w:p>
      <w:pPr>
        <w:pStyle w:val="46"/>
      </w:pPr>
      <w:r>
        <w:rPr>
          <w:rFonts w:hint="eastAsia"/>
        </w:rPr>
        <w:t>特此证明。</w:t>
      </w:r>
    </w:p>
    <w:p>
      <w:pPr>
        <w:pStyle w:val="43"/>
      </w:pPr>
    </w:p>
    <w:p>
      <w:pPr>
        <w:pStyle w:val="43"/>
      </w:pPr>
    </w:p>
    <w:p>
      <w:pPr>
        <w:pStyle w:val="43"/>
      </w:pPr>
    </w:p>
    <w:p>
      <w:pPr>
        <w:pStyle w:val="43"/>
      </w:pPr>
    </w:p>
    <w:p>
      <w:pPr>
        <w:pStyle w:val="43"/>
      </w:pPr>
    </w:p>
    <w:p>
      <w:pPr>
        <w:pStyle w:val="46"/>
      </w:pPr>
      <w:r>
        <w:rPr>
          <w:rFonts w:hint="eastAsia"/>
        </w:rPr>
        <w:t>供应商名称：</w:t>
      </w:r>
      <w:r>
        <w:rPr>
          <w:rFonts w:hint="eastAsia"/>
          <w:u w:val="single"/>
        </w:rPr>
        <w:t xml:space="preserve">             </w:t>
      </w:r>
      <w:r>
        <w:rPr>
          <w:rFonts w:hint="eastAsia"/>
        </w:rPr>
        <w:t xml:space="preserve">(盖章) </w:t>
      </w:r>
    </w:p>
    <w:p>
      <w:pPr>
        <w:pStyle w:val="46"/>
      </w:pPr>
      <w:r>
        <w:rPr>
          <w:rFonts w:hint="eastAsia"/>
        </w:rPr>
        <w:t>法定代表人/单位负责人：</w:t>
      </w:r>
      <w:r>
        <w:rPr>
          <w:rFonts w:hint="eastAsia"/>
          <w:u w:val="single"/>
        </w:rPr>
        <w:t xml:space="preserve">               </w:t>
      </w:r>
      <w:r>
        <w:rPr>
          <w:rFonts w:hint="eastAsia"/>
        </w:rPr>
        <w:t>(签字或盖章)</w:t>
      </w:r>
    </w:p>
    <w:p>
      <w:pPr>
        <w:pStyle w:val="46"/>
        <w:rPr>
          <w:u w:val="single"/>
        </w:rPr>
      </w:pPr>
      <w:r>
        <w:rPr>
          <w:rFonts w:hint="eastAsia"/>
        </w:rPr>
        <w:t>磋商日期：</w:t>
      </w:r>
      <w:r>
        <w:rPr>
          <w:rFonts w:hint="eastAsia"/>
          <w:u w:val="single"/>
        </w:rPr>
        <w:t xml:space="preserve">             </w:t>
      </w:r>
    </w:p>
    <w:p>
      <w:pPr>
        <w:pStyle w:val="46"/>
      </w:pPr>
    </w:p>
    <w:p>
      <w:pPr>
        <w:pStyle w:val="47"/>
        <w:ind w:firstLine="482"/>
      </w:pPr>
      <w:r>
        <w:rPr>
          <w:rFonts w:hint="eastAsia"/>
        </w:rPr>
        <w:t>注：1.法定代表人</w:t>
      </w:r>
      <w:r>
        <w:t>/单位负责人</w:t>
      </w:r>
      <w:r>
        <w:rPr>
          <w:rFonts w:hint="eastAsia"/>
        </w:rPr>
        <w:t>亲自参加磋商时适用本证明书。</w:t>
      </w:r>
    </w:p>
    <w:p>
      <w:pPr>
        <w:pStyle w:val="47"/>
        <w:ind w:firstLine="482"/>
      </w:pPr>
      <w:r>
        <w:rPr>
          <w:rFonts w:hint="eastAsia"/>
        </w:rPr>
        <w:t>2.</w:t>
      </w:r>
      <w:r>
        <w:t>应附法定代表人/单位负责人身份证明材料复印件。</w:t>
      </w:r>
    </w:p>
    <w:p>
      <w:pPr>
        <w:pStyle w:val="47"/>
        <w:ind w:firstLine="482"/>
      </w:pPr>
      <w:r>
        <w:rPr>
          <w:rFonts w:hint="eastAsia"/>
        </w:rPr>
        <w:t>3.</w:t>
      </w:r>
      <w:r>
        <w:t>身份证明材料包括居民身份证或户口本或军官证或护照等。</w:t>
      </w:r>
    </w:p>
    <w:p>
      <w:pPr>
        <w:pStyle w:val="47"/>
        <w:ind w:firstLine="482"/>
      </w:pPr>
      <w:r>
        <w:rPr>
          <w:rFonts w:hint="eastAsia"/>
        </w:rPr>
        <w:t>4.</w:t>
      </w:r>
      <w:r>
        <w:t>身份证明材料应同时提供其在有效期的材料，如居民身份证正、反面复印件</w:t>
      </w:r>
      <w:r>
        <w:rPr>
          <w:rFonts w:hint="eastAsia"/>
        </w:rPr>
        <w:t>。</w:t>
      </w:r>
    </w:p>
    <w:p>
      <w:pPr>
        <w:pStyle w:val="44"/>
        <w:numPr>
          <w:ilvl w:val="0"/>
          <w:numId w:val="19"/>
        </w:numPr>
        <w:spacing w:before="120" w:after="120"/>
        <w:ind w:firstLine="0"/>
      </w:pPr>
      <w:bookmarkStart w:id="256" w:name="_Toc27626"/>
      <w:bookmarkStart w:id="257" w:name="_Toc22152"/>
      <w:bookmarkStart w:id="258" w:name="_Toc28837"/>
      <w:bookmarkStart w:id="259" w:name="_Toc234"/>
      <w:bookmarkStart w:id="260" w:name="_Toc28397"/>
      <w:bookmarkStart w:id="261" w:name="_Toc3822"/>
      <w:r>
        <w:rPr>
          <w:rFonts w:hint="eastAsia"/>
        </w:rPr>
        <w:t>供应商具有独立承担民事责任的能力的证明材料</w:t>
      </w:r>
      <w:bookmarkEnd w:id="256"/>
      <w:bookmarkEnd w:id="257"/>
      <w:bookmarkEnd w:id="258"/>
      <w:bookmarkEnd w:id="259"/>
    </w:p>
    <w:bookmarkEnd w:id="260"/>
    <w:p>
      <w:pPr>
        <w:pStyle w:val="46"/>
      </w:pPr>
      <w:r>
        <w:rPr>
          <w:rFonts w:hint="eastAsia"/>
        </w:rPr>
        <w:t>供应商：①若为</w:t>
      </w:r>
      <w:r>
        <w:rPr>
          <w:rFonts w:hint="eastAsia"/>
          <w:b/>
          <w:bCs/>
        </w:rPr>
        <w:t>企业法人</w:t>
      </w:r>
      <w:r>
        <w:rPr>
          <w:rFonts w:hint="eastAsia"/>
        </w:rPr>
        <w:t>：提供“营业执照”副本复印件；未换证的提供“营业执照副本、税务登记证副本、组织机构代码证副本”复印件；②若为</w:t>
      </w:r>
      <w:r>
        <w:rPr>
          <w:rFonts w:hint="eastAsia"/>
          <w:b/>
          <w:bCs/>
        </w:rPr>
        <w:t>事业法人</w:t>
      </w:r>
      <w:r>
        <w:rPr>
          <w:rFonts w:hint="eastAsia"/>
        </w:rPr>
        <w:t>：提供“统一社会信用代码法人登记证书”复印件；未换证的提交“事业法人登记证书、组织机构代码证”复印件；③若为</w:t>
      </w:r>
      <w:r>
        <w:rPr>
          <w:rFonts w:hint="eastAsia"/>
          <w:b/>
          <w:bCs/>
        </w:rPr>
        <w:t>其他组织</w:t>
      </w:r>
      <w:r>
        <w:rPr>
          <w:rFonts w:hint="eastAsia"/>
        </w:rPr>
        <w:t>：提供“对应主管部门颁发的准许执业证明文件或营业执照副本”复印件；④若为</w:t>
      </w:r>
      <w:r>
        <w:rPr>
          <w:rFonts w:hint="eastAsia"/>
          <w:b/>
          <w:bCs/>
        </w:rPr>
        <w:t>自然人</w:t>
      </w:r>
      <w:r>
        <w:rPr>
          <w:rFonts w:hint="eastAsia"/>
        </w:rPr>
        <w:t>：提供“身份证明材料”。</w:t>
      </w:r>
    </w:p>
    <w:p>
      <w:pPr>
        <w:pStyle w:val="47"/>
        <w:ind w:firstLine="482"/>
      </w:pPr>
      <w:r>
        <w:rPr>
          <w:rFonts w:hint="eastAsia"/>
        </w:rPr>
        <w:t>注：1.以上证明材料应满足此条要求①发证机关有年检要求的，应按规定通过年检；②在有效期内；③复印件加盖供应商公章；</w:t>
      </w:r>
    </w:p>
    <w:p>
      <w:pPr>
        <w:pStyle w:val="47"/>
        <w:ind w:firstLine="482"/>
      </w:pPr>
      <w:r>
        <w:rPr>
          <w:rFonts w:hint="eastAsia"/>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7"/>
        <w:ind w:firstLine="482"/>
      </w:pPr>
      <w:r>
        <w:rPr>
          <w:rFonts w:hint="eastAsia"/>
        </w:rPr>
        <w:t>3.</w:t>
      </w:r>
      <w:r>
        <w:t>根据国务院办公厅关于加快推进“多证合一”改革的指导意见</w:t>
      </w:r>
      <w:r>
        <w:rPr>
          <w:rFonts w:hint="eastAsia"/>
        </w:rPr>
        <w:t>(</w:t>
      </w:r>
      <w:r>
        <w:t>国办发</w:t>
      </w:r>
      <w:r>
        <w:rPr>
          <w:rFonts w:hint="eastAsia"/>
        </w:rPr>
        <w:t>〔</w:t>
      </w:r>
      <w:r>
        <w:t>2017</w:t>
      </w:r>
      <w:r>
        <w:rPr>
          <w:rFonts w:hint="eastAsia"/>
        </w:rPr>
        <w:t>〕</w:t>
      </w:r>
      <w:r>
        <w:t>41号</w:t>
      </w:r>
      <w:r>
        <w:rPr>
          <w:rFonts w:hint="eastAsia"/>
        </w:rPr>
        <w:t>)</w:t>
      </w:r>
      <w:r>
        <w:t>等政策要求，若资格要求涉及的登记、备案等有关事项和各类证照已实行多证合一</w:t>
      </w:r>
      <w:r>
        <w:rPr>
          <w:rFonts w:hint="eastAsia"/>
        </w:rPr>
        <w:t>的，提供多证合一证照副本复印件</w:t>
      </w:r>
      <w:r>
        <w:t>。</w:t>
      </w:r>
      <w:bookmarkEnd w:id="261"/>
    </w:p>
    <w:p>
      <w:pPr>
        <w:pStyle w:val="43"/>
      </w:pPr>
    </w:p>
    <w:p>
      <w:pPr>
        <w:pStyle w:val="44"/>
        <w:numPr>
          <w:ilvl w:val="0"/>
          <w:numId w:val="19"/>
        </w:numPr>
        <w:spacing w:before="120" w:after="120"/>
        <w:ind w:firstLine="0"/>
      </w:pPr>
      <w:bookmarkStart w:id="262" w:name="_Toc20540"/>
      <w:bookmarkStart w:id="263" w:name="_Toc29937"/>
      <w:bookmarkStart w:id="264" w:name="_Toc20143"/>
      <w:bookmarkStart w:id="265" w:name="_Toc28024"/>
      <w:bookmarkStart w:id="266" w:name="_Toc14566"/>
      <w:r>
        <w:rPr>
          <w:rFonts w:hint="eastAsia"/>
        </w:rPr>
        <w:t>供应商具有良好的商业信誉和健全的财务会计制度的证明材料</w:t>
      </w:r>
      <w:bookmarkEnd w:id="262"/>
      <w:bookmarkEnd w:id="263"/>
      <w:bookmarkEnd w:id="264"/>
      <w:bookmarkEnd w:id="265"/>
    </w:p>
    <w:bookmarkEnd w:id="266"/>
    <w:p>
      <w:pPr>
        <w:pStyle w:val="46"/>
      </w:pPr>
      <w:r>
        <w:rPr>
          <w:rFonts w:hint="eastAsia"/>
        </w:rPr>
        <w:t>1.供应商具有良好商业信誉的证明材料；</w:t>
      </w:r>
    </w:p>
    <w:p>
      <w:pPr>
        <w:pStyle w:val="46"/>
      </w:pPr>
      <w:r>
        <w:rPr>
          <w:rFonts w:hint="eastAsia"/>
        </w:rPr>
        <w:t>提供具有良好的商业信誉的承诺函。</w:t>
      </w:r>
    </w:p>
    <w:p>
      <w:pPr>
        <w:pStyle w:val="46"/>
        <w:ind w:firstLine="482"/>
        <w:rPr>
          <w:b/>
          <w:bCs/>
        </w:rPr>
      </w:pPr>
      <w:r>
        <w:rPr>
          <w:rFonts w:hint="eastAsia"/>
          <w:b/>
          <w:bCs/>
        </w:rPr>
        <w:t>注：</w:t>
      </w:r>
      <w:r>
        <w:rPr>
          <w:rFonts w:hint="eastAsia" w:cs="宋体" w:asciiTheme="minorEastAsia" w:hAnsiTheme="minorEastAsia" w:eastAsiaTheme="minorEastAsia"/>
          <w:b/>
          <w:bCs/>
        </w:rPr>
        <w:t>承诺函</w:t>
      </w:r>
      <w:r>
        <w:rPr>
          <w:rFonts w:hint="eastAsia"/>
          <w:b/>
        </w:rPr>
        <w:t>格式自拟，或参照《承诺及声明函》的格式提供</w:t>
      </w:r>
      <w:r>
        <w:rPr>
          <w:rFonts w:hint="eastAsia"/>
          <w:b/>
          <w:bCs/>
        </w:rPr>
        <w:t>。</w:t>
      </w:r>
    </w:p>
    <w:p>
      <w:pPr>
        <w:pStyle w:val="46"/>
      </w:pPr>
      <w:r>
        <w:rPr>
          <w:rFonts w:hint="eastAsia"/>
        </w:rPr>
        <w:t>2.供应商具有健全的财务会计制度的证明材料；</w:t>
      </w:r>
    </w:p>
    <w:p>
      <w:pPr>
        <w:pStyle w:val="46"/>
      </w:pPr>
      <w:r>
        <w:rPr>
          <w:rFonts w:hint="eastAsia"/>
        </w:rPr>
        <w:t>(1)供应商提供2022年度经过会计师事务所审计的财务报告复印件(经审计的有效财务报告应包括报告及报告中所附的完整内容，并由注册会计师签名、盖章以及会计师事务所盖章)；</w:t>
      </w:r>
    </w:p>
    <w:p>
      <w:pPr>
        <w:pStyle w:val="46"/>
      </w:pPr>
      <w:r>
        <w:rPr>
          <w:rFonts w:hint="eastAsia"/>
        </w:rPr>
        <w:t>(2)供应商提供2022年度供应商内部的财务报表复印件(至少包含资产负债表)；</w:t>
      </w:r>
    </w:p>
    <w:p>
      <w:pPr>
        <w:pStyle w:val="46"/>
      </w:pPr>
      <w:r>
        <w:rPr>
          <w:rFonts w:hint="eastAsia"/>
        </w:rPr>
        <w:t>(3)供应商提供响应文件递交截止日前一年内银行为其出具的资信证明复印件；</w:t>
      </w:r>
    </w:p>
    <w:p>
      <w:pPr>
        <w:pStyle w:val="46"/>
      </w:pPr>
      <w:r>
        <w:rPr>
          <w:rFonts w:hint="eastAsia"/>
        </w:rPr>
        <w:t>(4)供应商注册时间截至响应文件递交截止日不足一年的，可提供公司章程复印件；</w:t>
      </w:r>
    </w:p>
    <w:p>
      <w:pPr>
        <w:pStyle w:val="46"/>
      </w:pPr>
      <w:r>
        <w:rPr>
          <w:rFonts w:hint="eastAsia"/>
        </w:rPr>
        <w:t>(5)供应商提供具有健全的财务会计制度的承诺函。</w:t>
      </w:r>
    </w:p>
    <w:p>
      <w:pPr>
        <w:pStyle w:val="47"/>
        <w:ind w:firstLine="482"/>
      </w:pPr>
      <w:r>
        <w:rPr>
          <w:rFonts w:hint="eastAsia"/>
          <w:bCs/>
        </w:rPr>
        <w:t>注：①具有健全的财务会计制度的证明材料中第(1)-(5)项具有同等的磋商效力，供应商可根据自身实际情况选择提供其中任意一项。②</w:t>
      </w:r>
      <w:r>
        <w:rPr>
          <w:rFonts w:hint="eastAsia" w:cs="宋体" w:asciiTheme="minorEastAsia" w:hAnsiTheme="minorEastAsia" w:eastAsiaTheme="minorEastAsia"/>
          <w:bCs/>
        </w:rPr>
        <w:t>承诺函</w:t>
      </w:r>
      <w:r>
        <w:rPr>
          <w:rFonts w:hint="eastAsia"/>
        </w:rPr>
        <w:t>格式自拟，或参照《承诺及声明函》的格式提供。</w:t>
      </w:r>
    </w:p>
    <w:p>
      <w:pPr>
        <w:pStyle w:val="47"/>
        <w:ind w:firstLine="482"/>
      </w:pPr>
    </w:p>
    <w:p>
      <w:pPr>
        <w:pStyle w:val="44"/>
        <w:numPr>
          <w:ilvl w:val="0"/>
          <w:numId w:val="19"/>
        </w:numPr>
        <w:spacing w:before="120" w:after="120"/>
        <w:ind w:firstLine="0"/>
      </w:pPr>
      <w:bookmarkStart w:id="267" w:name="_Toc19866"/>
      <w:bookmarkStart w:id="268" w:name="_Toc16777"/>
      <w:bookmarkStart w:id="269" w:name="_Toc19126"/>
      <w:bookmarkStart w:id="270" w:name="_Toc17744"/>
      <w:bookmarkStart w:id="271" w:name="_Toc5443"/>
      <w:r>
        <w:rPr>
          <w:rFonts w:hint="eastAsia"/>
        </w:rPr>
        <w:t>供应商有依法缴纳税收和社会保障资金的良好记录的证明材料</w:t>
      </w:r>
      <w:bookmarkEnd w:id="267"/>
      <w:bookmarkEnd w:id="268"/>
      <w:bookmarkEnd w:id="269"/>
      <w:bookmarkEnd w:id="270"/>
    </w:p>
    <w:bookmarkEnd w:id="271"/>
    <w:p>
      <w:pPr>
        <w:pStyle w:val="46"/>
      </w:pPr>
      <w:r>
        <w:rPr>
          <w:rFonts w:hint="eastAsia"/>
        </w:rPr>
        <w:t>提供有</w:t>
      </w:r>
      <w:r>
        <w:rPr>
          <w:rFonts w:hint="eastAsia"/>
          <w:lang w:val="zh-CN"/>
        </w:rPr>
        <w:t>依法缴纳税收和社会保障资金的良好记录</w:t>
      </w:r>
      <w:r>
        <w:rPr>
          <w:rFonts w:hint="eastAsia"/>
        </w:rPr>
        <w:t>的承诺函。</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3"/>
      </w:pPr>
      <w:r>
        <w:rPr>
          <w:rFonts w:hint="eastAsia"/>
        </w:rPr>
        <w:br w:type="page"/>
      </w:r>
    </w:p>
    <w:p>
      <w:pPr>
        <w:pStyle w:val="44"/>
        <w:numPr>
          <w:ilvl w:val="0"/>
          <w:numId w:val="19"/>
        </w:numPr>
        <w:spacing w:before="120" w:after="120"/>
        <w:ind w:firstLine="0"/>
      </w:pPr>
      <w:bookmarkStart w:id="272" w:name="_Toc15870"/>
      <w:bookmarkStart w:id="273" w:name="_Toc2441"/>
      <w:bookmarkStart w:id="274" w:name="_Toc6093"/>
      <w:bookmarkStart w:id="275" w:name="_Toc16336"/>
      <w:r>
        <w:rPr>
          <w:rFonts w:hint="eastAsia"/>
        </w:rPr>
        <w:t>供应商具有履行合同所必需的设备和专业技术能力证明材料</w:t>
      </w:r>
      <w:bookmarkEnd w:id="272"/>
      <w:bookmarkEnd w:id="273"/>
      <w:bookmarkEnd w:id="274"/>
      <w:bookmarkEnd w:id="275"/>
    </w:p>
    <w:p>
      <w:pPr>
        <w:pStyle w:val="46"/>
      </w:pPr>
      <w:r>
        <w:rPr>
          <w:rFonts w:hint="eastAsia"/>
        </w:rPr>
        <w:t>提供具有履行合同所必需的设备和专业技术能力的承诺函。</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3"/>
      </w:pPr>
      <w:r>
        <w:rPr>
          <w:rFonts w:hint="eastAsia"/>
        </w:rPr>
        <w:br w:type="page"/>
      </w:r>
    </w:p>
    <w:p>
      <w:pPr>
        <w:pStyle w:val="44"/>
        <w:numPr>
          <w:ilvl w:val="0"/>
          <w:numId w:val="19"/>
        </w:numPr>
        <w:spacing w:before="120" w:after="120"/>
        <w:ind w:firstLine="0"/>
      </w:pPr>
      <w:bookmarkStart w:id="276" w:name="_Toc21379"/>
      <w:bookmarkStart w:id="277" w:name="_Toc8813"/>
      <w:bookmarkStart w:id="278" w:name="_Toc28866"/>
      <w:r>
        <w:rPr>
          <w:rFonts w:hint="eastAsia"/>
        </w:rPr>
        <w:t>供应商参加采购活动前三年内，在经营活动中没有重大违法记录的证明材料</w:t>
      </w:r>
      <w:bookmarkEnd w:id="276"/>
      <w:bookmarkEnd w:id="277"/>
      <w:bookmarkEnd w:id="278"/>
    </w:p>
    <w:p>
      <w:pPr>
        <w:pStyle w:val="46"/>
      </w:pPr>
      <w:bookmarkStart w:id="279" w:name="_Toc9591"/>
      <w:bookmarkStart w:id="280" w:name="_Toc14299"/>
      <w:r>
        <w:rPr>
          <w:rFonts w:hint="eastAsia"/>
        </w:rPr>
        <w:t>提供参加本次采购活动前三年内，在经营活动中没有重大违法记录的书面声明(成立不足三年的，从成立之日起计算)。</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4"/>
        <w:numPr>
          <w:ilvl w:val="0"/>
          <w:numId w:val="19"/>
        </w:numPr>
        <w:spacing w:before="120" w:after="120"/>
        <w:ind w:firstLine="0"/>
        <w:rPr>
          <w:lang w:val="zh-CN"/>
        </w:rPr>
      </w:pPr>
      <w:bookmarkStart w:id="281" w:name="_Toc17558"/>
      <w:bookmarkStart w:id="282" w:name="_Toc3840"/>
      <w:bookmarkStart w:id="283" w:name="_Toc19602"/>
      <w:bookmarkStart w:id="284" w:name="_Toc1181"/>
      <w:r>
        <w:rPr>
          <w:rFonts w:hint="eastAsia"/>
          <w:w w:val="95"/>
        </w:rPr>
        <w:t>供应商单位</w:t>
      </w:r>
      <w:r>
        <w:rPr>
          <w:rFonts w:hint="eastAsia"/>
          <w:w w:val="95"/>
          <w:lang w:val="zh-CN"/>
        </w:rPr>
        <w:t>及其现任法定代表人、主要负责人不得具有行贿犯罪记录</w:t>
      </w:r>
      <w:r>
        <w:rPr>
          <w:rFonts w:hint="eastAsia"/>
          <w:w w:val="95"/>
        </w:rPr>
        <w:t>的</w:t>
      </w:r>
      <w:bookmarkEnd w:id="281"/>
      <w:bookmarkEnd w:id="282"/>
      <w:r>
        <w:rPr>
          <w:rFonts w:hint="eastAsia"/>
          <w:w w:val="95"/>
        </w:rPr>
        <w:t>承诺函</w:t>
      </w:r>
      <w:bookmarkEnd w:id="283"/>
      <w:bookmarkEnd w:id="284"/>
    </w:p>
    <w:bookmarkEnd w:id="279"/>
    <w:bookmarkEnd w:id="280"/>
    <w:p>
      <w:pPr>
        <w:pStyle w:val="43"/>
        <w:rPr>
          <w:rFonts w:cs="宋体"/>
        </w:rPr>
      </w:pPr>
      <w:bookmarkStart w:id="285" w:name="_Toc8455"/>
      <w:r>
        <w:rPr>
          <w:rFonts w:hint="eastAsia" w:cs="宋体"/>
          <w:u w:val="single"/>
        </w:rPr>
        <w:t xml:space="preserve">                   </w:t>
      </w:r>
      <w:r>
        <w:rPr>
          <w:rFonts w:hint="eastAsia" w:cs="宋体"/>
        </w:rPr>
        <w:t>(采购代理机构名称)：</w:t>
      </w:r>
    </w:p>
    <w:p>
      <w:pPr>
        <w:pStyle w:val="43"/>
        <w:ind w:firstLine="480" w:firstLineChars="200"/>
        <w:rPr>
          <w:rFonts w:cs="宋体"/>
        </w:rPr>
      </w:pPr>
      <w:r>
        <w:rPr>
          <w:rFonts w:hint="eastAsia" w:cs="宋体"/>
        </w:rPr>
        <w:t>我单位作为本次采购项目的供应商，根据磋商文件要求，现郑重承诺如下：</w:t>
      </w:r>
    </w:p>
    <w:p>
      <w:pPr>
        <w:pStyle w:val="46"/>
        <w:rPr>
          <w:rFonts w:cs="宋体"/>
        </w:rPr>
      </w:pPr>
      <w:r>
        <w:rPr>
          <w:rFonts w:hint="eastAsia" w:cs="宋体"/>
          <w:u w:val="single"/>
        </w:rPr>
        <w:t xml:space="preserve">        </w:t>
      </w:r>
      <w:r>
        <w:rPr>
          <w:rFonts w:hint="eastAsia" w:cs="宋体"/>
        </w:rPr>
        <w:t>(供应商名称)及其现任法定代表人</w:t>
      </w:r>
      <w:r>
        <w:rPr>
          <w:rFonts w:hint="eastAsia" w:cs="宋体"/>
          <w:u w:val="single"/>
        </w:rPr>
        <w:t xml:space="preserve">      </w:t>
      </w:r>
      <w:r>
        <w:rPr>
          <w:rFonts w:hint="eastAsia" w:cs="宋体"/>
        </w:rPr>
        <w:t>(姓名)、</w:t>
      </w:r>
      <w:r>
        <w:rPr>
          <w:rFonts w:hint="eastAsia" w:cs="宋体"/>
          <w:u w:val="single"/>
        </w:rPr>
        <w:t xml:space="preserve">     </w:t>
      </w:r>
      <w:r>
        <w:rPr>
          <w:rFonts w:hint="eastAsia" w:cs="宋体"/>
        </w:rPr>
        <w:t>(身份证号码)，主要负责人</w:t>
      </w:r>
      <w:r>
        <w:rPr>
          <w:rFonts w:hint="eastAsia" w:cs="宋体"/>
          <w:u w:val="single"/>
        </w:rPr>
        <w:t xml:space="preserve">       </w:t>
      </w:r>
      <w:r>
        <w:rPr>
          <w:rFonts w:hint="eastAsia" w:cs="宋体"/>
        </w:rPr>
        <w:t>(姓名)、</w:t>
      </w:r>
      <w:r>
        <w:rPr>
          <w:rFonts w:hint="eastAsia" w:cs="宋体"/>
          <w:u w:val="single"/>
        </w:rPr>
        <w:t xml:space="preserve">     </w:t>
      </w:r>
      <w:r>
        <w:rPr>
          <w:rFonts w:hint="eastAsia" w:cs="宋体"/>
        </w:rPr>
        <w:t>(身份证号码)，</w:t>
      </w:r>
      <w:r>
        <w:rPr>
          <w:rFonts w:hint="eastAsia" w:cs="宋体"/>
          <w:u w:val="single"/>
        </w:rPr>
        <w:t xml:space="preserve">    </w:t>
      </w:r>
      <w:r>
        <w:rPr>
          <w:rFonts w:hint="eastAsia" w:cs="宋体"/>
        </w:rPr>
        <w:t>(无行贿犯罪记录的期限)均无行贿犯罪记录。</w:t>
      </w:r>
    </w:p>
    <w:p>
      <w:pPr>
        <w:pStyle w:val="46"/>
        <w:rPr>
          <w:rFonts w:cs="宋体"/>
        </w:rPr>
      </w:pPr>
      <w:r>
        <w:rPr>
          <w:rFonts w:hint="eastAsia" w:cs="宋体"/>
        </w:rPr>
        <w:t>本单位对上述承诺的内容事项真实性、合法性负责。如经查实上述承诺的内容事项存在虚假，我单位自愿接受以提供虚假材料谋取成交所带来的所有法律责任。</w:t>
      </w:r>
    </w:p>
    <w:p>
      <w:pPr>
        <w:pStyle w:val="43"/>
        <w:rPr>
          <w:rFonts w:cs="宋体"/>
        </w:rPr>
      </w:pPr>
    </w:p>
    <w:p>
      <w:pPr>
        <w:pStyle w:val="43"/>
        <w:rPr>
          <w:rFonts w:cs="宋体"/>
        </w:rPr>
      </w:pPr>
    </w:p>
    <w:p>
      <w:pPr>
        <w:pStyle w:val="46"/>
        <w:rPr>
          <w:rFonts w:cs="宋体"/>
        </w:rPr>
      </w:pPr>
      <w:r>
        <w:rPr>
          <w:rFonts w:hint="eastAsia" w:cs="宋体"/>
        </w:rPr>
        <w:t>供应商名称：</w:t>
      </w:r>
      <w:r>
        <w:rPr>
          <w:rFonts w:hint="eastAsia" w:cs="宋体"/>
          <w:u w:val="single"/>
        </w:rPr>
        <w:t xml:space="preserve">             </w:t>
      </w:r>
      <w:r>
        <w:rPr>
          <w:rFonts w:hint="eastAsia" w:cs="宋体"/>
        </w:rPr>
        <w:t>(盖章)</w:t>
      </w:r>
    </w:p>
    <w:p>
      <w:pPr>
        <w:pStyle w:val="46"/>
        <w:rPr>
          <w:rFonts w:cs="宋体"/>
        </w:rPr>
      </w:pPr>
      <w:r>
        <w:rPr>
          <w:rFonts w:hint="eastAsia" w:cs="宋体"/>
        </w:rPr>
        <w:t>法定代表人/单位负责人或授权代表：</w:t>
      </w:r>
      <w:r>
        <w:rPr>
          <w:rFonts w:hint="eastAsia" w:cs="宋体"/>
          <w:u w:val="single"/>
        </w:rPr>
        <w:t xml:space="preserve">            </w:t>
      </w:r>
      <w:r>
        <w:rPr>
          <w:rFonts w:hint="eastAsia" w:cs="宋体"/>
        </w:rPr>
        <w:t>(签字或盖章)</w:t>
      </w:r>
    </w:p>
    <w:p>
      <w:pPr>
        <w:pStyle w:val="46"/>
        <w:rPr>
          <w:rFonts w:cs="宋体"/>
        </w:rPr>
      </w:pPr>
      <w:r>
        <w:rPr>
          <w:rFonts w:hint="eastAsia" w:cs="宋体"/>
        </w:rPr>
        <w:t>磋商日期：</w:t>
      </w:r>
      <w:r>
        <w:rPr>
          <w:rFonts w:hint="eastAsia" w:cs="宋体"/>
          <w:u w:val="single"/>
        </w:rPr>
        <w:t xml:space="preserve">                </w:t>
      </w:r>
      <w:r>
        <w:rPr>
          <w:rFonts w:hint="eastAsia" w:cs="宋体"/>
        </w:rPr>
        <w:t xml:space="preserve">  </w:t>
      </w:r>
    </w:p>
    <w:p>
      <w:pPr>
        <w:pStyle w:val="63"/>
        <w:numPr>
          <w:ilvl w:val="3"/>
          <w:numId w:val="0"/>
        </w:numPr>
        <w:ind w:firstLine="482" w:firstLineChars="200"/>
        <w:jc w:val="both"/>
        <w:rPr>
          <w:b/>
          <w:bCs/>
        </w:rPr>
      </w:pPr>
    </w:p>
    <w:p>
      <w:pPr>
        <w:pStyle w:val="63"/>
        <w:numPr>
          <w:ilvl w:val="3"/>
          <w:numId w:val="0"/>
        </w:numPr>
        <w:ind w:firstLine="482" w:firstLineChars="200"/>
        <w:rPr>
          <w:b/>
          <w:bCs/>
        </w:rPr>
      </w:pPr>
      <w:r>
        <w:rPr>
          <w:rFonts w:hint="eastAsia"/>
          <w:b/>
          <w:bCs/>
        </w:rPr>
        <w:t>注：供应商成立时间超过十年的，在“</w:t>
      </w:r>
      <w:r>
        <w:rPr>
          <w:rFonts w:hint="eastAsia" w:cs="宋体"/>
          <w:b/>
          <w:bCs/>
        </w:rPr>
        <w:t>无行贿犯罪记录的期限</w:t>
      </w:r>
      <w:r>
        <w:rPr>
          <w:rFonts w:hint="eastAsia"/>
          <w:b/>
          <w:bCs/>
        </w:rPr>
        <w:t>”</w:t>
      </w:r>
      <w:r>
        <w:rPr>
          <w:rFonts w:hint="eastAsia" w:cs="宋体"/>
          <w:b/>
          <w:bCs/>
        </w:rPr>
        <w:t>处填写“十年内”；</w:t>
      </w:r>
      <w:r>
        <w:rPr>
          <w:rFonts w:hint="eastAsia"/>
          <w:b/>
          <w:bCs/>
        </w:rPr>
        <w:t>供应商</w:t>
      </w:r>
      <w:r>
        <w:rPr>
          <w:rFonts w:hint="eastAsia" w:cs="宋体"/>
          <w:b/>
          <w:bCs/>
        </w:rPr>
        <w:t>成立时间不足十年的，</w:t>
      </w:r>
      <w:r>
        <w:rPr>
          <w:rFonts w:hint="eastAsia"/>
          <w:b/>
          <w:bCs/>
        </w:rPr>
        <w:t>在“</w:t>
      </w:r>
      <w:r>
        <w:rPr>
          <w:rFonts w:hint="eastAsia" w:cs="宋体"/>
          <w:b/>
          <w:bCs/>
        </w:rPr>
        <w:t>无行贿犯罪记录的期限</w:t>
      </w:r>
      <w:r>
        <w:rPr>
          <w:rFonts w:hint="eastAsia"/>
          <w:b/>
          <w:bCs/>
        </w:rPr>
        <w:t>”</w:t>
      </w:r>
      <w:r>
        <w:rPr>
          <w:rFonts w:hint="eastAsia" w:cs="宋体"/>
          <w:b/>
          <w:bCs/>
        </w:rPr>
        <w:t>处填写“自我单位成立之日起至今”</w:t>
      </w:r>
      <w:r>
        <w:rPr>
          <w:rFonts w:hint="eastAsia"/>
          <w:b/>
          <w:bCs/>
        </w:rPr>
        <w:t>。</w:t>
      </w:r>
    </w:p>
    <w:p>
      <w:pPr>
        <w:pStyle w:val="43"/>
        <w:rPr>
          <w:lang w:val="zh-CN"/>
        </w:rPr>
      </w:pPr>
    </w:p>
    <w:p>
      <w:pPr>
        <w:pStyle w:val="43"/>
      </w:pPr>
      <w:r>
        <w:rPr>
          <w:rFonts w:hint="eastAsia"/>
        </w:rPr>
        <w:br w:type="page"/>
      </w:r>
      <w:bookmarkEnd w:id="285"/>
      <w:bookmarkStart w:id="286" w:name="_Toc2151"/>
    </w:p>
    <w:bookmarkEnd w:id="286"/>
    <w:p>
      <w:pPr>
        <w:pStyle w:val="44"/>
        <w:numPr>
          <w:ilvl w:val="0"/>
          <w:numId w:val="19"/>
        </w:numPr>
        <w:spacing w:before="120" w:after="120"/>
        <w:ind w:firstLine="0"/>
      </w:pPr>
      <w:bookmarkStart w:id="287" w:name="_Toc15054"/>
      <w:bookmarkStart w:id="288" w:name="_Toc20743"/>
      <w:bookmarkStart w:id="289" w:name="_Toc5861"/>
      <w:bookmarkStart w:id="290" w:name="_Toc4865"/>
      <w:bookmarkStart w:id="291" w:name="_Toc19166"/>
      <w:r>
        <w:rPr>
          <w:rFonts w:hint="eastAsia"/>
        </w:rPr>
        <w:t>根据采购项目的特殊要求，规定供应商提供的特定条件</w:t>
      </w:r>
      <w:bookmarkEnd w:id="287"/>
      <w:r>
        <w:rPr>
          <w:rFonts w:hint="eastAsia"/>
        </w:rPr>
        <w:t>的证明材料</w:t>
      </w:r>
      <w:bookmarkEnd w:id="288"/>
      <w:bookmarkEnd w:id="289"/>
      <w:bookmarkEnd w:id="290"/>
      <w:bookmarkEnd w:id="291"/>
    </w:p>
    <w:p>
      <w:pPr>
        <w:pStyle w:val="46"/>
      </w:pPr>
      <w:r>
        <w:rPr>
          <w:rFonts w:hint="eastAsia"/>
        </w:rPr>
        <w:t>提供未与其他供应商组成联合体参与本次采购活动的承诺函。</w:t>
      </w:r>
    </w:p>
    <w:p>
      <w:pPr>
        <w:pStyle w:val="46"/>
        <w:ind w:firstLine="482"/>
        <w:rPr>
          <w:b/>
          <w:bCs/>
        </w:rPr>
      </w:pPr>
      <w:r>
        <w:rPr>
          <w:rFonts w:hint="eastAsia" w:cs="宋体" w:asciiTheme="minorEastAsia" w:hAnsiTheme="minorEastAsia" w:eastAsiaTheme="minorEastAsia"/>
          <w:b/>
          <w:bCs/>
        </w:rPr>
        <w:t>注：承诺函</w:t>
      </w:r>
      <w:r>
        <w:rPr>
          <w:rFonts w:hint="eastAsia"/>
          <w:b/>
        </w:rPr>
        <w:t>格式自拟，或参照《承诺及声明函》的格式提供</w:t>
      </w:r>
      <w:r>
        <w:rPr>
          <w:rFonts w:hint="eastAsia" w:cs="宋体" w:asciiTheme="minorEastAsia" w:hAnsiTheme="minorEastAsia" w:eastAsiaTheme="minorEastAsia"/>
          <w:b/>
          <w:bCs/>
        </w:rPr>
        <w:t>。</w:t>
      </w:r>
    </w:p>
    <w:p>
      <w:pPr>
        <w:pStyle w:val="46"/>
      </w:pPr>
    </w:p>
    <w:p>
      <w:pPr>
        <w:pStyle w:val="44"/>
        <w:numPr>
          <w:ilvl w:val="0"/>
          <w:numId w:val="19"/>
        </w:numPr>
        <w:spacing w:before="120" w:after="120"/>
        <w:ind w:firstLine="0"/>
        <w:rPr>
          <w:w w:val="95"/>
        </w:rPr>
        <w:sectPr>
          <w:headerReference r:id="rId11" w:type="first"/>
          <w:footerReference r:id="rId13" w:type="first"/>
          <w:headerReference r:id="rId10" w:type="default"/>
          <w:footerReference r:id="rId12" w:type="default"/>
          <w:pgSz w:w="11906" w:h="16838"/>
          <w:pgMar w:top="1440" w:right="1080" w:bottom="1440" w:left="1080" w:header="851" w:footer="992" w:gutter="0"/>
          <w:pgNumType w:fmt="decimal" w:start="1"/>
          <w:cols w:space="0" w:num="1"/>
          <w:titlePg/>
          <w:docGrid w:linePitch="312" w:charSpace="0"/>
        </w:sectPr>
      </w:pPr>
      <w:bookmarkStart w:id="292" w:name="_Toc21855"/>
      <w:bookmarkStart w:id="293" w:name="_Toc22568"/>
      <w:bookmarkStart w:id="294" w:name="_Toc15708"/>
    </w:p>
    <w:p>
      <w:pPr>
        <w:pStyle w:val="44"/>
        <w:numPr>
          <w:ilvl w:val="0"/>
          <w:numId w:val="19"/>
        </w:numPr>
        <w:spacing w:before="120" w:after="120"/>
        <w:ind w:firstLine="0"/>
        <w:rPr>
          <w:rFonts w:cs="宋体"/>
          <w:kern w:val="0"/>
          <w:szCs w:val="20"/>
        </w:rPr>
      </w:pPr>
      <w:bookmarkStart w:id="295" w:name="_Toc30324"/>
      <w:bookmarkStart w:id="296" w:name="_Toc29189"/>
      <w:bookmarkStart w:id="297" w:name="_Toc32118"/>
      <w:bookmarkStart w:id="298" w:name="_Toc30356"/>
      <w:bookmarkStart w:id="299" w:name="_Toc68"/>
      <w:bookmarkStart w:id="300" w:name="_Toc20162"/>
      <w:bookmarkStart w:id="301" w:name="_Toc9728"/>
      <w:bookmarkStart w:id="302" w:name="_Toc9275"/>
      <w:bookmarkStart w:id="303" w:name="_Toc9970"/>
      <w:bookmarkStart w:id="304" w:name="_Toc9851"/>
      <w:bookmarkStart w:id="305" w:name="_Toc26008"/>
      <w:bookmarkStart w:id="306" w:name="_Toc23401"/>
      <w:r>
        <w:rPr>
          <w:rFonts w:hint="eastAsia" w:cs="宋体"/>
          <w:kern w:val="0"/>
          <w:szCs w:val="20"/>
        </w:rPr>
        <w:t>提供有效的磋商保证金提交凭证</w:t>
      </w:r>
      <w:bookmarkEnd w:id="295"/>
      <w:bookmarkEnd w:id="296"/>
      <w:bookmarkEnd w:id="297"/>
      <w:bookmarkEnd w:id="298"/>
      <w:bookmarkEnd w:id="299"/>
      <w:bookmarkEnd w:id="300"/>
      <w:bookmarkEnd w:id="301"/>
      <w:bookmarkEnd w:id="302"/>
      <w:bookmarkEnd w:id="303"/>
      <w:bookmarkEnd w:id="304"/>
      <w:bookmarkEnd w:id="305"/>
      <w:bookmarkEnd w:id="306"/>
    </w:p>
    <w:p>
      <w:pPr>
        <w:tabs>
          <w:tab w:val="left" w:pos="3674"/>
        </w:tabs>
        <w:ind w:firstLine="480" w:firstLineChars="200"/>
        <w:rPr>
          <w:rFonts w:cs="宋体"/>
          <w:b/>
          <w:w w:val="95"/>
          <w:kern w:val="0"/>
          <w:sz w:val="28"/>
          <w:szCs w:val="20"/>
        </w:rPr>
      </w:pPr>
      <w:r>
        <w:rPr>
          <w:rFonts w:hint="eastAsia"/>
        </w:rPr>
        <w:t>提交磋商保证金的银行回单复印件(若以保函方式提交磋商保证金的，提供保函原件)。</w:t>
      </w:r>
    </w:p>
    <w:p>
      <w:pPr>
        <w:pStyle w:val="44"/>
        <w:numPr>
          <w:ilvl w:val="0"/>
          <w:numId w:val="19"/>
        </w:numPr>
        <w:spacing w:before="120" w:after="120"/>
        <w:ind w:firstLine="0"/>
        <w:rPr>
          <w:w w:val="95"/>
        </w:rPr>
        <w:sectPr>
          <w:pgSz w:w="11906" w:h="16838"/>
          <w:pgMar w:top="1440" w:right="1080" w:bottom="1440" w:left="1080" w:header="851" w:footer="992" w:gutter="0"/>
          <w:pgNumType w:fmt="decimal"/>
          <w:cols w:space="0" w:num="1"/>
          <w:titlePg/>
          <w:docGrid w:linePitch="312" w:charSpace="0"/>
        </w:sectPr>
      </w:pPr>
    </w:p>
    <w:p>
      <w:pPr>
        <w:pStyle w:val="44"/>
        <w:numPr>
          <w:ilvl w:val="0"/>
          <w:numId w:val="19"/>
        </w:numPr>
        <w:spacing w:before="120" w:after="120"/>
        <w:ind w:firstLine="0"/>
        <w:rPr>
          <w:w w:val="95"/>
        </w:rPr>
      </w:pPr>
      <w:bookmarkStart w:id="307" w:name="_Toc31187"/>
      <w:r>
        <w:rPr>
          <w:rFonts w:hint="eastAsia"/>
          <w:w w:val="95"/>
        </w:rPr>
        <w:t>承诺及声明函</w:t>
      </w:r>
      <w:bookmarkEnd w:id="292"/>
      <w:bookmarkEnd w:id="293"/>
      <w:bookmarkEnd w:id="294"/>
      <w:bookmarkEnd w:id="307"/>
    </w:p>
    <w:p>
      <w:pPr>
        <w:pStyle w:val="43"/>
      </w:pPr>
      <w:r>
        <w:rPr>
          <w:rFonts w:hint="eastAsia"/>
          <w:u w:val="single"/>
        </w:rPr>
        <w:t xml:space="preserve">                   </w:t>
      </w:r>
      <w:r>
        <w:rPr>
          <w:rFonts w:hint="eastAsia"/>
        </w:rPr>
        <w:t>(采购代理机构名称)：</w:t>
      </w:r>
    </w:p>
    <w:p>
      <w:pPr>
        <w:pStyle w:val="43"/>
        <w:ind w:firstLine="480" w:firstLineChars="200"/>
      </w:pPr>
      <w:r>
        <w:rPr>
          <w:rFonts w:hint="eastAsia"/>
        </w:rPr>
        <w:t>我单位作为本次采购项目的供应商，根据磋商文件要求，现郑重承诺及声明如下：</w:t>
      </w:r>
    </w:p>
    <w:p>
      <w:pPr>
        <w:pStyle w:val="36"/>
        <w:numPr>
          <w:ilvl w:val="2"/>
          <w:numId w:val="20"/>
        </w:numPr>
        <w:ind w:firstLine="480"/>
      </w:pPr>
      <w:r>
        <w:rPr>
          <w:rFonts w:hint="eastAsia"/>
        </w:rPr>
        <w:t xml:space="preserve">具有良好的商业信誉和健全的财务会计制度； </w:t>
      </w:r>
    </w:p>
    <w:p>
      <w:pPr>
        <w:pStyle w:val="36"/>
        <w:numPr>
          <w:ilvl w:val="2"/>
          <w:numId w:val="20"/>
        </w:numPr>
        <w:ind w:firstLine="480"/>
      </w:pPr>
      <w:r>
        <w:rPr>
          <w:rFonts w:hint="eastAsia"/>
        </w:rPr>
        <w:t xml:space="preserve">具有履行合同所必需的设备和专业技术能力； </w:t>
      </w:r>
    </w:p>
    <w:p>
      <w:pPr>
        <w:pStyle w:val="36"/>
        <w:numPr>
          <w:ilvl w:val="2"/>
          <w:numId w:val="20"/>
        </w:numPr>
        <w:ind w:firstLine="480"/>
      </w:pPr>
      <w:r>
        <w:rPr>
          <w:rFonts w:hint="eastAsia"/>
        </w:rPr>
        <w:t xml:space="preserve">有依法缴纳税收和社会保障资金的良好记录； </w:t>
      </w:r>
    </w:p>
    <w:p>
      <w:pPr>
        <w:pStyle w:val="36"/>
        <w:numPr>
          <w:ilvl w:val="2"/>
          <w:numId w:val="20"/>
        </w:numPr>
        <w:ind w:firstLine="480"/>
      </w:pPr>
      <w:r>
        <w:rPr>
          <w:rFonts w:hint="eastAsia"/>
        </w:rPr>
        <w:t>参加本次采购活动前三年内，在经营活动中没有重大违法记录(供应商成立不足三年的，从成立之日起计算)；</w:t>
      </w:r>
    </w:p>
    <w:p>
      <w:pPr>
        <w:pStyle w:val="36"/>
        <w:numPr>
          <w:ilvl w:val="2"/>
          <w:numId w:val="20"/>
        </w:numPr>
        <w:ind w:firstLine="480"/>
      </w:pPr>
      <w:r>
        <w:rPr>
          <w:rFonts w:hint="eastAsia"/>
        </w:rPr>
        <w:t>符合法律、行政法规规定的其他条件；</w:t>
      </w:r>
    </w:p>
    <w:p>
      <w:pPr>
        <w:pStyle w:val="36"/>
        <w:numPr>
          <w:ilvl w:val="2"/>
          <w:numId w:val="20"/>
        </w:numPr>
        <w:ind w:firstLine="480"/>
      </w:pPr>
      <w:r>
        <w:rPr>
          <w:rFonts w:hint="eastAsia"/>
        </w:rPr>
        <w:t>未与其他供应商组成联合体参与本次采购活动。</w:t>
      </w:r>
    </w:p>
    <w:p>
      <w:pPr>
        <w:pStyle w:val="46"/>
      </w:pPr>
      <w:r>
        <w:rPr>
          <w:rFonts w:hint="eastAsia"/>
        </w:rPr>
        <w:t>本单位对上述承诺的内容事项真实性、合法性负责。如经查实上述承诺的内容事项存在虚假，我单位自愿接受以提供虚假材料谋取成交所带来的所有法律责任。</w:t>
      </w:r>
    </w:p>
    <w:p>
      <w:pPr>
        <w:pStyle w:val="43"/>
      </w:pPr>
    </w:p>
    <w:p>
      <w:pPr>
        <w:pStyle w:val="43"/>
      </w:pPr>
    </w:p>
    <w:p>
      <w:pPr>
        <w:pStyle w:val="46"/>
      </w:pPr>
      <w:r>
        <w:rPr>
          <w:rFonts w:hint="eastAsia"/>
        </w:rPr>
        <w:t>供应商名称：</w:t>
      </w:r>
      <w:r>
        <w:rPr>
          <w:rFonts w:hint="eastAsia"/>
          <w:u w:val="single"/>
        </w:rPr>
        <w:t xml:space="preserve">             </w:t>
      </w:r>
      <w:r>
        <w:rPr>
          <w:rFonts w:hint="eastAsia"/>
        </w:rPr>
        <w:t>(盖章)</w:t>
      </w:r>
    </w:p>
    <w:p>
      <w:pPr>
        <w:pStyle w:val="46"/>
      </w:pPr>
      <w:r>
        <w:rPr>
          <w:rFonts w:hint="eastAsia"/>
        </w:rPr>
        <w:t>法定代表人/单位负责人或授权代表：</w:t>
      </w:r>
      <w:r>
        <w:rPr>
          <w:rFonts w:hint="eastAsia"/>
          <w:u w:val="single"/>
        </w:rPr>
        <w:t xml:space="preserve">            </w:t>
      </w:r>
      <w:r>
        <w:rPr>
          <w:rFonts w:hint="eastAsia"/>
        </w:rPr>
        <w:t>(签字或盖章)</w:t>
      </w:r>
    </w:p>
    <w:p>
      <w:pPr>
        <w:pStyle w:val="46"/>
      </w:pPr>
      <w:r>
        <w:rPr>
          <w:rFonts w:hint="eastAsia"/>
        </w:rPr>
        <w:t>磋商日期：</w:t>
      </w:r>
      <w:r>
        <w:rPr>
          <w:rFonts w:hint="eastAsia"/>
          <w:u w:val="single"/>
        </w:rPr>
        <w:t xml:space="preserve">                </w:t>
      </w:r>
      <w:r>
        <w:rPr>
          <w:rFonts w:hint="eastAsia"/>
        </w:rPr>
        <w:t xml:space="preserve">  </w:t>
      </w:r>
    </w:p>
    <w:p>
      <w:pPr>
        <w:pStyle w:val="47"/>
        <w:ind w:firstLine="482"/>
      </w:pPr>
      <w:r>
        <w:rPr>
          <w:rFonts w:hint="eastAsia"/>
        </w:rPr>
        <w:t>注：本部分所要求的承诺函可参照本格式或自拟格式填写均有效。</w:t>
      </w:r>
    </w:p>
    <w:p>
      <w:r>
        <w:rPr>
          <w:rFonts w:hint="eastAsia"/>
        </w:rPr>
        <w:br w:type="page"/>
      </w:r>
    </w:p>
    <w:p>
      <w:pPr>
        <w:pStyle w:val="43"/>
      </w:pPr>
      <w:bookmarkStart w:id="308" w:name="_Toc18702"/>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bookmarkStart w:id="309" w:name="_Toc14607"/>
    </w:p>
    <w:p>
      <w:pPr>
        <w:pStyle w:val="43"/>
      </w:pPr>
    </w:p>
    <w:p>
      <w:pPr>
        <w:pStyle w:val="43"/>
      </w:pPr>
    </w:p>
    <w:p>
      <w:pPr>
        <w:pStyle w:val="43"/>
      </w:pPr>
    </w:p>
    <w:p>
      <w:pPr>
        <w:pStyle w:val="35"/>
        <w:numPr>
          <w:ilvl w:val="1"/>
          <w:numId w:val="0"/>
        </w:numPr>
        <w:jc w:val="center"/>
        <w:rPr>
          <w:sz w:val="32"/>
          <w:szCs w:val="32"/>
        </w:rPr>
      </w:pPr>
      <w:bookmarkStart w:id="310" w:name="_Toc14527"/>
      <w:bookmarkStart w:id="311" w:name="_Toc11485"/>
      <w:r>
        <w:rPr>
          <w:rFonts w:hint="eastAsia"/>
          <w:sz w:val="32"/>
          <w:szCs w:val="32"/>
        </w:rPr>
        <w:t>第二部分 其他响应文件(格式)</w:t>
      </w:r>
      <w:bookmarkEnd w:id="309"/>
      <w:bookmarkEnd w:id="310"/>
      <w:bookmarkEnd w:id="311"/>
    </w:p>
    <w:p>
      <w:pPr>
        <w:pStyle w:val="43"/>
      </w:pPr>
      <w:bookmarkStart w:id="312" w:name="_Toc26038"/>
      <w:r>
        <w:rPr>
          <w:rFonts w:hint="eastAsia"/>
        </w:rPr>
        <w:br w:type="page"/>
      </w:r>
    </w:p>
    <w:p>
      <w:pPr>
        <w:pStyle w:val="44"/>
        <w:numPr>
          <w:ilvl w:val="0"/>
          <w:numId w:val="21"/>
        </w:numPr>
        <w:spacing w:before="120" w:after="120"/>
        <w:ind w:firstLine="0"/>
      </w:pPr>
      <w:bookmarkStart w:id="313" w:name="_Toc4208"/>
      <w:bookmarkStart w:id="314" w:name="_Toc2311"/>
      <w:bookmarkStart w:id="315" w:name="_Toc5803"/>
      <w:r>
        <w:rPr>
          <w:rFonts w:hint="eastAsia"/>
        </w:rPr>
        <w:t>磋商函</w:t>
      </w:r>
      <w:bookmarkEnd w:id="308"/>
      <w:bookmarkEnd w:id="312"/>
      <w:bookmarkEnd w:id="313"/>
      <w:bookmarkEnd w:id="314"/>
      <w:bookmarkEnd w:id="315"/>
    </w:p>
    <w:p>
      <w:pPr>
        <w:pStyle w:val="43"/>
        <w:spacing w:line="520" w:lineRule="exact"/>
        <w:rPr>
          <w:lang w:val="zh-CN"/>
        </w:rPr>
      </w:pPr>
      <w:r>
        <w:rPr>
          <w:rFonts w:hint="eastAsia"/>
          <w:lang w:val="zh-CN"/>
        </w:rPr>
        <w:t>致：四川乾新招投标代理有限公司　</w:t>
      </w:r>
    </w:p>
    <w:p>
      <w:pPr>
        <w:pStyle w:val="46"/>
        <w:spacing w:line="520" w:lineRule="exact"/>
      </w:pPr>
      <w:r>
        <w:rPr>
          <w:rFonts w:hint="eastAsia"/>
        </w:rPr>
        <w:t>我方全面研究了“</w:t>
      </w:r>
      <w:r>
        <w:rPr>
          <w:rFonts w:hint="eastAsia"/>
          <w:u w:val="single"/>
        </w:rPr>
        <w:t xml:space="preserve">               </w:t>
      </w:r>
      <w:r>
        <w:rPr>
          <w:rFonts w:hint="eastAsia"/>
        </w:rPr>
        <w:t>(项目名称)(项目编号：</w:t>
      </w:r>
      <w:r>
        <w:rPr>
          <w:rFonts w:hint="eastAsia"/>
          <w:u w:val="single"/>
        </w:rPr>
        <w:t xml:space="preserve">               </w:t>
      </w:r>
      <w:r>
        <w:rPr>
          <w:rFonts w:hint="eastAsia"/>
        </w:rPr>
        <w:t>)”的磋商文件，决定参加贵单位组织的本项目的采购活动。我方授权</w:t>
      </w:r>
      <w:r>
        <w:rPr>
          <w:rFonts w:hint="eastAsia"/>
          <w:u w:val="single"/>
        </w:rPr>
        <w:t xml:space="preserve">               </w:t>
      </w:r>
      <w:r>
        <w:rPr>
          <w:rFonts w:hint="eastAsia"/>
        </w:rPr>
        <w:t>(姓名、职务)代表我方</w:t>
      </w:r>
      <w:r>
        <w:rPr>
          <w:rFonts w:hint="eastAsia"/>
          <w:u w:val="single"/>
        </w:rPr>
        <w:t xml:space="preserve">               </w:t>
      </w:r>
      <w:r>
        <w:rPr>
          <w:rFonts w:hint="eastAsia"/>
        </w:rPr>
        <w:t>(供应商名称)全权处理本项目磋商的有关事宜。</w:t>
      </w:r>
    </w:p>
    <w:p>
      <w:pPr>
        <w:pStyle w:val="36"/>
        <w:numPr>
          <w:ilvl w:val="2"/>
          <w:numId w:val="22"/>
        </w:numPr>
        <w:spacing w:line="520" w:lineRule="exact"/>
        <w:ind w:firstLine="480"/>
      </w:pPr>
      <w:r>
        <w:rPr>
          <w:rFonts w:hint="eastAsia"/>
        </w:rPr>
        <w:t>我方自愿按照磋商文件规定的各项要求向采购人提供所需相应服务，履约时间为</w:t>
      </w:r>
      <w:r>
        <w:rPr>
          <w:rFonts w:hint="eastAsia"/>
          <w:u w:val="single"/>
        </w:rPr>
        <w:t xml:space="preserve">            </w:t>
      </w:r>
      <w:r>
        <w:rPr>
          <w:rFonts w:hint="eastAsia"/>
        </w:rPr>
        <w:t>。</w:t>
      </w:r>
    </w:p>
    <w:p>
      <w:pPr>
        <w:pStyle w:val="36"/>
        <w:numPr>
          <w:ilvl w:val="2"/>
          <w:numId w:val="22"/>
        </w:numPr>
        <w:spacing w:line="520" w:lineRule="exact"/>
        <w:ind w:firstLine="480"/>
      </w:pPr>
      <w:r>
        <w:rPr>
          <w:rFonts w:hint="eastAsia"/>
        </w:rPr>
        <w:t>我方承诺：磋商有效期为</w:t>
      </w:r>
      <w:r>
        <w:rPr>
          <w:rFonts w:hint="eastAsia"/>
          <w:u w:val="single"/>
        </w:rPr>
        <w:t xml:space="preserve">                    </w:t>
      </w:r>
      <w:r>
        <w:rPr>
          <w:rFonts w:hint="eastAsia"/>
        </w:rPr>
        <w:t>，在此期间内不修改、撤销响应文件。</w:t>
      </w:r>
    </w:p>
    <w:p>
      <w:pPr>
        <w:pStyle w:val="36"/>
        <w:numPr>
          <w:ilvl w:val="2"/>
          <w:numId w:val="22"/>
        </w:numPr>
        <w:spacing w:line="520" w:lineRule="exact"/>
        <w:ind w:firstLine="480"/>
      </w:pPr>
      <w:r>
        <w:rPr>
          <w:rFonts w:hint="eastAsia"/>
        </w:rPr>
        <w:t>如我方成交：</w:t>
      </w:r>
    </w:p>
    <w:p>
      <w:pPr>
        <w:pStyle w:val="37"/>
        <w:spacing w:line="520" w:lineRule="exact"/>
        <w:ind w:firstLine="480"/>
      </w:pPr>
      <w:r>
        <w:rPr>
          <w:rFonts w:hint="eastAsia"/>
        </w:rPr>
        <w:t>我方承诺积极配合招标代理机构办理领取成交通知书事宜，同时在收到成交通知书后，在规定的期限内与采购人签订合同。</w:t>
      </w:r>
    </w:p>
    <w:p>
      <w:pPr>
        <w:pStyle w:val="37"/>
        <w:spacing w:line="520" w:lineRule="exact"/>
        <w:ind w:firstLine="480"/>
      </w:pPr>
      <w:r>
        <w:rPr>
          <w:rFonts w:hint="eastAsia"/>
        </w:rPr>
        <w:t>我方承诺按照磋商文件规定的金额和方式向采购人缴纳履约保证金。</w:t>
      </w:r>
    </w:p>
    <w:p>
      <w:pPr>
        <w:pStyle w:val="37"/>
        <w:spacing w:line="520" w:lineRule="exact"/>
        <w:ind w:firstLine="480"/>
      </w:pPr>
      <w:r>
        <w:rPr>
          <w:rFonts w:hint="eastAsia"/>
        </w:rPr>
        <w:t>我方将严格履行采购合同规定的责任和义务。</w:t>
      </w:r>
    </w:p>
    <w:p>
      <w:pPr>
        <w:pStyle w:val="37"/>
        <w:spacing w:line="520" w:lineRule="exact"/>
        <w:ind w:firstLine="480"/>
      </w:pPr>
      <w:r>
        <w:rPr>
          <w:rFonts w:hint="eastAsia"/>
        </w:rPr>
        <w:t>我方愿意提供贵单位可能另外要求的，与磋商报价有关的文件资料，并保证我方已提供和将要提供的文件资料是真实、准确的。</w:t>
      </w:r>
    </w:p>
    <w:p>
      <w:pPr>
        <w:pStyle w:val="37"/>
        <w:spacing w:line="520" w:lineRule="exact"/>
        <w:ind w:firstLine="480"/>
      </w:pPr>
      <w:r>
        <w:rPr>
          <w:rFonts w:hint="eastAsia"/>
        </w:rPr>
        <w:t>我方自愿按照磋商文件规定的各项要求完成采购项目，最后报价以《最后报价表》为准，接受采购人按照采购合同约定金额支付采购资金。</w:t>
      </w:r>
    </w:p>
    <w:p>
      <w:pPr>
        <w:pStyle w:val="36"/>
        <w:numPr>
          <w:ilvl w:val="2"/>
          <w:numId w:val="0"/>
        </w:numPr>
        <w:spacing w:line="520" w:lineRule="exact"/>
        <w:ind w:firstLine="480" w:firstLineChars="200"/>
      </w:pPr>
      <w:r>
        <w:rPr>
          <w:rFonts w:hint="eastAsia"/>
        </w:rPr>
        <w:t>4.我方在参加本次采购活动中，涉及的询问、质疑、邮寄(快递)成交通知书等采购相关文书资料送达地址为：</w:t>
      </w:r>
      <w:r>
        <w:rPr>
          <w:rFonts w:hint="eastAsia"/>
          <w:u w:val="single"/>
        </w:rPr>
        <w:t xml:space="preserve">                                     </w:t>
      </w:r>
      <w:r>
        <w:rPr>
          <w:rFonts w:hint="eastAsia"/>
        </w:rPr>
        <w:t>；联系人：</w:t>
      </w:r>
      <w:r>
        <w:rPr>
          <w:rFonts w:hint="eastAsia"/>
          <w:u w:val="single"/>
        </w:rPr>
        <w:t xml:space="preserve">           </w:t>
      </w:r>
      <w:r>
        <w:rPr>
          <w:rFonts w:hint="eastAsia"/>
        </w:rPr>
        <w:t>；联系电话：</w:t>
      </w:r>
      <w:r>
        <w:rPr>
          <w:rFonts w:hint="eastAsia"/>
          <w:u w:val="single"/>
        </w:rPr>
        <w:t xml:space="preserve">            </w:t>
      </w:r>
      <w:r>
        <w:rPr>
          <w:rFonts w:hint="eastAsia"/>
        </w:rPr>
        <w:t>，如在采购结果公告发布前变更送达地址的，将及时以书面方式告知贵公司。</w:t>
      </w:r>
    </w:p>
    <w:p>
      <w:pPr>
        <w:pStyle w:val="36"/>
        <w:numPr>
          <w:ilvl w:val="2"/>
          <w:numId w:val="0"/>
        </w:numPr>
        <w:spacing w:line="520" w:lineRule="exact"/>
        <w:ind w:firstLine="480" w:firstLineChars="200"/>
      </w:pPr>
      <w:r>
        <w:rPr>
          <w:rFonts w:hint="eastAsia"/>
        </w:rPr>
        <w:t>4.1我方承诺：如未提供自己的送达地址，经招标代理机构告知后仍不提供的，自然人以其户籍登记中的住所地为送达地址;法人或者其他组织以其工商登记或者其他依法登记、备案中的住所地为送达地址。</w:t>
      </w:r>
    </w:p>
    <w:p>
      <w:pPr>
        <w:pStyle w:val="36"/>
        <w:numPr>
          <w:ilvl w:val="2"/>
          <w:numId w:val="0"/>
        </w:numPr>
        <w:spacing w:line="520" w:lineRule="exact"/>
        <w:ind w:firstLine="480" w:firstLineChars="200"/>
      </w:pPr>
      <w:r>
        <w:rPr>
          <w:rFonts w:hint="eastAsia"/>
        </w:rPr>
        <w:t>4.2因我方提供的送达地址不准确、拒不提供送达地址、送达地址变更未及时告知招标代理机构、受送达人本人或者受送达人指定的代收人拒绝签收，导致采购文书等资料未能被受送达人实际接收的，采购文书退回之日视为送达之日。邮寄送达的，邮件回执上注明的退回之日视为送达之日；直接送达的，送达人当场在送达回执上签收之日视为送达之日。</w:t>
      </w:r>
    </w:p>
    <w:p>
      <w:pPr>
        <w:pStyle w:val="36"/>
        <w:numPr>
          <w:ilvl w:val="2"/>
          <w:numId w:val="0"/>
        </w:numPr>
        <w:spacing w:line="520" w:lineRule="exact"/>
        <w:ind w:firstLine="480" w:firstLineChars="200"/>
        <w:rPr>
          <w:lang w:val="zh-CN"/>
        </w:rPr>
      </w:pPr>
      <w:r>
        <w:rPr>
          <w:rFonts w:hint="eastAsia"/>
        </w:rPr>
        <w:t>5.参照</w:t>
      </w:r>
      <w:r>
        <w:rPr>
          <w:rFonts w:hint="eastAsia"/>
          <w:lang w:val="zh-CN"/>
        </w:rPr>
        <w:t>《中华人民共和国政府采购法实施条例》第四十三条的规定，公告内容应当包括主要</w:t>
      </w:r>
      <w:r>
        <w:rPr>
          <w:rFonts w:hint="eastAsia"/>
        </w:rPr>
        <w:t>成交</w:t>
      </w:r>
      <w:r>
        <w:rPr>
          <w:rFonts w:hint="eastAsia"/>
          <w:lang w:val="zh-CN"/>
        </w:rPr>
        <w:t>标的的名称、规格型号、数量、单价、服务要求以及评审专家名单。</w:t>
      </w:r>
      <w:r>
        <w:rPr>
          <w:rFonts w:hint="eastAsia"/>
        </w:rPr>
        <w:t>我方已</w:t>
      </w:r>
      <w:r>
        <w:rPr>
          <w:rFonts w:hint="eastAsia"/>
          <w:lang w:val="zh-CN"/>
        </w:rPr>
        <w:t>将</w:t>
      </w:r>
      <w:r>
        <w:rPr>
          <w:rFonts w:hint="eastAsia"/>
        </w:rPr>
        <w:t>响应</w:t>
      </w:r>
      <w:r>
        <w:rPr>
          <w:rFonts w:hint="eastAsia"/>
          <w:lang w:val="zh-CN"/>
        </w:rPr>
        <w:t>文件中涉及商业秘密和知识产权的内容进行标注和说明。若未进行标注和说明的，视为全部内容均可公布，采购人或者采购代理机构对此不承担任何责任。</w:t>
      </w:r>
    </w:p>
    <w:p>
      <w:pPr>
        <w:pStyle w:val="36"/>
        <w:numPr>
          <w:ilvl w:val="2"/>
          <w:numId w:val="0"/>
        </w:numPr>
        <w:spacing w:line="520" w:lineRule="exact"/>
        <w:ind w:firstLine="480" w:firstLineChars="200"/>
      </w:pPr>
      <w:r>
        <w:rPr>
          <w:rFonts w:hint="eastAsia"/>
        </w:rPr>
        <w:t>6.我方</w:t>
      </w:r>
      <w:r>
        <w:rPr>
          <w:rFonts w:hint="eastAsia"/>
          <w:u w:val="single"/>
        </w:rPr>
        <w:t xml:space="preserve">      </w:t>
      </w:r>
      <w:r>
        <w:rPr>
          <w:rFonts w:hint="eastAsia"/>
        </w:rPr>
        <w:t>(“有”或“没有”)《关于对政府采购领域严重违法失信主体开展联合惩戒的合作备忘录》的通知(发改财金〔2018〕1614号)、</w:t>
      </w:r>
      <w:r>
        <w:fldChar w:fldCharType="begin"/>
      </w:r>
      <w:r>
        <w:instrText xml:space="preserve"> HYPERLINK "http://fgw.sc.gov.cn/sfgwsjd/c100029/2019/10/15/5344a76ba0804c13be19f2313f85bf8f.shtml" \t "http://fgw.sc.gov.cn/sfgwsjd/c100029/2019/10/15/_blank" \o "《四川省公共资源交易领域严重失信联合惩戒实施办法》政策解读" </w:instrText>
      </w:r>
      <w:r>
        <w:fldChar w:fldCharType="separate"/>
      </w:r>
      <w:r>
        <w:rPr>
          <w:rFonts w:hint="eastAsia"/>
        </w:rPr>
        <w:t>《四川省公共资源交易领域严重失信联合惩戒实施办法》</w:t>
      </w:r>
      <w:r>
        <w:rPr>
          <w:rFonts w:hint="eastAsia"/>
        </w:rPr>
        <w:fldChar w:fldCharType="end"/>
      </w:r>
      <w:r>
        <w:rPr>
          <w:rFonts w:hint="eastAsia"/>
        </w:rPr>
        <w:t>(川发改信用规〔2019〕405号)规定的记入诚信档案的严重失信行为。如有，请如实列举：1.2.3.</w:t>
      </w:r>
      <w:r>
        <w:rPr>
          <w:rFonts w:hint="eastAsia" w:ascii="微软雅黑" w:hAnsi="微软雅黑" w:eastAsia="微软雅黑" w:cs="微软雅黑"/>
        </w:rPr>
        <w:t>……。</w:t>
      </w:r>
    </w:p>
    <w:p>
      <w:pPr>
        <w:pStyle w:val="36"/>
        <w:numPr>
          <w:ilvl w:val="2"/>
          <w:numId w:val="0"/>
        </w:numPr>
        <w:spacing w:line="520" w:lineRule="exact"/>
        <w:ind w:firstLine="480" w:firstLineChars="200"/>
      </w:pPr>
      <w:r>
        <w:rPr>
          <w:rFonts w:hint="eastAsia"/>
        </w:rPr>
        <w:t>7.我方如对磋商文件有异议，已经在响应文件递交截止时间届满前依法进行维权救济，不存在对磋商文件有异议的同时又参加磋商以求侥幸成交或者为实现其他非法目的的行为。</w:t>
      </w:r>
    </w:p>
    <w:p>
      <w:pPr>
        <w:pStyle w:val="43"/>
        <w:ind w:firstLine="480" w:firstLineChars="200"/>
      </w:pPr>
    </w:p>
    <w:p>
      <w:pPr>
        <w:pStyle w:val="43"/>
        <w:ind w:firstLine="480" w:firstLineChars="200"/>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3"/>
        <w:ind w:firstLine="480" w:firstLineChars="200"/>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3"/>
        <w:ind w:firstLine="480" w:firstLineChars="200"/>
      </w:pPr>
      <w:r>
        <w:rPr>
          <w:rFonts w:hint="eastAsia"/>
        </w:rPr>
        <w:t>邮政编码：</w:t>
      </w:r>
      <w:r>
        <w:rPr>
          <w:rFonts w:hint="eastAsia" w:asciiTheme="minorEastAsia" w:hAnsiTheme="minorEastAsia" w:eastAsiaTheme="minorEastAsia" w:cstheme="minorEastAsia"/>
          <w:bCs/>
          <w:u w:val="single"/>
        </w:rPr>
        <w:t xml:space="preserve">               </w:t>
      </w:r>
      <w:r>
        <w:rPr>
          <w:rFonts w:hint="eastAsia"/>
        </w:rPr>
        <w:t xml:space="preserve">               </w:t>
      </w:r>
    </w:p>
    <w:p>
      <w:pPr>
        <w:pStyle w:val="43"/>
        <w:ind w:firstLine="480" w:firstLineChars="200"/>
      </w:pPr>
      <w:r>
        <w:rPr>
          <w:rFonts w:hint="eastAsia"/>
        </w:rPr>
        <w:t>联系人：</w:t>
      </w:r>
      <w:r>
        <w:rPr>
          <w:rFonts w:hint="eastAsia" w:cs="宋体"/>
          <w:bCs/>
          <w:u w:val="single"/>
        </w:rPr>
        <w:t xml:space="preserve">                 </w:t>
      </w:r>
    </w:p>
    <w:p>
      <w:pPr>
        <w:pStyle w:val="43"/>
        <w:ind w:firstLine="480" w:firstLineChars="200"/>
      </w:pPr>
      <w:r>
        <w:rPr>
          <w:rFonts w:hint="eastAsia"/>
        </w:rPr>
        <w:t>联系电话：</w:t>
      </w:r>
      <w:r>
        <w:rPr>
          <w:rFonts w:hint="eastAsia" w:asciiTheme="minorEastAsia" w:hAnsiTheme="minorEastAsia" w:eastAsiaTheme="minorEastAsia" w:cstheme="minorEastAsia"/>
          <w:bCs/>
          <w:u w:val="single"/>
        </w:rPr>
        <w:t xml:space="preserve">               </w:t>
      </w:r>
      <w:r>
        <w:rPr>
          <w:rFonts w:hint="eastAsia"/>
        </w:rPr>
        <w:t xml:space="preserve">               </w:t>
      </w:r>
    </w:p>
    <w:p>
      <w:pPr>
        <w:pStyle w:val="43"/>
        <w:ind w:firstLine="480" w:firstLineChars="200"/>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bookmarkStart w:id="316" w:name="_Toc439161752"/>
      <w:bookmarkStart w:id="317" w:name="_Toc6982"/>
      <w:bookmarkStart w:id="318" w:name="_Toc10493"/>
      <w:bookmarkStart w:id="319" w:name="_Toc302997926"/>
      <w:bookmarkStart w:id="320" w:name="_Toc5912"/>
      <w:bookmarkStart w:id="321" w:name="_Toc3690"/>
      <w:r>
        <w:rPr>
          <w:rFonts w:hint="eastAsia"/>
        </w:rPr>
        <w:br w:type="page"/>
      </w:r>
    </w:p>
    <w:p>
      <w:pPr>
        <w:pStyle w:val="44"/>
        <w:numPr>
          <w:ilvl w:val="0"/>
          <w:numId w:val="21"/>
        </w:numPr>
        <w:spacing w:before="120" w:after="120"/>
        <w:ind w:firstLine="0"/>
      </w:pPr>
      <w:bookmarkStart w:id="322" w:name="_Toc1454"/>
      <w:bookmarkStart w:id="323" w:name="_Toc7950"/>
      <w:r>
        <w:rPr>
          <w:rFonts w:hint="eastAsia"/>
        </w:rPr>
        <w:t>实质性要求承诺</w:t>
      </w:r>
      <w:bookmarkEnd w:id="322"/>
      <w:bookmarkEnd w:id="323"/>
    </w:p>
    <w:p>
      <w:pPr>
        <w:pStyle w:val="43"/>
        <w:spacing w:line="520" w:lineRule="exact"/>
      </w:pPr>
      <w:r>
        <w:rPr>
          <w:rFonts w:hint="eastAsia"/>
          <w:u w:val="single"/>
        </w:rPr>
        <w:t xml:space="preserve">                   </w:t>
      </w:r>
      <w:r>
        <w:rPr>
          <w:rFonts w:hint="eastAsia"/>
        </w:rPr>
        <w:t>(采购代理机构名称)：</w:t>
      </w:r>
    </w:p>
    <w:p>
      <w:pPr>
        <w:pStyle w:val="46"/>
        <w:spacing w:line="520" w:lineRule="exact"/>
      </w:pPr>
      <w:r>
        <w:rPr>
          <w:rFonts w:hint="eastAsia"/>
        </w:rPr>
        <w:t>我方作为本次采购项目的供应商，根据磋商文件要求，现郑重承诺及声明如下：</w:t>
      </w:r>
    </w:p>
    <w:p>
      <w:pPr>
        <w:pStyle w:val="36"/>
        <w:numPr>
          <w:ilvl w:val="2"/>
          <w:numId w:val="23"/>
        </w:numPr>
        <w:spacing w:line="520" w:lineRule="exact"/>
        <w:ind w:firstLine="480"/>
        <w:rPr>
          <w:b/>
          <w:bCs/>
        </w:rPr>
      </w:pPr>
      <w:r>
        <w:rPr>
          <w:rFonts w:hint="eastAsia"/>
        </w:rPr>
        <w:t>我方已认真阅读并</w:t>
      </w:r>
      <w:r>
        <w:rPr>
          <w:rFonts w:hint="eastAsia" w:cs="宋体"/>
          <w:u w:val="single"/>
        </w:rPr>
        <w:t xml:space="preserve">      </w:t>
      </w:r>
      <w:r>
        <w:rPr>
          <w:rFonts w:hint="eastAsia" w:cs="宋体"/>
          <w:b/>
          <w:u w:val="single"/>
        </w:rPr>
        <w:t>(说明：填写“接受”或“不接受”)</w:t>
      </w:r>
      <w:r>
        <w:rPr>
          <w:rFonts w:hint="eastAsia"/>
        </w:rPr>
        <w:t>本项目磋商文件的全部实质性要求</w:t>
      </w:r>
      <w:r>
        <w:rPr>
          <w:rFonts w:hint="eastAsia"/>
          <w:b/>
          <w:bCs/>
        </w:rPr>
        <w:t>(磋商文件中明确要求需在响应时提供承诺函或具体证明材料进行响应的实质性要求除外)。</w:t>
      </w:r>
    </w:p>
    <w:p>
      <w:pPr>
        <w:pStyle w:val="36"/>
        <w:numPr>
          <w:ilvl w:val="2"/>
          <w:numId w:val="23"/>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与单位负责人为同一人或者存在直接控股、管理关系的其他供应商参与同一合同项下的采购活动的行为。与我方存在直接控股关系的单位为：</w:t>
      </w:r>
      <w:r>
        <w:rPr>
          <w:rFonts w:hint="eastAsia" w:cs="宋体"/>
          <w:b/>
          <w:u w:val="single"/>
        </w:rPr>
        <w:t xml:space="preserve">      (说明：填写“无”或“供应商名称)</w:t>
      </w:r>
      <w:r>
        <w:rPr>
          <w:rFonts w:hint="eastAsia" w:cs="宋体"/>
          <w:bCs/>
        </w:rPr>
        <w:t>；与我方存在直接控股关系的单位为</w:t>
      </w:r>
      <w:r>
        <w:rPr>
          <w:rFonts w:hint="eastAsia" w:cs="宋体"/>
          <w:b/>
          <w:u w:val="single"/>
        </w:rPr>
        <w:t>：    (说明：填写“无”或“供应商名称)</w:t>
      </w:r>
      <w:r>
        <w:rPr>
          <w:rFonts w:hint="eastAsia" w:cs="宋体"/>
          <w:b/>
        </w:rPr>
        <w:t>；</w:t>
      </w:r>
      <w:r>
        <w:rPr>
          <w:rFonts w:hint="eastAsia" w:cs="宋体"/>
          <w:bCs/>
        </w:rPr>
        <w:t>存在管理关系的单位为：</w:t>
      </w:r>
      <w:r>
        <w:rPr>
          <w:rFonts w:hint="eastAsia" w:cs="宋体"/>
          <w:b/>
          <w:u w:val="single"/>
        </w:rPr>
        <w:t xml:space="preserve">      (说明：填写“无”或“供应商名称)</w:t>
      </w:r>
      <w:r>
        <w:rPr>
          <w:rFonts w:hint="eastAsia"/>
        </w:rPr>
        <w:t>。</w:t>
      </w:r>
    </w:p>
    <w:p>
      <w:pPr>
        <w:pStyle w:val="36"/>
        <w:numPr>
          <w:ilvl w:val="2"/>
          <w:numId w:val="23"/>
        </w:numPr>
        <w:spacing w:line="520" w:lineRule="exact"/>
        <w:ind w:firstLine="480"/>
      </w:pPr>
      <w:r>
        <w:rPr>
          <w:rFonts w:hint="eastAsia"/>
        </w:rPr>
        <w:t>我方参加本次采购活动前本单位未对本次采购项目</w:t>
      </w:r>
      <w:r>
        <w:rPr>
          <w:rFonts w:hint="eastAsia" w:cs="宋体"/>
          <w:b/>
          <w:bCs/>
          <w:u w:val="single"/>
        </w:rPr>
        <w:t xml:space="preserve">     </w:t>
      </w:r>
      <w:r>
        <w:rPr>
          <w:rFonts w:hint="eastAsia" w:cs="宋体"/>
          <w:b/>
          <w:bCs/>
          <w:u w:val="single"/>
          <w:lang w:val="zh-CN"/>
        </w:rPr>
        <w:t>(说明：填写“</w:t>
      </w:r>
      <w:r>
        <w:rPr>
          <w:rFonts w:hint="eastAsia" w:cs="宋体"/>
          <w:b/>
          <w:bCs/>
          <w:u w:val="single"/>
        </w:rPr>
        <w:t>未</w:t>
      </w:r>
      <w:r>
        <w:rPr>
          <w:rFonts w:hint="eastAsia" w:cs="宋体"/>
          <w:b/>
          <w:bCs/>
          <w:u w:val="single"/>
          <w:lang w:val="zh-CN"/>
        </w:rPr>
        <w:t>提供”或“提供”)</w:t>
      </w:r>
      <w:r>
        <w:rPr>
          <w:rFonts w:hint="eastAsia"/>
        </w:rPr>
        <w:t>过整体设计、规范编制或者项目管理、监理、检测等服务。</w:t>
      </w:r>
    </w:p>
    <w:p>
      <w:pPr>
        <w:pStyle w:val="36"/>
        <w:numPr>
          <w:ilvl w:val="2"/>
          <w:numId w:val="23"/>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我单位实际控制人或者中高级管理人员是本项目采购代理机构的工作人员的情形。</w:t>
      </w:r>
    </w:p>
    <w:p>
      <w:pPr>
        <w:pStyle w:val="36"/>
        <w:numPr>
          <w:ilvl w:val="2"/>
          <w:numId w:val="23"/>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同一母公司的两家以上的子公司以不同供应商身份同时参加本项目同一合同项下的采购活动的情形。</w:t>
      </w:r>
    </w:p>
    <w:p>
      <w:pPr>
        <w:pStyle w:val="36"/>
        <w:numPr>
          <w:ilvl w:val="2"/>
          <w:numId w:val="23"/>
        </w:numPr>
        <w:spacing w:line="520" w:lineRule="exact"/>
        <w:ind w:firstLine="480"/>
      </w:pPr>
      <w:r>
        <w:rPr>
          <w:rFonts w:hint="eastAsia"/>
        </w:rPr>
        <w:t>我方参加本次采购活动，与采购代理机构</w:t>
      </w:r>
      <w:r>
        <w:rPr>
          <w:rFonts w:hint="eastAsia" w:cs="宋体"/>
          <w:u w:val="single"/>
        </w:rPr>
        <w:t xml:space="preserve">    </w:t>
      </w:r>
      <w:r>
        <w:rPr>
          <w:rFonts w:hint="eastAsia" w:cs="宋体"/>
          <w:b/>
          <w:u w:val="single"/>
        </w:rPr>
        <w:t>(说明：填写“不存在”或“存在”)</w:t>
      </w:r>
      <w:r>
        <w:rPr>
          <w:rFonts w:hint="eastAsia"/>
        </w:rPr>
        <w:t>关联关系，</w:t>
      </w:r>
      <w:r>
        <w:rPr>
          <w:rFonts w:hint="eastAsia" w:cs="宋体"/>
          <w:u w:val="single"/>
        </w:rPr>
        <w:t xml:space="preserve">     </w:t>
      </w:r>
      <w:r>
        <w:rPr>
          <w:rFonts w:hint="eastAsia" w:cs="宋体"/>
          <w:b/>
          <w:u w:val="single"/>
        </w:rPr>
        <w:t>(说明：填写“不是”或“是”)</w:t>
      </w:r>
      <w:r>
        <w:rPr>
          <w:rFonts w:hint="eastAsia"/>
        </w:rPr>
        <w:t>采购代理机构的母公司或子公司。</w:t>
      </w:r>
    </w:p>
    <w:p>
      <w:pPr>
        <w:pStyle w:val="36"/>
        <w:numPr>
          <w:ilvl w:val="2"/>
          <w:numId w:val="23"/>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和其他供应商在同一合同项下的采购项目中，同时委托同一个自然人、同一家庭的人员、同一单位的人员作为代理人的行为。</w:t>
      </w:r>
    </w:p>
    <w:p>
      <w:pPr>
        <w:pStyle w:val="36"/>
        <w:numPr>
          <w:ilvl w:val="2"/>
          <w:numId w:val="23"/>
        </w:numPr>
        <w:spacing w:line="520" w:lineRule="exact"/>
        <w:ind w:firstLine="480"/>
      </w:pPr>
      <w:r>
        <w:rPr>
          <w:rFonts w:hint="eastAsia" w:cs="宋体"/>
        </w:rPr>
        <w:t>我单位的响应文件</w:t>
      </w:r>
      <w:r>
        <w:rPr>
          <w:rFonts w:hint="eastAsia" w:cs="宋体"/>
          <w:lang w:val="zh-CN"/>
        </w:rPr>
        <w:t>编制</w:t>
      </w:r>
      <w:r>
        <w:rPr>
          <w:rFonts w:hint="eastAsia" w:cs="宋体"/>
        </w:rPr>
        <w:t>单位和个人分别为：</w:t>
      </w:r>
      <w:r>
        <w:rPr>
          <w:rFonts w:hint="eastAsia" w:cs="宋体"/>
          <w:b/>
          <w:bCs/>
          <w:snapToGrid/>
          <w:u w:val="single"/>
        </w:rPr>
        <w:t xml:space="preserve">    </w:t>
      </w:r>
      <w:r>
        <w:rPr>
          <w:rFonts w:hint="eastAsia" w:cs="宋体"/>
          <w:b/>
          <w:bCs/>
          <w:snapToGrid/>
          <w:u w:val="single"/>
          <w:lang w:val="zh-CN"/>
        </w:rPr>
        <w:t>(说明：填写“</w:t>
      </w:r>
      <w:r>
        <w:rPr>
          <w:rFonts w:hint="eastAsia" w:cs="宋体"/>
          <w:b/>
          <w:bCs/>
          <w:u w:val="single"/>
          <w:lang w:val="zh-CN"/>
        </w:rPr>
        <w:t>编制</w:t>
      </w:r>
      <w:r>
        <w:rPr>
          <w:rFonts w:hint="eastAsia" w:cs="宋体"/>
          <w:b/>
          <w:bCs/>
          <w:u w:val="single"/>
        </w:rPr>
        <w:t>单位</w:t>
      </w:r>
      <w:r>
        <w:rPr>
          <w:rFonts w:hint="eastAsia" w:cs="宋体"/>
          <w:b/>
          <w:bCs/>
          <w:snapToGrid/>
          <w:u w:val="single"/>
          <w:lang w:val="zh-CN"/>
        </w:rPr>
        <w:t>名称)；</w:t>
      </w:r>
      <w:r>
        <w:rPr>
          <w:rFonts w:hint="eastAsia" w:cs="宋体"/>
          <w:b/>
          <w:bCs/>
          <w:u w:val="single"/>
        </w:rPr>
        <w:t xml:space="preserve">         (</w:t>
      </w:r>
      <w:r>
        <w:rPr>
          <w:rFonts w:hint="eastAsia" w:cs="宋体"/>
          <w:b/>
          <w:bCs/>
          <w:snapToGrid/>
          <w:u w:val="single"/>
          <w:lang w:val="zh-CN"/>
        </w:rPr>
        <w:t>说明：</w:t>
      </w:r>
      <w:r>
        <w:rPr>
          <w:rFonts w:hint="eastAsia" w:cs="宋体"/>
          <w:b/>
          <w:bCs/>
          <w:snapToGrid/>
          <w:u w:val="single"/>
        </w:rPr>
        <w:t>填写“</w:t>
      </w:r>
      <w:r>
        <w:rPr>
          <w:rFonts w:hint="eastAsia" w:cs="宋体"/>
          <w:b/>
          <w:bCs/>
          <w:u w:val="single"/>
          <w:lang w:val="zh-CN"/>
        </w:rPr>
        <w:t>编制</w:t>
      </w:r>
      <w:r>
        <w:rPr>
          <w:rFonts w:hint="eastAsia" w:cs="宋体"/>
          <w:b/>
          <w:bCs/>
          <w:u w:val="single"/>
        </w:rPr>
        <w:t>个人姓名”)。</w:t>
      </w:r>
    </w:p>
    <w:p>
      <w:pPr>
        <w:pStyle w:val="36"/>
        <w:numPr>
          <w:ilvl w:val="2"/>
          <w:numId w:val="23"/>
        </w:numPr>
        <w:spacing w:line="520" w:lineRule="exact"/>
        <w:ind w:firstLine="480"/>
      </w:pPr>
      <w:r>
        <w:rPr>
          <w:rFonts w:hint="eastAsia"/>
        </w:rPr>
        <w:t>我方响应文件中提供的任何资料和技术、服务、商务等响应承诺情况都是真实的、有效的、合法的。</w:t>
      </w:r>
    </w:p>
    <w:p>
      <w:pPr>
        <w:pStyle w:val="36"/>
        <w:numPr>
          <w:ilvl w:val="2"/>
          <w:numId w:val="23"/>
        </w:numPr>
        <w:spacing w:line="520" w:lineRule="exact"/>
        <w:ind w:firstLine="480"/>
      </w:pPr>
      <w:r>
        <w:rPr>
          <w:rFonts w:hint="eastAsia"/>
        </w:rPr>
        <w:t>我方参加本次采购活动，我方完全同意竞争性磋商文件中关于“磋商费用”、“合同分包”、“合同转包”、“合同定价方式”、“履约保证金”等实质性要求，并承诺严格按照竞争性磋商文件采购合同要求履行。</w:t>
      </w:r>
    </w:p>
    <w:p>
      <w:pPr>
        <w:pStyle w:val="36"/>
        <w:numPr>
          <w:ilvl w:val="2"/>
          <w:numId w:val="23"/>
        </w:numPr>
        <w:spacing w:line="520" w:lineRule="exact"/>
        <w:ind w:firstLine="480"/>
      </w:pPr>
      <w:r>
        <w:rPr>
          <w:rFonts w:hint="eastAsia"/>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相关技术文档，并提供无限期技术支持，采购人享有永久使用权(含采购人委托第三方在该项目后续开发的使用权)。如我方在项目实施过程中采用非自有的知识产权，我方承诺提供相关技术文档，并提供无限期技术支持，采购人享有永久合法使用的使用权，且不承担该知识产权的相关费用，且在磋商报价中已包括合法获取该知识产权的相关费用。若项目实施过程形成了新的技术成果或知识产权(包括但不限于新开发的计算机软件、在原有软件基础上修改软件架构或增加新功能等的技术改进、新功能开发过程中形成的技术文件等)，应由采购人和供应商共同所有前述科技成果权利或知识产权，供应商承诺采购人享有前述成果权利或知识产权永久合法使用的使用权，且供应商承诺额外承担任何与之有关的费用。</w:t>
      </w:r>
    </w:p>
    <w:p>
      <w:pPr>
        <w:pStyle w:val="46"/>
        <w:spacing w:line="520" w:lineRule="exact"/>
      </w:pPr>
      <w:r>
        <w:rPr>
          <w:rFonts w:hint="eastAsia"/>
        </w:rPr>
        <w:t>我方对上述承诺的内容事项真实性、合法性负责。如经查实上述承诺的内容事项存在虚假，我方自愿接受以提供虚假材料谋取成交所带来的所有法律责任。</w:t>
      </w:r>
    </w:p>
    <w:p>
      <w:pPr>
        <w:pStyle w:val="43"/>
      </w:pPr>
    </w:p>
    <w:p>
      <w:pPr>
        <w:pStyle w:val="46"/>
      </w:pPr>
      <w:r>
        <w:rPr>
          <w:rFonts w:hint="eastAsia"/>
        </w:rPr>
        <w:t>供应商名称：</w:t>
      </w:r>
      <w:r>
        <w:rPr>
          <w:rFonts w:hint="eastAsia"/>
          <w:u w:val="single"/>
        </w:rPr>
        <w:t xml:space="preserve">               </w:t>
      </w:r>
      <w:r>
        <w:rPr>
          <w:rFonts w:hint="eastAsia"/>
        </w:rPr>
        <w:t>(盖章)</w:t>
      </w:r>
    </w:p>
    <w:p>
      <w:pPr>
        <w:pStyle w:val="46"/>
      </w:pPr>
      <w:r>
        <w:rPr>
          <w:rFonts w:hint="eastAsia"/>
        </w:rPr>
        <w:t>法定代表人/单位负责人或授权代表：</w:t>
      </w:r>
      <w:r>
        <w:rPr>
          <w:rFonts w:hint="eastAsia"/>
          <w:u w:val="single"/>
        </w:rPr>
        <w:t xml:space="preserve">            </w:t>
      </w:r>
      <w:r>
        <w:rPr>
          <w:rFonts w:hint="eastAsia"/>
        </w:rPr>
        <w:t>(签字或盖章)</w:t>
      </w:r>
    </w:p>
    <w:p>
      <w:pPr>
        <w:pStyle w:val="46"/>
      </w:pPr>
      <w:r>
        <w:rPr>
          <w:rFonts w:hint="eastAsia"/>
        </w:rPr>
        <w:t>磋商日期：</w:t>
      </w:r>
      <w:r>
        <w:rPr>
          <w:rFonts w:hint="eastAsia"/>
          <w:u w:val="single"/>
        </w:rPr>
        <w:t xml:space="preserve">                  </w:t>
      </w:r>
    </w:p>
    <w:p>
      <w:r>
        <w:rPr>
          <w:rFonts w:hint="eastAsia"/>
        </w:rPr>
        <w:br w:type="page"/>
      </w:r>
    </w:p>
    <w:p>
      <w:pPr>
        <w:pStyle w:val="44"/>
        <w:numPr>
          <w:ilvl w:val="0"/>
          <w:numId w:val="21"/>
        </w:numPr>
        <w:spacing w:before="120" w:after="120"/>
        <w:ind w:firstLine="0"/>
      </w:pPr>
      <w:bookmarkStart w:id="324" w:name="_Toc21453"/>
      <w:bookmarkStart w:id="325" w:name="_Toc5839"/>
      <w:r>
        <w:rPr>
          <w:rFonts w:hint="eastAsia"/>
        </w:rPr>
        <w:t>供应商基本情况表</w:t>
      </w:r>
      <w:bookmarkEnd w:id="316"/>
      <w:bookmarkEnd w:id="317"/>
      <w:bookmarkEnd w:id="318"/>
      <w:bookmarkEnd w:id="319"/>
      <w:bookmarkEnd w:id="320"/>
      <w:bookmarkEnd w:id="321"/>
      <w:bookmarkEnd w:id="324"/>
      <w:bookmarkEnd w:id="325"/>
    </w:p>
    <w:tbl>
      <w:tblPr>
        <w:tblStyle w:val="23"/>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25"/>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供应商名称</w:t>
            </w:r>
          </w:p>
        </w:tc>
        <w:tc>
          <w:tcPr>
            <w:tcW w:w="8186" w:type="dxa"/>
            <w:gridSpan w:val="7"/>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注册地址</w:t>
            </w:r>
          </w:p>
        </w:tc>
        <w:tc>
          <w:tcPr>
            <w:tcW w:w="4012" w:type="dxa"/>
            <w:gridSpan w:val="3"/>
            <w:vAlign w:val="center"/>
          </w:tcPr>
          <w:p>
            <w:pPr>
              <w:pStyle w:val="45"/>
              <w:spacing w:line="480" w:lineRule="exact"/>
            </w:pPr>
          </w:p>
        </w:tc>
        <w:tc>
          <w:tcPr>
            <w:tcW w:w="1548" w:type="dxa"/>
            <w:vAlign w:val="center"/>
          </w:tcPr>
          <w:p>
            <w:pPr>
              <w:pStyle w:val="45"/>
              <w:spacing w:line="480" w:lineRule="exact"/>
            </w:pPr>
            <w:r>
              <w:rPr>
                <w:rFonts w:hint="eastAsia"/>
              </w:rPr>
              <w:t>邮政编码</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Merge w:val="restart"/>
            <w:vAlign w:val="center"/>
          </w:tcPr>
          <w:p>
            <w:pPr>
              <w:pStyle w:val="45"/>
              <w:spacing w:line="480" w:lineRule="exact"/>
            </w:pPr>
            <w:r>
              <w:rPr>
                <w:rFonts w:hint="eastAsia"/>
              </w:rPr>
              <w:t>联系方式</w:t>
            </w:r>
          </w:p>
        </w:tc>
        <w:tc>
          <w:tcPr>
            <w:tcW w:w="1125" w:type="dxa"/>
            <w:vAlign w:val="center"/>
          </w:tcPr>
          <w:p>
            <w:pPr>
              <w:pStyle w:val="45"/>
              <w:spacing w:line="480" w:lineRule="exact"/>
            </w:pPr>
            <w:r>
              <w:rPr>
                <w:rFonts w:hint="eastAsia"/>
              </w:rPr>
              <w:t>联系人</w:t>
            </w:r>
          </w:p>
        </w:tc>
        <w:tc>
          <w:tcPr>
            <w:tcW w:w="2887" w:type="dxa"/>
            <w:gridSpan w:val="2"/>
            <w:vAlign w:val="center"/>
          </w:tcPr>
          <w:p>
            <w:pPr>
              <w:pStyle w:val="45"/>
              <w:spacing w:line="480" w:lineRule="exact"/>
            </w:pPr>
          </w:p>
        </w:tc>
        <w:tc>
          <w:tcPr>
            <w:tcW w:w="1548" w:type="dxa"/>
            <w:vAlign w:val="center"/>
          </w:tcPr>
          <w:p>
            <w:pPr>
              <w:pStyle w:val="45"/>
              <w:spacing w:line="480" w:lineRule="exact"/>
            </w:pPr>
            <w:r>
              <w:rPr>
                <w:rFonts w:hint="eastAsia"/>
              </w:rPr>
              <w:t>电话</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770" w:type="dxa"/>
            <w:vMerge w:val="continue"/>
            <w:vAlign w:val="center"/>
          </w:tcPr>
          <w:p>
            <w:pPr>
              <w:pStyle w:val="45"/>
              <w:spacing w:line="480" w:lineRule="exact"/>
            </w:pPr>
          </w:p>
        </w:tc>
        <w:tc>
          <w:tcPr>
            <w:tcW w:w="1125" w:type="dxa"/>
            <w:vAlign w:val="center"/>
          </w:tcPr>
          <w:p>
            <w:pPr>
              <w:pStyle w:val="45"/>
              <w:spacing w:line="480" w:lineRule="exact"/>
            </w:pPr>
            <w:r>
              <w:rPr>
                <w:rFonts w:hint="eastAsia"/>
              </w:rPr>
              <w:t>传真</w:t>
            </w:r>
          </w:p>
        </w:tc>
        <w:tc>
          <w:tcPr>
            <w:tcW w:w="2887" w:type="dxa"/>
            <w:gridSpan w:val="2"/>
            <w:vAlign w:val="center"/>
          </w:tcPr>
          <w:p>
            <w:pPr>
              <w:pStyle w:val="45"/>
              <w:spacing w:line="480" w:lineRule="exact"/>
            </w:pPr>
          </w:p>
        </w:tc>
        <w:tc>
          <w:tcPr>
            <w:tcW w:w="1548" w:type="dxa"/>
            <w:vAlign w:val="center"/>
          </w:tcPr>
          <w:p>
            <w:pPr>
              <w:pStyle w:val="45"/>
              <w:spacing w:line="480" w:lineRule="exact"/>
            </w:pPr>
            <w:r>
              <w:rPr>
                <w:rFonts w:hint="eastAsia"/>
              </w:rPr>
              <w:t>网址</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70" w:type="dxa"/>
            <w:vAlign w:val="center"/>
          </w:tcPr>
          <w:p>
            <w:pPr>
              <w:pStyle w:val="45"/>
              <w:spacing w:line="480" w:lineRule="exact"/>
            </w:pPr>
            <w:r>
              <w:rPr>
                <w:rFonts w:hint="eastAsia"/>
              </w:rPr>
              <w:t>法定代表人</w:t>
            </w:r>
          </w:p>
        </w:tc>
        <w:tc>
          <w:tcPr>
            <w:tcW w:w="1125" w:type="dxa"/>
            <w:vAlign w:val="center"/>
          </w:tcPr>
          <w:p>
            <w:pPr>
              <w:pStyle w:val="45"/>
              <w:spacing w:line="480" w:lineRule="exact"/>
            </w:pPr>
            <w:r>
              <w:rPr>
                <w:rFonts w:hint="eastAsia"/>
              </w:rPr>
              <w:t>姓名</w:t>
            </w:r>
          </w:p>
        </w:tc>
        <w:tc>
          <w:tcPr>
            <w:tcW w:w="1432" w:type="dxa"/>
            <w:vAlign w:val="center"/>
          </w:tcPr>
          <w:p>
            <w:pPr>
              <w:pStyle w:val="45"/>
              <w:spacing w:line="480" w:lineRule="exact"/>
            </w:pPr>
          </w:p>
        </w:tc>
        <w:tc>
          <w:tcPr>
            <w:tcW w:w="1455" w:type="dxa"/>
            <w:vAlign w:val="center"/>
          </w:tcPr>
          <w:p>
            <w:pPr>
              <w:pStyle w:val="45"/>
              <w:spacing w:line="480" w:lineRule="exact"/>
            </w:pPr>
            <w:r>
              <w:rPr>
                <w:rFonts w:hint="eastAsia"/>
              </w:rPr>
              <w:t>技术职称</w:t>
            </w:r>
          </w:p>
        </w:tc>
        <w:tc>
          <w:tcPr>
            <w:tcW w:w="1548" w:type="dxa"/>
            <w:vAlign w:val="center"/>
          </w:tcPr>
          <w:p>
            <w:pPr>
              <w:pStyle w:val="45"/>
              <w:spacing w:line="480" w:lineRule="exact"/>
            </w:pPr>
          </w:p>
        </w:tc>
        <w:tc>
          <w:tcPr>
            <w:tcW w:w="1364" w:type="dxa"/>
            <w:gridSpan w:val="2"/>
            <w:vAlign w:val="center"/>
          </w:tcPr>
          <w:p>
            <w:pPr>
              <w:pStyle w:val="45"/>
              <w:spacing w:line="480" w:lineRule="exact"/>
            </w:pPr>
            <w:r>
              <w:rPr>
                <w:rFonts w:hint="eastAsia"/>
              </w:rPr>
              <w:t>电话</w:t>
            </w:r>
          </w:p>
        </w:tc>
        <w:tc>
          <w:tcPr>
            <w:tcW w:w="1262" w:type="dxa"/>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70" w:type="dxa"/>
            <w:vAlign w:val="center"/>
          </w:tcPr>
          <w:p>
            <w:pPr>
              <w:pStyle w:val="45"/>
              <w:spacing w:line="480" w:lineRule="exact"/>
            </w:pPr>
            <w:r>
              <w:rPr>
                <w:rFonts w:hint="eastAsia"/>
              </w:rPr>
              <w:t>技术负责人</w:t>
            </w:r>
          </w:p>
        </w:tc>
        <w:tc>
          <w:tcPr>
            <w:tcW w:w="1125" w:type="dxa"/>
            <w:vAlign w:val="center"/>
          </w:tcPr>
          <w:p>
            <w:pPr>
              <w:pStyle w:val="45"/>
              <w:spacing w:line="480" w:lineRule="exact"/>
            </w:pPr>
            <w:r>
              <w:rPr>
                <w:rFonts w:hint="eastAsia"/>
              </w:rPr>
              <w:t>姓名</w:t>
            </w:r>
          </w:p>
        </w:tc>
        <w:tc>
          <w:tcPr>
            <w:tcW w:w="1432" w:type="dxa"/>
            <w:vAlign w:val="center"/>
          </w:tcPr>
          <w:p>
            <w:pPr>
              <w:pStyle w:val="45"/>
              <w:spacing w:line="480" w:lineRule="exact"/>
            </w:pPr>
          </w:p>
        </w:tc>
        <w:tc>
          <w:tcPr>
            <w:tcW w:w="1455" w:type="dxa"/>
            <w:vAlign w:val="center"/>
          </w:tcPr>
          <w:p>
            <w:pPr>
              <w:pStyle w:val="45"/>
              <w:spacing w:line="480" w:lineRule="exact"/>
            </w:pPr>
            <w:r>
              <w:rPr>
                <w:rFonts w:hint="eastAsia"/>
              </w:rPr>
              <w:t>技术职称</w:t>
            </w:r>
          </w:p>
        </w:tc>
        <w:tc>
          <w:tcPr>
            <w:tcW w:w="1548" w:type="dxa"/>
            <w:vAlign w:val="center"/>
          </w:tcPr>
          <w:p>
            <w:pPr>
              <w:pStyle w:val="45"/>
              <w:spacing w:line="480" w:lineRule="exact"/>
            </w:pPr>
          </w:p>
        </w:tc>
        <w:tc>
          <w:tcPr>
            <w:tcW w:w="1364" w:type="dxa"/>
            <w:gridSpan w:val="2"/>
            <w:vAlign w:val="center"/>
          </w:tcPr>
          <w:p>
            <w:pPr>
              <w:pStyle w:val="45"/>
              <w:spacing w:line="480" w:lineRule="exact"/>
            </w:pPr>
            <w:r>
              <w:rPr>
                <w:rFonts w:hint="eastAsia"/>
              </w:rPr>
              <w:t>电话</w:t>
            </w:r>
          </w:p>
        </w:tc>
        <w:tc>
          <w:tcPr>
            <w:tcW w:w="1262" w:type="dxa"/>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成立时间</w:t>
            </w:r>
          </w:p>
        </w:tc>
        <w:tc>
          <w:tcPr>
            <w:tcW w:w="2557" w:type="dxa"/>
            <w:gridSpan w:val="2"/>
            <w:vAlign w:val="center"/>
          </w:tcPr>
          <w:p>
            <w:pPr>
              <w:pStyle w:val="45"/>
              <w:spacing w:line="480" w:lineRule="exact"/>
            </w:pPr>
          </w:p>
        </w:tc>
        <w:tc>
          <w:tcPr>
            <w:tcW w:w="5629" w:type="dxa"/>
            <w:gridSpan w:val="5"/>
            <w:vAlign w:val="center"/>
          </w:tcPr>
          <w:p>
            <w:pPr>
              <w:pStyle w:val="45"/>
              <w:spacing w:line="480" w:lineRule="exact"/>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企业资质等级</w:t>
            </w:r>
          </w:p>
        </w:tc>
        <w:tc>
          <w:tcPr>
            <w:tcW w:w="2557" w:type="dxa"/>
            <w:gridSpan w:val="2"/>
            <w:vAlign w:val="center"/>
          </w:tcPr>
          <w:p>
            <w:pPr>
              <w:pStyle w:val="45"/>
              <w:spacing w:line="480" w:lineRule="exact"/>
            </w:pPr>
          </w:p>
        </w:tc>
        <w:tc>
          <w:tcPr>
            <w:tcW w:w="1455" w:type="dxa"/>
            <w:vMerge w:val="restart"/>
            <w:vAlign w:val="center"/>
          </w:tcPr>
          <w:p>
            <w:pPr>
              <w:pStyle w:val="45"/>
              <w:spacing w:line="480" w:lineRule="exact"/>
            </w:pPr>
            <w:r>
              <w:rPr>
                <w:rFonts w:hint="eastAsia"/>
              </w:rPr>
              <w:t>其中</w:t>
            </w:r>
          </w:p>
        </w:tc>
        <w:tc>
          <w:tcPr>
            <w:tcW w:w="1734" w:type="dxa"/>
            <w:gridSpan w:val="2"/>
            <w:vAlign w:val="center"/>
          </w:tcPr>
          <w:p>
            <w:pPr>
              <w:pStyle w:val="45"/>
              <w:spacing w:line="480" w:lineRule="exact"/>
            </w:pPr>
            <w:r>
              <w:rPr>
                <w:rFonts w:hint="eastAsia"/>
              </w:rPr>
              <w:t>项目经理</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营业执照号/统一社会信用代码</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高级职称人员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注册资金</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中级职称人员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开户银行</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初级职称人员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账号</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技工</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770" w:type="dxa"/>
            <w:vAlign w:val="center"/>
          </w:tcPr>
          <w:p>
            <w:pPr>
              <w:pStyle w:val="45"/>
              <w:spacing w:line="480" w:lineRule="exact"/>
            </w:pPr>
            <w:r>
              <w:rPr>
                <w:rFonts w:hint="eastAsia"/>
              </w:rPr>
              <w:t>经营范围</w:t>
            </w:r>
          </w:p>
        </w:tc>
        <w:tc>
          <w:tcPr>
            <w:tcW w:w="8186" w:type="dxa"/>
            <w:gridSpan w:val="7"/>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770" w:type="dxa"/>
            <w:vAlign w:val="center"/>
          </w:tcPr>
          <w:p>
            <w:pPr>
              <w:pStyle w:val="45"/>
              <w:spacing w:line="480" w:lineRule="exact"/>
            </w:pPr>
            <w:r>
              <w:rPr>
                <w:rFonts w:hint="eastAsia"/>
              </w:rPr>
              <w:t>备注</w:t>
            </w:r>
          </w:p>
        </w:tc>
        <w:tc>
          <w:tcPr>
            <w:tcW w:w="8186" w:type="dxa"/>
            <w:gridSpan w:val="7"/>
          </w:tcPr>
          <w:p>
            <w:pPr>
              <w:pStyle w:val="45"/>
              <w:spacing w:line="480" w:lineRule="exact"/>
            </w:pPr>
          </w:p>
        </w:tc>
      </w:tr>
    </w:tbl>
    <w:p>
      <w:pPr>
        <w:pStyle w:val="47"/>
        <w:ind w:firstLine="482"/>
      </w:pPr>
      <w:r>
        <w:rPr>
          <w:rFonts w:hint="eastAsia"/>
        </w:rPr>
        <w:t>注：①</w:t>
      </w:r>
      <w:r>
        <w:rPr>
          <w:rFonts w:hint="eastAsia" w:asciiTheme="minorEastAsia" w:hAnsiTheme="minorEastAsia" w:eastAsiaTheme="minorEastAsia" w:cstheme="minorEastAsia"/>
          <w:bCs/>
        </w:rPr>
        <w:t>事业单位、其他组织及自然人磋商根据实际情况据实填写此表，若未填报完善不影响磋商资质及效力；②空白项用“/”填写</w:t>
      </w:r>
      <w:r>
        <w:rPr>
          <w:rFonts w:hint="eastAsia"/>
        </w:rPr>
        <w:t>。</w:t>
      </w: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pPr>
        <w:pStyle w:val="43"/>
      </w:pPr>
    </w:p>
    <w:p>
      <w:pPr>
        <w:pStyle w:val="43"/>
      </w:pPr>
    </w:p>
    <w:p>
      <w:bookmarkStart w:id="326" w:name="_Toc25577"/>
      <w:bookmarkStart w:id="327" w:name="_Toc11461"/>
      <w:bookmarkStart w:id="328" w:name="_Toc217446087"/>
      <w:bookmarkStart w:id="329" w:name="_Toc307501130"/>
      <w:bookmarkStart w:id="330" w:name="_Toc21006"/>
      <w:bookmarkStart w:id="331" w:name="_Toc319440166"/>
      <w:bookmarkStart w:id="332" w:name="_Toc307564875"/>
      <w:bookmarkStart w:id="333" w:name="_Toc327196310"/>
      <w:bookmarkStart w:id="334" w:name="_Toc7835"/>
      <w:bookmarkStart w:id="335" w:name="_Toc26124"/>
      <w:bookmarkStart w:id="336" w:name="_Toc319440168"/>
      <w:bookmarkStart w:id="337" w:name="_Toc327196312"/>
      <w:bookmarkStart w:id="338" w:name="_Toc24507"/>
      <w:r>
        <w:rPr>
          <w:rFonts w:hint="eastAsia"/>
        </w:rPr>
        <w:br w:type="page"/>
      </w:r>
    </w:p>
    <w:p>
      <w:pPr>
        <w:pStyle w:val="44"/>
        <w:numPr>
          <w:ilvl w:val="0"/>
          <w:numId w:val="21"/>
        </w:numPr>
        <w:spacing w:before="120" w:after="120"/>
        <w:ind w:firstLine="0"/>
      </w:pPr>
      <w:bookmarkStart w:id="339" w:name="_Toc22186"/>
      <w:bookmarkStart w:id="340" w:name="_Toc30376"/>
      <w:r>
        <w:rPr>
          <w:rFonts w:hint="eastAsia"/>
        </w:rPr>
        <w:t>商务应答表</w:t>
      </w:r>
      <w:bookmarkEnd w:id="326"/>
      <w:bookmarkEnd w:id="327"/>
      <w:bookmarkEnd w:id="328"/>
      <w:bookmarkEnd w:id="329"/>
      <w:bookmarkEnd w:id="330"/>
      <w:bookmarkEnd w:id="331"/>
      <w:bookmarkEnd w:id="332"/>
      <w:bookmarkEnd w:id="333"/>
      <w:bookmarkEnd w:id="334"/>
      <w:bookmarkEnd w:id="339"/>
      <w:bookmarkEnd w:id="340"/>
    </w:p>
    <w:p>
      <w:pPr>
        <w:pStyle w:val="43"/>
        <w:rPr>
          <w:u w:val="single"/>
        </w:rPr>
      </w:pPr>
      <w:r>
        <w:rPr>
          <w:rFonts w:hint="eastAsia"/>
        </w:rPr>
        <w:t>项目名称：</w:t>
      </w:r>
      <w:r>
        <w:rPr>
          <w:rFonts w:hint="eastAsia"/>
          <w:u w:val="single"/>
        </w:rPr>
        <w:t xml:space="preserve">                             </w:t>
      </w:r>
      <w:r>
        <w:rPr>
          <w:rFonts w:hint="eastAsia"/>
        </w:rPr>
        <w:t xml:space="preserve"> </w:t>
      </w:r>
    </w:p>
    <w:p>
      <w:pPr>
        <w:pStyle w:val="43"/>
      </w:pPr>
      <w:r>
        <w:rPr>
          <w:rFonts w:hint="eastAsia"/>
        </w:rPr>
        <w:t>项目编号：</w:t>
      </w:r>
      <w:r>
        <w:rPr>
          <w:rFonts w:hint="eastAsia"/>
          <w:u w:val="single"/>
        </w:rPr>
        <w:t xml:space="preserve">                             </w:t>
      </w:r>
    </w:p>
    <w:tbl>
      <w:tblPr>
        <w:tblStyle w:val="23"/>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387"/>
        <w:gridCol w:w="357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1" w:type="dxa"/>
            <w:vAlign w:val="center"/>
          </w:tcPr>
          <w:p>
            <w:pPr>
              <w:wordWrap w:val="0"/>
              <w:topLinePunct/>
              <w:spacing w:line="360" w:lineRule="exact"/>
              <w:jc w:val="center"/>
              <w:rPr>
                <w:rFonts w:cs="宋体"/>
                <w:b/>
                <w:bCs/>
                <w:sz w:val="21"/>
              </w:rPr>
            </w:pPr>
            <w:r>
              <w:rPr>
                <w:rFonts w:hint="eastAsia" w:cs="宋体"/>
                <w:b/>
                <w:bCs/>
                <w:sz w:val="21"/>
              </w:rPr>
              <w:t>序号</w:t>
            </w:r>
          </w:p>
        </w:tc>
        <w:tc>
          <w:tcPr>
            <w:tcW w:w="4387" w:type="dxa"/>
            <w:vAlign w:val="center"/>
          </w:tcPr>
          <w:p>
            <w:pPr>
              <w:wordWrap w:val="0"/>
              <w:topLinePunct/>
              <w:spacing w:line="360" w:lineRule="exact"/>
              <w:jc w:val="center"/>
              <w:rPr>
                <w:rFonts w:cs="宋体"/>
                <w:b/>
                <w:bCs/>
                <w:sz w:val="21"/>
              </w:rPr>
            </w:pPr>
            <w:r>
              <w:rPr>
                <w:rFonts w:hint="eastAsia" w:cs="宋体"/>
                <w:b/>
                <w:bCs/>
                <w:sz w:val="21"/>
              </w:rPr>
              <w:t>竞争性磋商文件第五章商务要求，第八章采购合同</w:t>
            </w:r>
          </w:p>
        </w:tc>
        <w:tc>
          <w:tcPr>
            <w:tcW w:w="3574" w:type="dxa"/>
            <w:vAlign w:val="center"/>
          </w:tcPr>
          <w:p>
            <w:pPr>
              <w:wordWrap w:val="0"/>
              <w:topLinePunct/>
              <w:spacing w:line="360" w:lineRule="exact"/>
              <w:jc w:val="center"/>
              <w:rPr>
                <w:rFonts w:cs="宋体"/>
                <w:b/>
                <w:bCs/>
                <w:sz w:val="21"/>
              </w:rPr>
            </w:pPr>
            <w:r>
              <w:rPr>
                <w:rFonts w:hint="eastAsia" w:cs="宋体"/>
                <w:b/>
                <w:bCs/>
                <w:sz w:val="21"/>
              </w:rPr>
              <w:t>响应情况</w:t>
            </w:r>
          </w:p>
        </w:tc>
        <w:tc>
          <w:tcPr>
            <w:tcW w:w="1223" w:type="dxa"/>
            <w:vAlign w:val="center"/>
          </w:tcPr>
          <w:p>
            <w:pPr>
              <w:wordWrap w:val="0"/>
              <w:topLinePunct/>
              <w:spacing w:line="360" w:lineRule="exact"/>
              <w:jc w:val="center"/>
              <w:rPr>
                <w:rFonts w:cs="宋体"/>
                <w:b/>
                <w:bCs/>
                <w:sz w:val="21"/>
              </w:rPr>
            </w:pPr>
            <w:r>
              <w:rPr>
                <w:rFonts w:hint="eastAsia" w:cs="宋体"/>
                <w:b/>
                <w:bCs/>
                <w:sz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5" w:type="dxa"/>
            <w:gridSpan w:val="4"/>
          </w:tcPr>
          <w:p>
            <w:pPr>
              <w:wordWrap w:val="0"/>
              <w:topLinePunct/>
              <w:spacing w:line="360" w:lineRule="exact"/>
              <w:rPr>
                <w:rFonts w:cs="宋体"/>
                <w:b/>
                <w:bCs/>
                <w:sz w:val="21"/>
              </w:rPr>
            </w:pPr>
            <w:r>
              <w:rPr>
                <w:rFonts w:hint="eastAsia" w:cs="宋体"/>
                <w:sz w:val="21"/>
              </w:rPr>
              <w:t>我公司承诺</w:t>
            </w:r>
            <w:r>
              <w:rPr>
                <w:rFonts w:hint="eastAsia" w:cs="宋体"/>
                <w:sz w:val="21"/>
                <w:u w:val="single"/>
              </w:rPr>
              <w:t xml:space="preserve">       </w:t>
            </w:r>
            <w:r>
              <w:rPr>
                <w:rFonts w:hint="eastAsia" w:cs="宋体"/>
                <w:sz w:val="21"/>
              </w:rPr>
              <w:t>(响应/不响应)</w:t>
            </w:r>
            <w:r>
              <w:rPr>
                <w:rFonts w:hint="eastAsia" w:cs="宋体"/>
                <w:sz w:val="21"/>
                <w:szCs w:val="21"/>
              </w:rPr>
              <w:t>竞争性磋商文件第五章商务要求，第八章采购合同的所有条款，如有偏离的条款，均已在下方列出。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bl>
    <w:p>
      <w:pPr>
        <w:pStyle w:val="47"/>
        <w:spacing w:line="520" w:lineRule="exact"/>
        <w:ind w:firstLine="482"/>
        <w:rPr>
          <w:rFonts w:cs="宋体"/>
          <w:b w:val="0"/>
          <w:bCs/>
        </w:rPr>
      </w:pPr>
      <w:r>
        <w:rPr>
          <w:rFonts w:hint="eastAsia" w:cs="宋体"/>
        </w:rPr>
        <w:t>注：</w:t>
      </w:r>
      <w:r>
        <w:rPr>
          <w:rFonts w:hint="eastAsia" w:cs="宋体"/>
          <w:b w:val="0"/>
          <w:bCs/>
        </w:rPr>
        <w:t>①如与竞争性磋商文件第五章商务要求 ，第八章采购合同条款有偏离(包括正偏离和负偏离)，</w:t>
      </w:r>
      <w:r>
        <w:rPr>
          <w:rFonts w:hint="eastAsia" w:cs="宋体"/>
        </w:rPr>
        <w:t>请将偏离条款逐条应答</w:t>
      </w:r>
      <w:r>
        <w:rPr>
          <w:rFonts w:hint="eastAsia" w:cs="宋体"/>
          <w:b w:val="0"/>
          <w:bCs/>
        </w:rPr>
        <w:t>，未在此表中进行应答或未明确偏离的条款视为默认完全响应和接受，供应商不得以未作应答而拒不接受</w:t>
      </w:r>
      <w:r>
        <w:rPr>
          <w:rFonts w:hint="eastAsia"/>
        </w:rPr>
        <w:t>(要求提供承诺函或证明材料的条款，以供应商提供的承诺函内容或证明材料为准)</w:t>
      </w:r>
      <w:r>
        <w:rPr>
          <w:rFonts w:hint="eastAsia" w:cs="宋体"/>
          <w:b w:val="0"/>
          <w:bCs/>
        </w:rPr>
        <w:t>。</w:t>
      </w:r>
    </w:p>
    <w:p>
      <w:pPr>
        <w:pStyle w:val="47"/>
        <w:spacing w:line="520" w:lineRule="exact"/>
        <w:rPr>
          <w:rFonts w:cs="宋体"/>
          <w:b w:val="0"/>
          <w:bCs/>
        </w:rPr>
      </w:pPr>
      <w:r>
        <w:rPr>
          <w:rFonts w:hint="eastAsia" w:cs="宋体"/>
          <w:b w:val="0"/>
          <w:bCs/>
        </w:rPr>
        <w:t>②供应商必须据实填写有偏离的条款，不得虚假应答，否则将取消其成交资格。</w:t>
      </w:r>
    </w:p>
    <w:p>
      <w:pPr>
        <w:pStyle w:val="43"/>
        <w:ind w:firstLine="480" w:firstLineChars="200"/>
      </w:pPr>
      <w:r>
        <w:rPr>
          <w:rFonts w:hint="eastAsia" w:cs="宋体"/>
          <w:bCs/>
        </w:rPr>
        <w:t>③评审时如对供应商响应文件中商务应答的内容存在歧义的，可要求供应商进行澄清</w:t>
      </w:r>
      <w:r>
        <w:rPr>
          <w:rFonts w:hint="eastAsia"/>
        </w:rPr>
        <w:t>。</w:t>
      </w: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pPr>
        <w:pStyle w:val="43"/>
      </w:pPr>
      <w:r>
        <w:rPr>
          <w:rFonts w:hint="eastAsia"/>
        </w:rPr>
        <w:br w:type="page"/>
      </w:r>
    </w:p>
    <w:p>
      <w:pPr>
        <w:pStyle w:val="44"/>
        <w:numPr>
          <w:ilvl w:val="0"/>
          <w:numId w:val="21"/>
        </w:numPr>
        <w:spacing w:before="120" w:after="120"/>
        <w:ind w:firstLine="0"/>
      </w:pPr>
      <w:bookmarkStart w:id="341" w:name="_Toc11251"/>
      <w:bookmarkStart w:id="342" w:name="_Toc25122"/>
      <w:bookmarkStart w:id="343" w:name="_Toc2655"/>
      <w:bookmarkStart w:id="344" w:name="_Toc3995"/>
      <w:bookmarkStart w:id="345" w:name="_Toc23376"/>
      <w:r>
        <w:rPr>
          <w:rFonts w:hint="eastAsia"/>
        </w:rPr>
        <w:t>技术及服务应答表</w:t>
      </w:r>
      <w:bookmarkEnd w:id="341"/>
      <w:bookmarkEnd w:id="342"/>
      <w:bookmarkEnd w:id="343"/>
      <w:bookmarkEnd w:id="344"/>
      <w:bookmarkEnd w:id="345"/>
    </w:p>
    <w:p>
      <w:pPr>
        <w:pStyle w:val="43"/>
      </w:pPr>
      <w:r>
        <w:rPr>
          <w:rFonts w:hint="eastAsia"/>
        </w:rPr>
        <w:t>项目名称：</w:t>
      </w:r>
      <w:r>
        <w:rPr>
          <w:rFonts w:hint="eastAsia"/>
          <w:u w:val="single"/>
        </w:rPr>
        <w:t xml:space="preserve">                        </w:t>
      </w:r>
      <w:r>
        <w:rPr>
          <w:rFonts w:hint="eastAsia"/>
        </w:rPr>
        <w:t xml:space="preserve">      </w:t>
      </w:r>
    </w:p>
    <w:p>
      <w:pPr>
        <w:pStyle w:val="43"/>
        <w:rPr>
          <w:u w:val="single"/>
        </w:rPr>
      </w:pPr>
      <w:r>
        <w:rPr>
          <w:rFonts w:hint="eastAsia"/>
        </w:rPr>
        <w:t>项目编号：</w:t>
      </w:r>
      <w:r>
        <w:rPr>
          <w:rFonts w:hint="eastAsia"/>
          <w:u w:val="single"/>
        </w:rPr>
        <w:t xml:space="preserve">                        </w:t>
      </w:r>
    </w:p>
    <w:tbl>
      <w:tblPr>
        <w:tblStyle w:val="23"/>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061"/>
        <w:gridCol w:w="390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1" w:type="dxa"/>
            <w:vAlign w:val="center"/>
          </w:tcPr>
          <w:p>
            <w:pPr>
              <w:wordWrap w:val="0"/>
              <w:topLinePunct/>
              <w:spacing w:line="360" w:lineRule="exact"/>
              <w:jc w:val="center"/>
              <w:rPr>
                <w:rFonts w:cs="宋体"/>
                <w:b/>
                <w:bCs/>
                <w:sz w:val="21"/>
              </w:rPr>
            </w:pPr>
            <w:r>
              <w:rPr>
                <w:rFonts w:hint="eastAsia" w:cs="宋体"/>
                <w:b/>
                <w:bCs/>
                <w:sz w:val="21"/>
              </w:rPr>
              <w:t>序号</w:t>
            </w:r>
          </w:p>
        </w:tc>
        <w:tc>
          <w:tcPr>
            <w:tcW w:w="4061" w:type="dxa"/>
            <w:vAlign w:val="center"/>
          </w:tcPr>
          <w:p>
            <w:pPr>
              <w:wordWrap w:val="0"/>
              <w:topLinePunct/>
              <w:spacing w:line="360" w:lineRule="exact"/>
              <w:jc w:val="center"/>
              <w:rPr>
                <w:rFonts w:cs="宋体"/>
                <w:b/>
                <w:bCs/>
                <w:sz w:val="21"/>
              </w:rPr>
            </w:pPr>
            <w:r>
              <w:rPr>
                <w:rFonts w:hint="eastAsia" w:cs="宋体"/>
                <w:b/>
                <w:bCs/>
                <w:sz w:val="21"/>
              </w:rPr>
              <w:t>竞争性磋商文件第五章技术及服务要求</w:t>
            </w:r>
          </w:p>
        </w:tc>
        <w:tc>
          <w:tcPr>
            <w:tcW w:w="3900" w:type="dxa"/>
            <w:vAlign w:val="center"/>
          </w:tcPr>
          <w:p>
            <w:pPr>
              <w:wordWrap w:val="0"/>
              <w:topLinePunct/>
              <w:spacing w:line="360" w:lineRule="exact"/>
              <w:jc w:val="center"/>
              <w:rPr>
                <w:rFonts w:cs="宋体"/>
                <w:b/>
                <w:bCs/>
                <w:sz w:val="21"/>
              </w:rPr>
            </w:pPr>
            <w:r>
              <w:rPr>
                <w:rFonts w:hint="eastAsia" w:cs="宋体"/>
                <w:b/>
                <w:bCs/>
                <w:sz w:val="21"/>
              </w:rPr>
              <w:t>响应情况</w:t>
            </w:r>
          </w:p>
        </w:tc>
        <w:tc>
          <w:tcPr>
            <w:tcW w:w="1223" w:type="dxa"/>
            <w:vAlign w:val="center"/>
          </w:tcPr>
          <w:p>
            <w:pPr>
              <w:wordWrap w:val="0"/>
              <w:topLinePunct/>
              <w:spacing w:line="360" w:lineRule="exact"/>
              <w:jc w:val="center"/>
              <w:rPr>
                <w:rFonts w:cs="宋体"/>
                <w:b/>
                <w:bCs/>
                <w:sz w:val="21"/>
              </w:rPr>
            </w:pPr>
            <w:r>
              <w:rPr>
                <w:rFonts w:hint="eastAsia" w:cs="宋体"/>
                <w:b/>
                <w:bCs/>
                <w:sz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5" w:type="dxa"/>
            <w:gridSpan w:val="4"/>
          </w:tcPr>
          <w:p>
            <w:pPr>
              <w:wordWrap w:val="0"/>
              <w:topLinePunct/>
              <w:spacing w:line="360" w:lineRule="exact"/>
              <w:rPr>
                <w:rFonts w:cs="宋体"/>
                <w:b/>
                <w:bCs/>
                <w:sz w:val="21"/>
              </w:rPr>
            </w:pPr>
            <w:r>
              <w:rPr>
                <w:rFonts w:hint="eastAsia" w:cs="宋体"/>
                <w:sz w:val="21"/>
              </w:rPr>
              <w:t>我公司承诺</w:t>
            </w:r>
            <w:r>
              <w:rPr>
                <w:rFonts w:hint="eastAsia" w:cs="宋体"/>
                <w:sz w:val="21"/>
                <w:u w:val="single"/>
              </w:rPr>
              <w:t xml:space="preserve">       </w:t>
            </w:r>
            <w:r>
              <w:rPr>
                <w:rFonts w:hint="eastAsia" w:cs="宋体"/>
                <w:sz w:val="21"/>
              </w:rPr>
              <w:t>(响应/不响应)</w:t>
            </w:r>
            <w:r>
              <w:rPr>
                <w:rFonts w:hint="eastAsia" w:cs="宋体"/>
                <w:sz w:val="21"/>
                <w:szCs w:val="21"/>
              </w:rPr>
              <w:t>竞争性磋商文件第五章</w:t>
            </w:r>
            <w:r>
              <w:rPr>
                <w:rFonts w:hint="eastAsia" w:cs="宋体"/>
                <w:b/>
                <w:bCs/>
                <w:sz w:val="21"/>
              </w:rPr>
              <w:t>技术及服务要求</w:t>
            </w:r>
            <w:r>
              <w:rPr>
                <w:rFonts w:hint="eastAsia" w:cs="宋体"/>
                <w:sz w:val="21"/>
                <w:szCs w:val="21"/>
              </w:rPr>
              <w:t>的所有条款，如有偏离的条款，均已在下方列出。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bl>
    <w:p>
      <w:pPr>
        <w:wordWrap w:val="0"/>
        <w:topLinePunct/>
        <w:spacing w:line="520" w:lineRule="exact"/>
        <w:ind w:firstLine="482" w:firstLineChars="200"/>
        <w:rPr>
          <w:rFonts w:cs="宋体"/>
          <w:bCs/>
          <w:snapToGrid w:val="0"/>
        </w:rPr>
      </w:pPr>
      <w:r>
        <w:rPr>
          <w:rFonts w:hint="eastAsia" w:cs="宋体"/>
          <w:b/>
          <w:snapToGrid w:val="0"/>
        </w:rPr>
        <w:t>注：</w:t>
      </w:r>
      <w:r>
        <w:rPr>
          <w:rFonts w:hint="eastAsia" w:cs="宋体"/>
          <w:bCs/>
          <w:snapToGrid w:val="0"/>
        </w:rPr>
        <w:t>①供应商必须据实填写有偏离的条款，不得虚假应答，否则将取消其成交资格。</w:t>
      </w:r>
    </w:p>
    <w:p>
      <w:pPr>
        <w:wordWrap w:val="0"/>
        <w:topLinePunct/>
        <w:spacing w:line="520" w:lineRule="exact"/>
        <w:ind w:firstLine="480" w:firstLineChars="200"/>
        <w:rPr>
          <w:rFonts w:cs="宋体"/>
          <w:bCs/>
          <w:snapToGrid w:val="0"/>
        </w:rPr>
      </w:pPr>
      <w:r>
        <w:rPr>
          <w:rFonts w:hint="eastAsia" w:cs="宋体"/>
          <w:bCs/>
          <w:snapToGrid w:val="0"/>
        </w:rPr>
        <w:t>②如与竞争性磋商文件第五章技术及服务要求的条款内容有偏离(包括正偏离和负偏离)，</w:t>
      </w:r>
      <w:r>
        <w:rPr>
          <w:rFonts w:hint="eastAsia" w:cs="宋体"/>
          <w:b/>
          <w:snapToGrid w:val="0"/>
        </w:rPr>
        <w:t>请将偏离条款逐条应答</w:t>
      </w:r>
      <w:r>
        <w:rPr>
          <w:rFonts w:hint="eastAsia" w:cs="宋体"/>
          <w:bCs/>
          <w:snapToGrid w:val="0"/>
        </w:rPr>
        <w:t>，未在此表中进行应答或未明确偏离的条款视为默认完全响应和接受，供应商不得以未作应答而拒不接受</w:t>
      </w:r>
      <w:r>
        <w:rPr>
          <w:rFonts w:hint="eastAsia"/>
          <w:b/>
          <w:snapToGrid w:val="0"/>
        </w:rPr>
        <w:t>(要求提供承诺函或证明材料的条款，以供应商提供的承诺函内容或证明材料为准)</w:t>
      </w:r>
      <w:r>
        <w:rPr>
          <w:rFonts w:hint="eastAsia" w:cs="宋体"/>
          <w:bCs/>
          <w:snapToGrid w:val="0"/>
        </w:rPr>
        <w:t>。</w:t>
      </w:r>
    </w:p>
    <w:p>
      <w:pPr>
        <w:pStyle w:val="47"/>
        <w:ind w:firstLine="482"/>
      </w:pPr>
      <w:r>
        <w:rPr>
          <w:rFonts w:hint="eastAsia" w:cs="宋体"/>
          <w:bCs/>
        </w:rPr>
        <w:t>③评审时如对供应商响应文件中服务应答的内容存在歧义的，可要求供应商进行澄清</w:t>
      </w:r>
      <w:r>
        <w:rPr>
          <w:rFonts w:hint="eastAsia"/>
        </w:rPr>
        <w:t>。</w:t>
      </w:r>
    </w:p>
    <w:p>
      <w:pPr>
        <w:pStyle w:val="43"/>
      </w:pP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p>
    <w:p>
      <w:pPr>
        <w:pStyle w:val="43"/>
      </w:pPr>
      <w:r>
        <w:rPr>
          <w:rFonts w:hint="eastAsia"/>
        </w:rPr>
        <w:br w:type="page"/>
      </w:r>
    </w:p>
    <w:bookmarkEnd w:id="335"/>
    <w:bookmarkEnd w:id="336"/>
    <w:bookmarkEnd w:id="337"/>
    <w:p>
      <w:pPr>
        <w:pStyle w:val="44"/>
        <w:numPr>
          <w:ilvl w:val="0"/>
          <w:numId w:val="21"/>
        </w:numPr>
        <w:spacing w:before="120" w:after="120"/>
        <w:ind w:firstLine="0"/>
      </w:pPr>
      <w:bookmarkStart w:id="346" w:name="_Toc3835"/>
      <w:bookmarkStart w:id="347" w:name="_Toc11925"/>
      <w:bookmarkStart w:id="348" w:name="_Toc23430"/>
      <w:bookmarkStart w:id="349" w:name="_Toc26522"/>
      <w:r>
        <w:rPr>
          <w:rFonts w:hint="eastAsia"/>
        </w:rPr>
        <w:t>供应商针对本项目人员配置情况表</w:t>
      </w:r>
      <w:bookmarkEnd w:id="346"/>
      <w:bookmarkEnd w:id="347"/>
    </w:p>
    <w:p>
      <w:pPr>
        <w:pStyle w:val="43"/>
      </w:pPr>
      <w:r>
        <w:rPr>
          <w:rFonts w:hint="eastAsia"/>
        </w:rPr>
        <w:t>项目名称：</w:t>
      </w:r>
      <w:r>
        <w:rPr>
          <w:rFonts w:hint="eastAsia"/>
          <w:u w:val="single"/>
        </w:rPr>
        <w:t xml:space="preserve">                              </w:t>
      </w:r>
    </w:p>
    <w:p>
      <w:pPr>
        <w:pStyle w:val="43"/>
        <w:rPr>
          <w:u w:val="single"/>
        </w:rPr>
      </w:pPr>
      <w:r>
        <w:rPr>
          <w:rFonts w:hint="eastAsia"/>
        </w:rPr>
        <w:t>项目编号：</w:t>
      </w:r>
      <w:r>
        <w:rPr>
          <w:rFonts w:hint="eastAsia"/>
          <w:u w:val="single"/>
        </w:rPr>
        <w:t xml:space="preserve">                              </w:t>
      </w:r>
    </w:p>
    <w:tbl>
      <w:tblPr>
        <w:tblStyle w:val="23"/>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8"/>
        <w:gridCol w:w="921"/>
        <w:gridCol w:w="923"/>
        <w:gridCol w:w="922"/>
        <w:gridCol w:w="1436"/>
        <w:gridCol w:w="1022"/>
        <w:gridCol w:w="123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restart"/>
            <w:vAlign w:val="center"/>
          </w:tcPr>
          <w:p>
            <w:pPr>
              <w:pStyle w:val="45"/>
              <w:rPr>
                <w:b/>
                <w:bCs/>
              </w:rPr>
            </w:pPr>
            <w:r>
              <w:rPr>
                <w:rFonts w:hint="eastAsia"/>
                <w:b/>
                <w:bCs/>
              </w:rPr>
              <w:t>类别</w:t>
            </w:r>
          </w:p>
        </w:tc>
        <w:tc>
          <w:tcPr>
            <w:tcW w:w="1018" w:type="dxa"/>
            <w:vMerge w:val="restart"/>
            <w:vAlign w:val="center"/>
          </w:tcPr>
          <w:p>
            <w:pPr>
              <w:pStyle w:val="45"/>
              <w:rPr>
                <w:b/>
                <w:bCs/>
              </w:rPr>
            </w:pPr>
            <w:r>
              <w:rPr>
                <w:rFonts w:hint="eastAsia"/>
                <w:b/>
                <w:bCs/>
              </w:rPr>
              <w:t>职务</w:t>
            </w:r>
          </w:p>
          <w:p>
            <w:pPr>
              <w:pStyle w:val="45"/>
              <w:rPr>
                <w:b/>
                <w:bCs/>
              </w:rPr>
            </w:pPr>
            <w:r>
              <w:rPr>
                <w:rFonts w:hint="eastAsia"/>
                <w:b/>
                <w:bCs/>
              </w:rPr>
              <w:t>(岗位)</w:t>
            </w:r>
          </w:p>
        </w:tc>
        <w:tc>
          <w:tcPr>
            <w:tcW w:w="921" w:type="dxa"/>
            <w:vMerge w:val="restart"/>
            <w:vAlign w:val="center"/>
          </w:tcPr>
          <w:p>
            <w:pPr>
              <w:pStyle w:val="45"/>
              <w:rPr>
                <w:b/>
                <w:bCs/>
              </w:rPr>
            </w:pPr>
            <w:r>
              <w:rPr>
                <w:rFonts w:hint="eastAsia"/>
                <w:b/>
                <w:bCs/>
              </w:rPr>
              <w:t>姓名</w:t>
            </w:r>
          </w:p>
        </w:tc>
        <w:tc>
          <w:tcPr>
            <w:tcW w:w="923" w:type="dxa"/>
            <w:vMerge w:val="restart"/>
            <w:vAlign w:val="center"/>
          </w:tcPr>
          <w:p>
            <w:pPr>
              <w:pStyle w:val="45"/>
              <w:rPr>
                <w:b/>
                <w:bCs/>
              </w:rPr>
            </w:pPr>
            <w:r>
              <w:rPr>
                <w:rFonts w:hint="eastAsia"/>
                <w:b/>
                <w:bCs/>
              </w:rPr>
              <w:t>职称</w:t>
            </w:r>
          </w:p>
        </w:tc>
        <w:tc>
          <w:tcPr>
            <w:tcW w:w="922" w:type="dxa"/>
            <w:vMerge w:val="restart"/>
            <w:vAlign w:val="center"/>
          </w:tcPr>
          <w:p>
            <w:pPr>
              <w:pStyle w:val="45"/>
              <w:rPr>
                <w:b/>
                <w:bCs/>
              </w:rPr>
            </w:pPr>
            <w:r>
              <w:rPr>
                <w:rFonts w:hint="eastAsia"/>
                <w:b/>
                <w:bCs/>
              </w:rPr>
              <w:t>常住地</w:t>
            </w:r>
          </w:p>
        </w:tc>
        <w:tc>
          <w:tcPr>
            <w:tcW w:w="4919" w:type="dxa"/>
            <w:gridSpan w:val="4"/>
            <w:vAlign w:val="center"/>
          </w:tcPr>
          <w:p>
            <w:pPr>
              <w:pStyle w:val="45"/>
              <w:rPr>
                <w:b/>
                <w:bCs/>
              </w:rPr>
            </w:pPr>
            <w:r>
              <w:rPr>
                <w:rFonts w:hint="eastAsia"/>
                <w:b/>
                <w:bCs/>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continue"/>
            <w:vAlign w:val="center"/>
          </w:tcPr>
          <w:p>
            <w:pPr>
              <w:pStyle w:val="45"/>
              <w:rPr>
                <w:b/>
                <w:bCs/>
              </w:rPr>
            </w:pPr>
          </w:p>
        </w:tc>
        <w:tc>
          <w:tcPr>
            <w:tcW w:w="1018" w:type="dxa"/>
            <w:vMerge w:val="continue"/>
            <w:vAlign w:val="center"/>
          </w:tcPr>
          <w:p>
            <w:pPr>
              <w:pStyle w:val="45"/>
              <w:rPr>
                <w:b/>
                <w:bCs/>
              </w:rPr>
            </w:pPr>
          </w:p>
        </w:tc>
        <w:tc>
          <w:tcPr>
            <w:tcW w:w="921" w:type="dxa"/>
            <w:vMerge w:val="continue"/>
            <w:vAlign w:val="center"/>
          </w:tcPr>
          <w:p>
            <w:pPr>
              <w:pStyle w:val="45"/>
              <w:rPr>
                <w:b/>
                <w:bCs/>
              </w:rPr>
            </w:pPr>
          </w:p>
        </w:tc>
        <w:tc>
          <w:tcPr>
            <w:tcW w:w="923" w:type="dxa"/>
            <w:vMerge w:val="continue"/>
            <w:vAlign w:val="center"/>
          </w:tcPr>
          <w:p>
            <w:pPr>
              <w:pStyle w:val="45"/>
              <w:rPr>
                <w:b/>
                <w:bCs/>
              </w:rPr>
            </w:pPr>
          </w:p>
        </w:tc>
        <w:tc>
          <w:tcPr>
            <w:tcW w:w="922" w:type="dxa"/>
            <w:vMerge w:val="continue"/>
            <w:vAlign w:val="center"/>
          </w:tcPr>
          <w:p>
            <w:pPr>
              <w:pStyle w:val="45"/>
              <w:rPr>
                <w:b/>
                <w:bCs/>
              </w:rPr>
            </w:pPr>
          </w:p>
        </w:tc>
        <w:tc>
          <w:tcPr>
            <w:tcW w:w="1436" w:type="dxa"/>
            <w:vAlign w:val="center"/>
          </w:tcPr>
          <w:p>
            <w:pPr>
              <w:pStyle w:val="45"/>
              <w:rPr>
                <w:b/>
                <w:bCs/>
              </w:rPr>
            </w:pPr>
            <w:r>
              <w:rPr>
                <w:rFonts w:hint="eastAsia"/>
                <w:b/>
                <w:bCs/>
              </w:rPr>
              <w:t>证书名称</w:t>
            </w:r>
          </w:p>
        </w:tc>
        <w:tc>
          <w:tcPr>
            <w:tcW w:w="1022" w:type="dxa"/>
            <w:vAlign w:val="center"/>
          </w:tcPr>
          <w:p>
            <w:pPr>
              <w:pStyle w:val="45"/>
              <w:rPr>
                <w:b/>
                <w:bCs/>
              </w:rPr>
            </w:pPr>
            <w:r>
              <w:rPr>
                <w:rFonts w:hint="eastAsia"/>
                <w:b/>
                <w:bCs/>
              </w:rPr>
              <w:t>级别</w:t>
            </w:r>
          </w:p>
        </w:tc>
        <w:tc>
          <w:tcPr>
            <w:tcW w:w="1232" w:type="dxa"/>
            <w:vAlign w:val="center"/>
          </w:tcPr>
          <w:p>
            <w:pPr>
              <w:pStyle w:val="45"/>
              <w:rPr>
                <w:b/>
                <w:bCs/>
              </w:rPr>
            </w:pPr>
            <w:r>
              <w:rPr>
                <w:rFonts w:hint="eastAsia"/>
                <w:b/>
                <w:bCs/>
              </w:rPr>
              <w:t>证号</w:t>
            </w:r>
          </w:p>
        </w:tc>
        <w:tc>
          <w:tcPr>
            <w:tcW w:w="1229" w:type="dxa"/>
            <w:vAlign w:val="center"/>
          </w:tcPr>
          <w:p>
            <w:pPr>
              <w:pStyle w:val="45"/>
              <w:rPr>
                <w:b/>
                <w:bCs/>
              </w:rPr>
            </w:pPr>
            <w:r>
              <w:rPr>
                <w:rFonts w:hint="eastAsia"/>
                <w:b/>
                <w:bCs/>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bl>
    <w:p>
      <w:pPr>
        <w:pStyle w:val="47"/>
        <w:ind w:firstLine="482"/>
      </w:pPr>
      <w:r>
        <w:rPr>
          <w:rFonts w:hint="eastAsia"/>
        </w:rPr>
        <w:t>注：供应商根据自身实际情况调整填写，对不涉及的内容可填写“/”。</w:t>
      </w: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u w:val="single"/>
        </w:rPr>
        <w:t xml:space="preserve">            </w:t>
      </w:r>
    </w:p>
    <w:p>
      <w:pPr>
        <w:pStyle w:val="44"/>
        <w:numPr>
          <w:ilvl w:val="0"/>
          <w:numId w:val="21"/>
        </w:numPr>
        <w:spacing w:before="120" w:after="120"/>
        <w:ind w:firstLine="0"/>
      </w:pPr>
      <w:bookmarkStart w:id="350" w:name="_Toc6463"/>
      <w:bookmarkStart w:id="351" w:name="_Toc26988"/>
      <w:bookmarkStart w:id="352" w:name="_Toc26451"/>
      <w:bookmarkStart w:id="353" w:name="_Toc6378"/>
      <w:r>
        <w:rPr>
          <w:rFonts w:hint="eastAsia"/>
        </w:rPr>
        <w:t>小微企业、监狱企业、残疾人福利性单位价格扣除</w:t>
      </w:r>
      <w:bookmarkEnd w:id="350"/>
      <w:bookmarkEnd w:id="351"/>
      <w:bookmarkEnd w:id="352"/>
      <w:bookmarkEnd w:id="353"/>
    </w:p>
    <w:p>
      <w:pPr>
        <w:pStyle w:val="44"/>
        <w:pageBreakBefore w:val="0"/>
        <w:spacing w:before="120" w:after="120"/>
        <w:outlineLvl w:val="3"/>
      </w:pPr>
      <w:bookmarkStart w:id="354" w:name="_Toc17061"/>
      <w:bookmarkStart w:id="355" w:name="_Toc3833"/>
      <w:r>
        <w:rPr>
          <w:rFonts w:hint="eastAsia"/>
        </w:rPr>
        <w:t>(一)中小企业声明函</w:t>
      </w:r>
      <w:bookmarkEnd w:id="354"/>
      <w:bookmarkEnd w:id="355"/>
    </w:p>
    <w:p>
      <w:pPr>
        <w:pStyle w:val="47"/>
        <w:rPr>
          <w:b w:val="0"/>
          <w:bCs/>
        </w:rPr>
      </w:pPr>
      <w:r>
        <w:rPr>
          <w:rFonts w:hint="eastAsia"/>
          <w:b w:val="0"/>
          <w:bCs/>
        </w:rPr>
        <w:t>本公司郑重声明，参照《政府采购促进中小企业发展管理办法》(财库〔2020〕46号)的规定，本公司参加</w:t>
      </w:r>
      <w:r>
        <w:rPr>
          <w:rFonts w:hint="eastAsia"/>
          <w:b w:val="0"/>
          <w:bCs/>
          <w:u w:val="single"/>
        </w:rPr>
        <w:t>(单位名称)</w:t>
      </w:r>
      <w:r>
        <w:rPr>
          <w:rFonts w:hint="eastAsia"/>
          <w:b w:val="0"/>
          <w:bCs/>
        </w:rPr>
        <w:t>的</w:t>
      </w:r>
      <w:r>
        <w:rPr>
          <w:rFonts w:hint="eastAsia"/>
          <w:b w:val="0"/>
          <w:bCs/>
          <w:u w:val="single"/>
        </w:rPr>
        <w:t>(项目名称)</w:t>
      </w:r>
      <w:r>
        <w:rPr>
          <w:rFonts w:hint="eastAsia"/>
          <w:b w:val="0"/>
          <w:bCs/>
        </w:rPr>
        <w:t>采购活动，服务全部由符合政策要求的中小企业承接。相关企业的具体情况如下：</w:t>
      </w:r>
    </w:p>
    <w:p>
      <w:pPr>
        <w:pStyle w:val="47"/>
        <w:rPr>
          <w:b w:val="0"/>
          <w:bCs/>
        </w:rPr>
      </w:pPr>
      <w:r>
        <w:rPr>
          <w:rFonts w:hint="eastAsia"/>
          <w:b w:val="0"/>
          <w:bCs/>
          <w:u w:val="single"/>
        </w:rPr>
        <w:t>(标的名称)</w:t>
      </w:r>
      <w:r>
        <w:rPr>
          <w:rFonts w:hint="eastAsia"/>
          <w:b w:val="0"/>
          <w:bCs/>
        </w:rPr>
        <w:t>，属于</w:t>
      </w:r>
      <w:r>
        <w:rPr>
          <w:rFonts w:hint="eastAsia"/>
          <w:b w:val="0"/>
          <w:bCs/>
          <w:u w:val="single"/>
        </w:rPr>
        <w:t>(采购文件中明确的所属行业)</w:t>
      </w:r>
      <w:r>
        <w:rPr>
          <w:rFonts w:hint="eastAsia"/>
          <w:b w:val="0"/>
          <w:bCs/>
        </w:rPr>
        <w:t>；承接企业为</w:t>
      </w:r>
      <w:r>
        <w:rPr>
          <w:rFonts w:hint="eastAsia"/>
          <w:b w:val="0"/>
          <w:bCs/>
          <w:u w:val="single"/>
        </w:rPr>
        <w:t>(企业名称)</w:t>
      </w:r>
      <w:r>
        <w:rPr>
          <w:rFonts w:hint="eastAsia"/>
          <w:b w:val="0"/>
          <w:bCs/>
        </w:rPr>
        <w:t>，从业人员</w:t>
      </w:r>
      <w:r>
        <w:rPr>
          <w:rFonts w:hint="eastAsia"/>
          <w:b w:val="0"/>
          <w:bCs/>
          <w:u w:val="single"/>
        </w:rPr>
        <w:t xml:space="preserve">    </w:t>
      </w:r>
      <w:r>
        <w:rPr>
          <w:rFonts w:hint="eastAsia"/>
          <w:b w:val="0"/>
          <w:bCs/>
        </w:rPr>
        <w:t>人，营业收入为</w:t>
      </w:r>
      <w:r>
        <w:rPr>
          <w:rFonts w:hint="eastAsia"/>
          <w:b w:val="0"/>
          <w:bCs/>
          <w:u w:val="single"/>
        </w:rPr>
        <w:t xml:space="preserve">    </w:t>
      </w:r>
      <w:r>
        <w:rPr>
          <w:rFonts w:hint="eastAsia"/>
          <w:b w:val="0"/>
          <w:bCs/>
        </w:rPr>
        <w:tab/>
      </w:r>
      <w:r>
        <w:rPr>
          <w:rFonts w:hint="eastAsia"/>
          <w:b w:val="0"/>
          <w:bCs/>
        </w:rPr>
        <w:t>万元，资产总额为</w:t>
      </w:r>
      <w:r>
        <w:rPr>
          <w:rFonts w:hint="eastAsia"/>
          <w:b w:val="0"/>
          <w:bCs/>
          <w:u w:val="single"/>
        </w:rPr>
        <w:t xml:space="preserve">    </w:t>
      </w:r>
      <w:r>
        <w:rPr>
          <w:rFonts w:hint="eastAsia"/>
          <w:b w:val="0"/>
          <w:bCs/>
        </w:rPr>
        <w:t>万元，属于</w:t>
      </w:r>
      <w:r>
        <w:rPr>
          <w:rFonts w:hint="eastAsia"/>
          <w:b w:val="0"/>
          <w:bCs/>
          <w:u w:val="single"/>
        </w:rPr>
        <w:t>(中型企业、小型企业、微型企业)</w:t>
      </w:r>
      <w:r>
        <w:rPr>
          <w:rFonts w:hint="eastAsia"/>
          <w:b w:val="0"/>
          <w:bCs/>
        </w:rPr>
        <w:t>；</w:t>
      </w:r>
    </w:p>
    <w:p>
      <w:pPr>
        <w:pStyle w:val="47"/>
        <w:rPr>
          <w:b w:val="0"/>
          <w:bCs/>
        </w:rPr>
      </w:pPr>
      <w:r>
        <w:rPr>
          <w:rFonts w:hint="eastAsia"/>
          <w:b w:val="0"/>
          <w:bCs/>
          <w:u w:val="single"/>
        </w:rPr>
        <w:t>(标的名称)</w:t>
      </w:r>
      <w:r>
        <w:rPr>
          <w:rFonts w:hint="eastAsia"/>
          <w:b w:val="0"/>
          <w:bCs/>
        </w:rPr>
        <w:t>，属于</w:t>
      </w:r>
      <w:r>
        <w:rPr>
          <w:rFonts w:hint="eastAsia"/>
          <w:b w:val="0"/>
          <w:bCs/>
          <w:u w:val="single"/>
        </w:rPr>
        <w:t>(采购文件中明确的所属行业)</w:t>
      </w:r>
      <w:r>
        <w:rPr>
          <w:rFonts w:hint="eastAsia"/>
          <w:b w:val="0"/>
          <w:bCs/>
        </w:rPr>
        <w:t>；承接企业为</w:t>
      </w:r>
      <w:r>
        <w:rPr>
          <w:rFonts w:hint="eastAsia"/>
          <w:b w:val="0"/>
          <w:bCs/>
          <w:u w:val="single"/>
        </w:rPr>
        <w:t>(企业名称)</w:t>
      </w:r>
      <w:r>
        <w:rPr>
          <w:rFonts w:hint="eastAsia"/>
          <w:b w:val="0"/>
          <w:bCs/>
        </w:rPr>
        <w:t>，从业人员</w:t>
      </w:r>
      <w:r>
        <w:rPr>
          <w:rFonts w:hint="eastAsia"/>
          <w:b w:val="0"/>
          <w:bCs/>
          <w:u w:val="single"/>
        </w:rPr>
        <w:t xml:space="preserve">    </w:t>
      </w:r>
      <w:r>
        <w:rPr>
          <w:rFonts w:hint="eastAsia"/>
          <w:b w:val="0"/>
          <w:bCs/>
        </w:rPr>
        <w:tab/>
      </w:r>
      <w:r>
        <w:rPr>
          <w:rFonts w:hint="eastAsia"/>
          <w:b w:val="0"/>
          <w:bCs/>
        </w:rPr>
        <w:t>人，营业收入为</w:t>
      </w:r>
      <w:r>
        <w:rPr>
          <w:rFonts w:hint="eastAsia"/>
          <w:b w:val="0"/>
          <w:bCs/>
          <w:u w:val="single"/>
        </w:rPr>
        <w:t xml:space="preserve">    </w:t>
      </w:r>
      <w:r>
        <w:rPr>
          <w:rFonts w:hint="eastAsia"/>
          <w:b w:val="0"/>
          <w:bCs/>
        </w:rPr>
        <w:tab/>
      </w:r>
      <w:r>
        <w:rPr>
          <w:rFonts w:hint="eastAsia"/>
          <w:b w:val="0"/>
          <w:bCs/>
        </w:rPr>
        <w:t>万元，资产总额为</w:t>
      </w:r>
      <w:r>
        <w:rPr>
          <w:rFonts w:hint="eastAsia"/>
          <w:b w:val="0"/>
          <w:bCs/>
          <w:u w:val="single"/>
        </w:rPr>
        <w:t xml:space="preserve">    </w:t>
      </w:r>
      <w:r>
        <w:rPr>
          <w:rFonts w:hint="eastAsia"/>
          <w:b w:val="0"/>
          <w:bCs/>
        </w:rPr>
        <w:tab/>
      </w:r>
      <w:r>
        <w:rPr>
          <w:rFonts w:hint="eastAsia"/>
          <w:b w:val="0"/>
          <w:bCs/>
        </w:rPr>
        <w:t>万元，属于</w:t>
      </w:r>
      <w:r>
        <w:rPr>
          <w:rFonts w:hint="eastAsia"/>
          <w:b w:val="0"/>
          <w:bCs/>
          <w:u w:val="single"/>
        </w:rPr>
        <w:t>(中型企业、小型企业、微型企业)</w:t>
      </w:r>
      <w:r>
        <w:rPr>
          <w:rFonts w:hint="eastAsia"/>
          <w:b w:val="0"/>
          <w:bCs/>
        </w:rPr>
        <w:t>；</w:t>
      </w:r>
    </w:p>
    <w:p>
      <w:pPr>
        <w:pStyle w:val="47"/>
        <w:rPr>
          <w:b w:val="0"/>
          <w:bCs/>
        </w:rPr>
      </w:pPr>
      <w:r>
        <w:rPr>
          <w:rFonts w:hint="eastAsia"/>
          <w:b w:val="0"/>
          <w:bCs/>
        </w:rPr>
        <w:t>……</w:t>
      </w:r>
    </w:p>
    <w:p>
      <w:pPr>
        <w:pStyle w:val="47"/>
        <w:rPr>
          <w:b w:val="0"/>
          <w:bCs/>
        </w:rPr>
      </w:pPr>
      <w:r>
        <w:rPr>
          <w:rFonts w:hint="eastAsia"/>
          <w:b w:val="0"/>
          <w:bCs/>
        </w:rPr>
        <w:t>以上企业，不属于大企业的分支机构，不存在控股股东为大企业的情形，也不存在与大企业的负责人为同一人的情形。</w:t>
      </w:r>
    </w:p>
    <w:p>
      <w:pPr>
        <w:pStyle w:val="47"/>
        <w:rPr>
          <w:b w:val="0"/>
          <w:bCs/>
        </w:rPr>
      </w:pPr>
      <w:r>
        <w:rPr>
          <w:rFonts w:hint="eastAsia"/>
          <w:b w:val="0"/>
          <w:bCs/>
        </w:rPr>
        <w:t>本企业对上述声明内容的真实性负责。如有虚假，将依法承担相应责任。</w:t>
      </w:r>
    </w:p>
    <w:p>
      <w:pPr>
        <w:pStyle w:val="43"/>
      </w:pPr>
    </w:p>
    <w:p>
      <w:pPr>
        <w:pStyle w:val="43"/>
      </w:pPr>
    </w:p>
    <w:p>
      <w:pPr>
        <w:pStyle w:val="43"/>
        <w:ind w:left="4800" w:leftChars="2000"/>
      </w:pPr>
      <w:r>
        <w:rPr>
          <w:rFonts w:hint="eastAsia"/>
        </w:rPr>
        <w:t>企业名称(盖章)：</w:t>
      </w:r>
      <w:r>
        <w:rPr>
          <w:rFonts w:hint="eastAsia"/>
          <w:u w:val="single"/>
        </w:rPr>
        <w:t xml:space="preserve">        </w:t>
      </w:r>
    </w:p>
    <w:p>
      <w:pPr>
        <w:pStyle w:val="43"/>
        <w:ind w:left="4800" w:leftChars="2000"/>
      </w:pPr>
      <w:r>
        <w:rPr>
          <w:rFonts w:hint="eastAsia"/>
        </w:rPr>
        <w:t>日期：</w:t>
      </w:r>
      <w:r>
        <w:rPr>
          <w:rFonts w:hint="eastAsia"/>
          <w:u w:val="single"/>
        </w:rPr>
        <w:t xml:space="preserve">        </w:t>
      </w:r>
      <w:r>
        <w:rPr>
          <w:rFonts w:hint="eastAsia"/>
        </w:rPr>
        <w:t xml:space="preserve">           　</w:t>
      </w:r>
    </w:p>
    <w:p>
      <w:pPr>
        <w:pStyle w:val="47"/>
        <w:ind w:firstLine="482"/>
      </w:pPr>
    </w:p>
    <w:p>
      <w:pPr>
        <w:pStyle w:val="47"/>
        <w:ind w:firstLine="482"/>
      </w:pPr>
      <w:r>
        <w:rPr>
          <w:rFonts w:hint="eastAsia"/>
        </w:rPr>
        <w:t>注：从业人员、营业收入、资产总额填报上一年度数据，无上一年度数据的新成立企业可不填报。</w:t>
      </w:r>
    </w:p>
    <w:p>
      <w:pPr>
        <w:pStyle w:val="43"/>
        <w:ind w:left="4800" w:leftChars="2000"/>
      </w:pPr>
      <w:r>
        <w:rPr>
          <w:rFonts w:hint="eastAsia"/>
        </w:rPr>
        <w:br w:type="page"/>
      </w:r>
    </w:p>
    <w:p>
      <w:pPr>
        <w:pStyle w:val="44"/>
        <w:spacing w:before="120" w:after="120"/>
        <w:outlineLvl w:val="3"/>
      </w:pPr>
      <w:bookmarkStart w:id="356" w:name="_Toc10855"/>
      <w:bookmarkStart w:id="357" w:name="_Toc32509"/>
      <w:r>
        <w:rPr>
          <w:rFonts w:hint="eastAsia"/>
        </w:rPr>
        <w:t>(二)监狱企业相关证明材料(如涉及)</w:t>
      </w:r>
      <w:bookmarkEnd w:id="356"/>
      <w:bookmarkEnd w:id="357"/>
    </w:p>
    <w:p>
      <w:pPr>
        <w:pStyle w:val="47"/>
        <w:ind w:firstLine="482"/>
      </w:pPr>
      <w:r>
        <w:rPr>
          <w:rFonts w:hint="eastAsia"/>
        </w:rPr>
        <w:t>说明：①监狱企业参加采购活动时，在参加采购活动时需提供由省级以上监狱管理局、戒毒管理局(含新疆生产建设兵团)出具的属于监狱企业的证明文件。未提供监狱企业相关证明材料的，则不能享受磋商文件规定的价格扣除。</w:t>
      </w:r>
    </w:p>
    <w:p>
      <w:pPr>
        <w:pStyle w:val="47"/>
        <w:ind w:firstLine="482"/>
      </w:pPr>
      <w:r>
        <w:rPr>
          <w:rFonts w:hint="eastAsia"/>
        </w:rPr>
        <w:t>②非监狱企业无需提供证明材料，不影响供应商响应文件的有效性。</w:t>
      </w:r>
    </w:p>
    <w:p>
      <w:pPr>
        <w:pStyle w:val="47"/>
        <w:ind w:firstLine="482"/>
      </w:pPr>
      <w:r>
        <w:rPr>
          <w:rFonts w:hint="eastAsia"/>
        </w:rPr>
        <w:t>③供应商参加采购活动时，提供虚假监狱企业相关证明材料的，以提供虚假材料谋取成交处理。</w:t>
      </w:r>
    </w:p>
    <w:p>
      <w:pPr>
        <w:pStyle w:val="43"/>
      </w:pPr>
      <w:r>
        <w:rPr>
          <w:rFonts w:hint="eastAsia"/>
        </w:rPr>
        <w:br w:type="page"/>
      </w:r>
    </w:p>
    <w:p>
      <w:pPr>
        <w:pStyle w:val="44"/>
        <w:spacing w:before="120" w:after="120"/>
        <w:outlineLvl w:val="3"/>
      </w:pPr>
      <w:bookmarkStart w:id="358" w:name="_Toc568"/>
      <w:bookmarkStart w:id="359" w:name="_Toc29628"/>
      <w:r>
        <w:rPr>
          <w:rFonts w:hint="eastAsia"/>
        </w:rPr>
        <w:t>(三)残疾人福利性单位声明函(如涉及)</w:t>
      </w:r>
      <w:bookmarkEnd w:id="358"/>
      <w:bookmarkEnd w:id="359"/>
    </w:p>
    <w:p>
      <w:pPr>
        <w:pStyle w:val="46"/>
      </w:pPr>
      <w:r>
        <w:rPr>
          <w:rFonts w:hint="eastAsia"/>
        </w:rPr>
        <w:t>本单位郑重声明，参照《财政部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u w:val="single"/>
        </w:rPr>
        <w:t xml:space="preserve">        </w:t>
      </w:r>
      <w:r>
        <w:rPr>
          <w:rFonts w:hint="eastAsia"/>
        </w:rPr>
        <w:t>单位的</w:t>
      </w:r>
      <w:r>
        <w:rPr>
          <w:rFonts w:hint="eastAsia" w:asciiTheme="minorEastAsia" w:hAnsiTheme="minorEastAsia" w:eastAsiaTheme="minorEastAsia" w:cstheme="minorEastAsia"/>
          <w:u w:val="single"/>
        </w:rPr>
        <w:t xml:space="preserve">        </w:t>
      </w:r>
      <w:r>
        <w:rPr>
          <w:rFonts w:hint="eastAsia"/>
        </w:rPr>
        <w:t>项目采购活动提供本单位提供的服务。</w:t>
      </w:r>
    </w:p>
    <w:p>
      <w:pPr>
        <w:pStyle w:val="46"/>
      </w:pPr>
      <w:r>
        <w:rPr>
          <w:rFonts w:hint="eastAsia"/>
        </w:rPr>
        <w:t>本单位对上述声明的真实性负责。如有虚假，将依法承担相应责任。</w:t>
      </w:r>
    </w:p>
    <w:p>
      <w:pPr>
        <w:pStyle w:val="43"/>
      </w:pPr>
    </w:p>
    <w:p>
      <w:pPr>
        <w:pStyle w:val="43"/>
      </w:pPr>
    </w:p>
    <w:p>
      <w:pPr>
        <w:pStyle w:val="43"/>
      </w:pPr>
    </w:p>
    <w:p>
      <w:pPr>
        <w:pStyle w:val="43"/>
        <w:ind w:left="4800" w:leftChars="2000"/>
      </w:pPr>
      <w:r>
        <w:rPr>
          <w:rFonts w:hint="eastAsia"/>
        </w:rPr>
        <w:t>单位名称：</w:t>
      </w:r>
      <w:r>
        <w:rPr>
          <w:rFonts w:hint="eastAsia"/>
          <w:u w:val="single"/>
        </w:rPr>
        <w:t xml:space="preserve">             </w:t>
      </w:r>
      <w:r>
        <w:rPr>
          <w:rFonts w:hint="eastAsia"/>
        </w:rPr>
        <w:t xml:space="preserve"> (盖章)</w:t>
      </w:r>
    </w:p>
    <w:p>
      <w:pPr>
        <w:pStyle w:val="43"/>
        <w:ind w:left="4800" w:leftChars="2000"/>
        <w:rPr>
          <w:u w:val="single"/>
        </w:rPr>
      </w:pPr>
      <w:r>
        <w:rPr>
          <w:rFonts w:hint="eastAsia"/>
        </w:rPr>
        <w:t>日    期：</w:t>
      </w:r>
      <w:r>
        <w:rPr>
          <w:rFonts w:hint="eastAsia"/>
          <w:u w:val="single"/>
        </w:rPr>
        <w:t xml:space="preserve">             </w:t>
      </w:r>
    </w:p>
    <w:p>
      <w:pPr>
        <w:pStyle w:val="47"/>
        <w:ind w:firstLine="482"/>
      </w:pPr>
    </w:p>
    <w:p>
      <w:pPr>
        <w:pStyle w:val="47"/>
        <w:ind w:firstLine="482"/>
      </w:pPr>
      <w:r>
        <w:rPr>
          <w:rFonts w:hint="eastAsia"/>
        </w:rPr>
        <w:t>说明：①残疾人福利性单位参与采购活动时，在参加采购活动时需提供残疾人福利性单位声明函，则不能享受磋商文件规定的价格扣除。</w:t>
      </w:r>
    </w:p>
    <w:p>
      <w:pPr>
        <w:pStyle w:val="47"/>
        <w:ind w:firstLine="482"/>
      </w:pPr>
      <w:r>
        <w:rPr>
          <w:rFonts w:hint="eastAsia"/>
        </w:rPr>
        <w:t>②非残疾人福利性单位，无需提供此声明函，不影响供应商响应文件的有效性。</w:t>
      </w:r>
    </w:p>
    <w:p>
      <w:pPr>
        <w:pStyle w:val="47"/>
        <w:ind w:firstLine="482"/>
      </w:pPr>
      <w:r>
        <w:rPr>
          <w:rFonts w:hint="eastAsia"/>
        </w:rPr>
        <w:t>③供应商参加采购活动时，提供虚假残疾人福利性单位声明函的，以提供虚假材料谋取成交处理。</w:t>
      </w:r>
    </w:p>
    <w:p>
      <w:pPr>
        <w:pStyle w:val="43"/>
        <w:ind w:left="4800" w:leftChars="2000"/>
        <w:rPr>
          <w:u w:val="single"/>
        </w:rPr>
      </w:pPr>
    </w:p>
    <w:bookmarkEnd w:id="348"/>
    <w:bookmarkEnd w:id="349"/>
    <w:p>
      <w:pPr>
        <w:pStyle w:val="44"/>
        <w:numPr>
          <w:ilvl w:val="0"/>
          <w:numId w:val="21"/>
        </w:numPr>
        <w:spacing w:before="120" w:after="120"/>
        <w:ind w:firstLine="0"/>
      </w:pPr>
      <w:bookmarkStart w:id="360" w:name="_Toc28539"/>
      <w:bookmarkStart w:id="361" w:name="_Toc9776"/>
      <w:bookmarkStart w:id="362" w:name="_Toc18315"/>
      <w:r>
        <w:rPr>
          <w:rFonts w:hint="eastAsia"/>
        </w:rPr>
        <w:t>履约能力及相关证明</w:t>
      </w:r>
      <w:bookmarkEnd w:id="360"/>
      <w:bookmarkEnd w:id="361"/>
      <w:bookmarkEnd w:id="362"/>
    </w:p>
    <w:p>
      <w:pPr>
        <w:pStyle w:val="47"/>
        <w:ind w:firstLine="482"/>
      </w:pPr>
      <w:r>
        <w:rPr>
          <w:rFonts w:hint="eastAsia"/>
        </w:rPr>
        <w:t>注：格式自拟。</w:t>
      </w:r>
    </w:p>
    <w:p>
      <w:pPr>
        <w:pStyle w:val="43"/>
      </w:pPr>
    </w:p>
    <w:p>
      <w:pPr>
        <w:pStyle w:val="43"/>
      </w:pPr>
    </w:p>
    <w:p>
      <w:pPr>
        <w:pStyle w:val="43"/>
      </w:pPr>
    </w:p>
    <w:p>
      <w:pPr>
        <w:pStyle w:val="43"/>
      </w:pPr>
    </w:p>
    <w:p>
      <w:pPr>
        <w:pStyle w:val="43"/>
      </w:pPr>
    </w:p>
    <w:bookmarkEnd w:id="338"/>
    <w:p>
      <w:pPr>
        <w:pStyle w:val="43"/>
      </w:pPr>
      <w:bookmarkStart w:id="363" w:name="_Toc19240"/>
      <w:r>
        <w:rPr>
          <w:rFonts w:hint="eastAsia"/>
        </w:rPr>
        <w:br w:type="page"/>
      </w:r>
      <w:bookmarkEnd w:id="363"/>
    </w:p>
    <w:p>
      <w:pPr>
        <w:pStyle w:val="44"/>
        <w:numPr>
          <w:ilvl w:val="0"/>
          <w:numId w:val="21"/>
        </w:numPr>
        <w:spacing w:before="120" w:after="120"/>
        <w:ind w:firstLine="0"/>
      </w:pPr>
      <w:bookmarkStart w:id="364" w:name="_Toc29862"/>
      <w:bookmarkStart w:id="365" w:name="_Toc28162"/>
      <w:bookmarkStart w:id="366" w:name="_Toc20002"/>
      <w:bookmarkStart w:id="367" w:name="_Toc16092"/>
      <w:bookmarkStart w:id="368" w:name="_Toc881"/>
      <w:bookmarkStart w:id="369" w:name="_Toc18724"/>
      <w:r>
        <w:rPr>
          <w:rFonts w:hint="eastAsia"/>
          <w:lang w:val="en-US" w:eastAsia="zh-CN"/>
        </w:rPr>
        <w:t>测评</w:t>
      </w:r>
      <w:r>
        <w:rPr>
          <w:rFonts w:hint="eastAsia"/>
        </w:rPr>
        <w:t>方案</w:t>
      </w:r>
      <w:bookmarkEnd w:id="364"/>
      <w:bookmarkEnd w:id="365"/>
      <w:bookmarkEnd w:id="366"/>
      <w:bookmarkEnd w:id="367"/>
    </w:p>
    <w:p>
      <w:pPr>
        <w:pStyle w:val="47"/>
        <w:ind w:firstLine="482"/>
      </w:pPr>
      <w:r>
        <w:rPr>
          <w:rFonts w:hint="eastAsia"/>
        </w:rPr>
        <w:t>注：格式自拟。</w:t>
      </w:r>
    </w:p>
    <w:p>
      <w:pPr>
        <w:pStyle w:val="43"/>
      </w:pPr>
      <w:r>
        <w:rPr>
          <w:rFonts w:hint="eastAsia"/>
        </w:rPr>
        <w:br w:type="page"/>
      </w:r>
    </w:p>
    <w:p>
      <w:pPr>
        <w:pStyle w:val="44"/>
        <w:numPr>
          <w:ilvl w:val="0"/>
          <w:numId w:val="21"/>
        </w:numPr>
        <w:spacing w:before="120" w:after="120"/>
        <w:ind w:firstLine="0"/>
      </w:pPr>
      <w:bookmarkStart w:id="370" w:name="_Toc1358"/>
      <w:bookmarkStart w:id="371" w:name="_Toc3052"/>
      <w:bookmarkStart w:id="372" w:name="_Toc32188"/>
      <w:r>
        <w:rPr>
          <w:rFonts w:hint="eastAsia"/>
        </w:rPr>
        <w:t>招标代理服务费承诺函</w:t>
      </w:r>
      <w:bookmarkEnd w:id="370"/>
      <w:bookmarkEnd w:id="371"/>
      <w:bookmarkEnd w:id="372"/>
    </w:p>
    <w:p>
      <w:pPr>
        <w:pStyle w:val="43"/>
      </w:pPr>
      <w:r>
        <w:rPr>
          <w:rFonts w:hint="eastAsia"/>
        </w:rPr>
        <w:t>四川乾新招投标代理有限公司：</w:t>
      </w:r>
    </w:p>
    <w:p>
      <w:pPr>
        <w:pStyle w:val="46"/>
        <w:rPr>
          <w:b/>
          <w:bCs/>
        </w:rPr>
      </w:pPr>
      <w:r>
        <w:rPr>
          <w:rFonts w:hint="eastAsia"/>
        </w:rPr>
        <w:t>我单位在贵公司代理的</w:t>
      </w:r>
      <w:r>
        <w:rPr>
          <w:rFonts w:hint="eastAsia"/>
          <w:u w:val="single"/>
        </w:rPr>
        <w:t xml:space="preserve">                        </w:t>
      </w:r>
      <w:r>
        <w:rPr>
          <w:rFonts w:hint="eastAsia"/>
        </w:rPr>
        <w:t>项目(项目编号：</w:t>
      </w:r>
      <w:r>
        <w:rPr>
          <w:rFonts w:hint="eastAsia"/>
          <w:u w:val="single"/>
        </w:rPr>
        <w:t xml:space="preserve">           </w:t>
      </w:r>
      <w:r>
        <w:rPr>
          <w:rFonts w:hint="eastAsia"/>
        </w:rPr>
        <w:t>)竞争性磋商中若获成交，我们保证在收到成交通知后2个工作日内按要求，以支票、银行汇票、电汇、现金或经贵公司认可的一种方式，向贵公司即四川乾新招投标代理有限公司指定的银行账号，按照磋商</w:t>
      </w:r>
      <w:r>
        <w:rPr>
          <w:rFonts w:hint="eastAsia"/>
          <w:lang w:val="zh-CN"/>
        </w:rPr>
        <w:t>文件中招标代理</w:t>
      </w:r>
      <w:r>
        <w:rPr>
          <w:rFonts w:hint="eastAsia"/>
        </w:rPr>
        <w:t>服务费收取标准一次性支付合同全额的招标代理服务费。</w:t>
      </w:r>
      <w:r>
        <w:rPr>
          <w:rFonts w:hint="eastAsia"/>
          <w:b/>
          <w:bCs/>
        </w:rPr>
        <w:t>如因我单位自身原因造成取消成交资格或自愿放弃成交资格的，我单位支付的招标代理服务费不予退还，由此造成的损失由我单位自行承担。</w:t>
      </w:r>
    </w:p>
    <w:p>
      <w:pPr>
        <w:pStyle w:val="46"/>
      </w:pPr>
    </w:p>
    <w:p>
      <w:pPr>
        <w:pStyle w:val="46"/>
      </w:pPr>
    </w:p>
    <w:p>
      <w:pPr>
        <w:pStyle w:val="46"/>
      </w:pPr>
      <w:r>
        <w:rPr>
          <w:rFonts w:hint="eastAsia"/>
        </w:rPr>
        <w:t>特此承诺。</w:t>
      </w:r>
    </w:p>
    <w:p>
      <w:pPr>
        <w:pStyle w:val="43"/>
      </w:pPr>
    </w:p>
    <w:p>
      <w:pPr>
        <w:pStyle w:val="43"/>
      </w:pP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rPr>
        <w:t>(盖章)</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传  真：</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邮  编：</w:t>
      </w:r>
      <w:r>
        <w:rPr>
          <w:rFonts w:hint="eastAsia" w:asciiTheme="minorEastAsia" w:hAnsiTheme="minorEastAsia" w:eastAsiaTheme="minorEastAsia" w:cstheme="minorEastAsia"/>
          <w:bCs/>
          <w:u w:val="single"/>
        </w:rPr>
        <w:t xml:space="preserve">                </w:t>
      </w:r>
    </w:p>
    <w:p>
      <w:pPr>
        <w:ind w:firstLine="480" w:firstLineChars="200"/>
      </w:pPr>
      <w:r>
        <w:rPr>
          <w:rFonts w:hint="eastAsia"/>
        </w:rPr>
        <w:t>法定</w:t>
      </w:r>
      <w:r>
        <w:rPr>
          <w:rFonts w:hint="eastAsia" w:asciiTheme="minorEastAsia" w:hAnsiTheme="minorEastAsia" w:eastAsiaTheme="minorEastAsia" w:cstheme="minorEastAsia"/>
        </w:rPr>
        <w:t>代表人</w:t>
      </w:r>
      <w:r>
        <w:rPr>
          <w:rFonts w:hint="eastAsia"/>
        </w:rPr>
        <w:t>/单位负责人或授权代表：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ind w:firstLine="480" w:firstLineChars="20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承诺日期：</w:t>
      </w:r>
      <w:r>
        <w:rPr>
          <w:rFonts w:hint="eastAsia" w:asciiTheme="minorEastAsia" w:hAnsiTheme="minorEastAsia" w:eastAsiaTheme="minorEastAsia" w:cstheme="minorEastAsia"/>
          <w:bCs/>
          <w:u w:val="single"/>
        </w:rPr>
        <w:t xml:space="preserve">                </w:t>
      </w:r>
    </w:p>
    <w:p>
      <w:pPr>
        <w:rPr>
          <w:rFonts w:asciiTheme="minorEastAsia" w:hAnsiTheme="minorEastAsia" w:eastAsiaTheme="minorEastAsia" w:cstheme="minorEastAsia"/>
          <w:bCs/>
          <w:u w:val="single"/>
        </w:rPr>
      </w:pPr>
      <w:r>
        <w:rPr>
          <w:rFonts w:hint="eastAsia" w:asciiTheme="minorEastAsia" w:hAnsiTheme="minorEastAsia" w:eastAsiaTheme="minorEastAsia" w:cstheme="minorEastAsia"/>
          <w:bCs/>
          <w:u w:val="single"/>
        </w:rPr>
        <w:br w:type="page"/>
      </w:r>
    </w:p>
    <w:p>
      <w:pPr>
        <w:pStyle w:val="44"/>
        <w:numPr>
          <w:ilvl w:val="0"/>
          <w:numId w:val="21"/>
        </w:numPr>
        <w:spacing w:before="120" w:after="120"/>
        <w:ind w:firstLine="0"/>
      </w:pPr>
      <w:bookmarkStart w:id="373" w:name="_Toc10668"/>
      <w:bookmarkStart w:id="374" w:name="_Toc25030"/>
      <w:bookmarkStart w:id="375" w:name="_Toc5458"/>
      <w:r>
        <w:rPr>
          <w:rFonts w:hint="eastAsia"/>
        </w:rPr>
        <w:t>报价表</w:t>
      </w:r>
      <w:bookmarkEnd w:id="373"/>
      <w:bookmarkEnd w:id="374"/>
      <w:bookmarkEnd w:id="375"/>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28"/>
        </w:rPr>
        <w:t>第</w:t>
      </w:r>
      <w:r>
        <w:rPr>
          <w:rFonts w:hint="eastAsia" w:asciiTheme="minorEastAsia" w:hAnsiTheme="minorEastAsia" w:eastAsiaTheme="minorEastAsia" w:cstheme="minorEastAsia"/>
          <w:sz w:val="32"/>
          <w:szCs w:val="28"/>
          <w:u w:val="single"/>
        </w:rPr>
        <w:t xml:space="preserve"> N </w:t>
      </w:r>
      <w:r>
        <w:rPr>
          <w:rFonts w:hint="eastAsia" w:asciiTheme="minorEastAsia" w:hAnsiTheme="minorEastAsia" w:eastAsiaTheme="minorEastAsia" w:cstheme="minorEastAsia"/>
          <w:sz w:val="32"/>
          <w:szCs w:val="28"/>
        </w:rPr>
        <w:t>轮报价/最后报价(</w:t>
      </w:r>
      <w:r>
        <w:rPr>
          <w:rFonts w:hint="eastAsia" w:asciiTheme="minorEastAsia" w:hAnsiTheme="minorEastAsia" w:eastAsiaTheme="minorEastAsia" w:cstheme="minorEastAsia"/>
          <w:b/>
          <w:sz w:val="32"/>
          <w:szCs w:val="28"/>
        </w:rPr>
        <w:t>根据磋商实际情况选择</w:t>
      </w:r>
      <w:r>
        <w:rPr>
          <w:rFonts w:hint="eastAsia" w:asciiTheme="minorEastAsia" w:hAnsiTheme="minorEastAsia" w:eastAsiaTheme="minorEastAsia" w:cstheme="minorEastAsia"/>
          <w:sz w:val="32"/>
          <w:szCs w:val="28"/>
        </w:rPr>
        <w:t>)</w:t>
      </w: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u w:val="single"/>
        </w:rPr>
        <w:t xml:space="preserve">                        </w:t>
      </w:r>
    </w:p>
    <w:p>
      <w:pPr>
        <w:jc w:val="both"/>
        <w:rPr>
          <w:rFonts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xml:space="preserve">                        </w:t>
      </w:r>
    </w:p>
    <w:tbl>
      <w:tblPr>
        <w:tblStyle w:val="23"/>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610"/>
        <w:gridCol w:w="5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798" w:type="dxa"/>
            <w:gridSpan w:val="2"/>
            <w:vAlign w:val="center"/>
          </w:tcPr>
          <w:p>
            <w:pPr>
              <w:wordWrap w:val="0"/>
              <w:topLinePunct/>
              <w:spacing w:line="360" w:lineRule="exact"/>
              <w:jc w:val="center"/>
              <w:rPr>
                <w:rFonts w:cs="宋体"/>
                <w:b/>
                <w:sz w:val="21"/>
                <w:szCs w:val="21"/>
              </w:rPr>
            </w:pPr>
            <w:r>
              <w:rPr>
                <w:rFonts w:hint="eastAsia" w:cs="宋体"/>
                <w:b/>
                <w:sz w:val="21"/>
                <w:szCs w:val="21"/>
              </w:rPr>
              <w:t>标的内容</w:t>
            </w:r>
          </w:p>
        </w:tc>
        <w:tc>
          <w:tcPr>
            <w:tcW w:w="5158" w:type="dxa"/>
            <w:vAlign w:val="center"/>
          </w:tcPr>
          <w:p>
            <w:pPr>
              <w:wordWrap w:val="0"/>
              <w:topLinePunct/>
              <w:spacing w:line="360" w:lineRule="exact"/>
              <w:jc w:val="center"/>
              <w:rPr>
                <w:rFonts w:cs="宋体"/>
                <w:b/>
                <w:sz w:val="21"/>
                <w:szCs w:val="21"/>
              </w:rPr>
            </w:pPr>
            <w:r>
              <w:rPr>
                <w:rFonts w:hint="eastAsia" w:cs="宋体"/>
                <w:bCs/>
                <w:sz w:val="21"/>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798" w:type="dxa"/>
            <w:gridSpan w:val="2"/>
            <w:vAlign w:val="center"/>
          </w:tcPr>
          <w:p>
            <w:pPr>
              <w:adjustRightInd w:val="0"/>
              <w:snapToGrid w:val="0"/>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私有云平台三级等保测评服务</w:t>
            </w:r>
          </w:p>
        </w:tc>
        <w:tc>
          <w:tcPr>
            <w:tcW w:w="5158" w:type="dxa"/>
            <w:vAlign w:val="center"/>
          </w:tcPr>
          <w:p>
            <w:pPr>
              <w:wordWrap w:val="0"/>
              <w:topLinePunct/>
              <w:spacing w:line="360" w:lineRule="auto"/>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798" w:type="dxa"/>
            <w:gridSpan w:val="2"/>
            <w:vAlign w:val="center"/>
          </w:tcPr>
          <w:p>
            <w:pPr>
              <w:adjustRightInd w:val="0"/>
              <w:snapToGrid w:val="0"/>
              <w:spacing w:line="360" w:lineRule="exact"/>
              <w:jc w:val="center"/>
              <w:rPr>
                <w:rFonts w:hint="eastAsia" w:ascii="宋体" w:hAnsi="宋体" w:eastAsia="宋体" w:cs="宋体"/>
                <w:bCs/>
                <w:sz w:val="21"/>
                <w:szCs w:val="21"/>
              </w:rPr>
            </w:pPr>
            <w:r>
              <w:rPr>
                <w:rFonts w:hint="eastAsia" w:ascii="宋体" w:hAnsi="宋体" w:eastAsia="宋体" w:cs="宋体"/>
                <w:bCs/>
                <w:sz w:val="21"/>
                <w:szCs w:val="21"/>
                <w:lang w:eastAsia="zh-CN"/>
              </w:rPr>
              <w:t>网站群</w:t>
            </w:r>
            <w:r>
              <w:rPr>
                <w:rFonts w:hint="eastAsia" w:ascii="宋体" w:hAnsi="宋体" w:eastAsia="宋体" w:cs="宋体"/>
                <w:bCs/>
                <w:sz w:val="21"/>
                <w:szCs w:val="21"/>
              </w:rPr>
              <w:t>二级等保测评服务</w:t>
            </w:r>
          </w:p>
        </w:tc>
        <w:tc>
          <w:tcPr>
            <w:tcW w:w="5158" w:type="dxa"/>
            <w:vAlign w:val="center"/>
          </w:tcPr>
          <w:p>
            <w:pPr>
              <w:wordWrap w:val="0"/>
              <w:topLinePunct/>
              <w:spacing w:line="360" w:lineRule="auto"/>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restart"/>
            <w:vAlign w:val="center"/>
          </w:tcPr>
          <w:p>
            <w:pPr>
              <w:wordWrap w:val="0"/>
              <w:topLinePunct/>
              <w:spacing w:line="360" w:lineRule="exact"/>
              <w:jc w:val="center"/>
              <w:rPr>
                <w:rFonts w:cs="宋体"/>
                <w:sz w:val="21"/>
                <w:szCs w:val="21"/>
              </w:rPr>
            </w:pPr>
            <w:r>
              <w:rPr>
                <w:rFonts w:hint="eastAsia" w:cs="宋体"/>
                <w:bCs/>
                <w:sz w:val="21"/>
                <w:szCs w:val="21"/>
              </w:rPr>
              <w:t>合计报价(元)</w:t>
            </w:r>
          </w:p>
        </w:tc>
        <w:tc>
          <w:tcPr>
            <w:tcW w:w="8768" w:type="dxa"/>
            <w:gridSpan w:val="2"/>
            <w:vAlign w:val="center"/>
          </w:tcPr>
          <w:p>
            <w:pPr>
              <w:wordWrap w:val="0"/>
              <w:topLinePunct/>
              <w:spacing w:line="360" w:lineRule="exact"/>
              <w:rPr>
                <w:rFonts w:cs="宋体"/>
                <w:sz w:val="21"/>
                <w:szCs w:val="21"/>
              </w:rPr>
            </w:pPr>
            <w:r>
              <w:rPr>
                <w:rFonts w:hint="eastAsia" w:cs="宋体"/>
                <w:sz w:val="21"/>
                <w:szCs w:val="21"/>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continue"/>
            <w:vAlign w:val="center"/>
          </w:tcPr>
          <w:p>
            <w:pPr>
              <w:wordWrap w:val="0"/>
              <w:topLinePunct/>
              <w:spacing w:line="360" w:lineRule="auto"/>
            </w:pPr>
          </w:p>
        </w:tc>
        <w:tc>
          <w:tcPr>
            <w:tcW w:w="8768" w:type="dxa"/>
            <w:gridSpan w:val="2"/>
            <w:vAlign w:val="center"/>
          </w:tcPr>
          <w:p>
            <w:pPr>
              <w:wordWrap w:val="0"/>
              <w:topLinePunct/>
              <w:spacing w:line="360" w:lineRule="exact"/>
              <w:rPr>
                <w:rFonts w:cs="宋体"/>
                <w:sz w:val="21"/>
                <w:szCs w:val="21"/>
              </w:rPr>
            </w:pPr>
            <w:r>
              <w:rPr>
                <w:rFonts w:hint="eastAsia" w:cs="宋体"/>
                <w:sz w:val="21"/>
                <w:szCs w:val="21"/>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956" w:type="dxa"/>
            <w:gridSpan w:val="3"/>
            <w:vAlign w:val="center"/>
          </w:tcPr>
          <w:p>
            <w:pPr>
              <w:wordWrap w:val="0"/>
              <w:topLinePunct/>
              <w:spacing w:line="360" w:lineRule="exact"/>
              <w:rPr>
                <w:rFonts w:cs="宋体"/>
                <w:sz w:val="21"/>
                <w:szCs w:val="21"/>
              </w:rPr>
            </w:pPr>
            <w:r>
              <w:rPr>
                <w:rFonts w:hint="eastAsia" w:cs="宋体"/>
                <w:sz w:val="21"/>
                <w:szCs w:val="21"/>
              </w:rPr>
              <w:t>履约</w:t>
            </w:r>
            <w:r>
              <w:rPr>
                <w:rFonts w:hint="eastAsia" w:cs="宋体"/>
                <w:sz w:val="21"/>
                <w:szCs w:val="21"/>
                <w:lang w:val="en-US" w:eastAsia="zh-CN"/>
              </w:rPr>
              <w:t>时间</w:t>
            </w:r>
            <w:r>
              <w:rPr>
                <w:rFonts w:hint="eastAsia" w:cs="宋体"/>
                <w:sz w:val="21"/>
                <w:szCs w:val="21"/>
              </w:rPr>
              <w:t>：</w:t>
            </w:r>
          </w:p>
        </w:tc>
      </w:tr>
    </w:tbl>
    <w:p>
      <w:pPr>
        <w:pStyle w:val="47"/>
        <w:ind w:firstLine="482"/>
      </w:pPr>
      <w:r>
        <w:rPr>
          <w:rFonts w:hint="eastAsia"/>
        </w:rPr>
        <w:t>注：</w:t>
      </w:r>
      <w:r>
        <w:rPr>
          <w:rFonts w:hint="eastAsia"/>
          <w:lang w:val="zh-CN"/>
        </w:rPr>
        <w:t>报价应为完成本竞争性磋商文件中所要求的</w:t>
      </w:r>
      <w:r>
        <w:rPr>
          <w:rFonts w:hint="eastAsia"/>
        </w:rPr>
        <w:t>服务</w:t>
      </w:r>
      <w:r>
        <w:rPr>
          <w:rFonts w:hint="eastAsia"/>
          <w:lang w:val="zh-CN"/>
        </w:rPr>
        <w:t>所应包括内容的所有价格，</w:t>
      </w:r>
      <w:r>
        <w:rPr>
          <w:rFonts w:hint="eastAsia" w:asciiTheme="minorEastAsia" w:hAnsiTheme="minorEastAsia" w:eastAsiaTheme="minorEastAsia" w:cstheme="minorEastAsia"/>
        </w:rPr>
        <w:t>包括但不限于劳务、差旅、设备投入、成果、培训、风险、税金等所需的一切费用,采购人无需另行支付其他任何费用</w:t>
      </w:r>
      <w:r>
        <w:rPr>
          <w:rFonts w:hint="eastAsia"/>
          <w:lang w:val="zh-CN"/>
        </w:rPr>
        <w:t>。</w:t>
      </w:r>
    </w:p>
    <w:p>
      <w:pPr>
        <w:tabs>
          <w:tab w:val="left" w:pos="540"/>
          <w:tab w:val="left" w:pos="900"/>
          <w:tab w:val="clear" w:pos="0"/>
        </w:tabs>
        <w:rPr>
          <w:rFonts w:asciiTheme="minorEastAsia" w:hAnsiTheme="minorEastAsia" w:eastAsiaTheme="minorEastAsia" w:cstheme="minorEastAsia"/>
        </w:rPr>
      </w:pPr>
    </w:p>
    <w:p>
      <w:pPr>
        <w:tabs>
          <w:tab w:val="left" w:pos="540"/>
          <w:tab w:val="left" w:pos="900"/>
          <w:tab w:val="clear" w:pos="0"/>
        </w:tabs>
        <w:rPr>
          <w:rFonts w:asciiTheme="minorEastAsia" w:hAnsiTheme="minorEastAsia" w:eastAsiaTheme="minorEastAsia" w:cstheme="minorEastAsia"/>
        </w:rPr>
      </w:pPr>
    </w:p>
    <w:p>
      <w:pPr>
        <w:pStyle w:val="46"/>
        <w:rPr>
          <w:u w:val="single"/>
        </w:rPr>
      </w:pPr>
      <w:r>
        <w:rPr>
          <w:rFonts w:hint="eastAsia"/>
        </w:rPr>
        <w:t>供应商名称：</w:t>
      </w:r>
      <w:r>
        <w:rPr>
          <w:rFonts w:hint="eastAsia"/>
          <w:u w:val="single"/>
        </w:rPr>
        <w:t xml:space="preserve">                      </w:t>
      </w:r>
    </w:p>
    <w:p>
      <w:pPr>
        <w:pStyle w:val="46"/>
      </w:pPr>
      <w:r>
        <w:rPr>
          <w:rFonts w:hint="eastAsia"/>
        </w:rPr>
        <w:t>法定代表人/单位负责人或授权代表：</w:t>
      </w:r>
      <w:r>
        <w:rPr>
          <w:rFonts w:hint="eastAsia"/>
          <w:u w:val="single"/>
        </w:rPr>
        <w:t xml:space="preserve">                  </w:t>
      </w:r>
      <w:r>
        <w:rPr>
          <w:rFonts w:hint="eastAsia"/>
        </w:rPr>
        <w:t>(签名并捺印)</w:t>
      </w:r>
    </w:p>
    <w:p>
      <w:pPr>
        <w:pStyle w:val="46"/>
      </w:pPr>
      <w:r>
        <w:rPr>
          <w:rFonts w:hint="eastAsia"/>
        </w:rPr>
        <w:t>报价日期：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3"/>
      </w:pPr>
      <w:r>
        <w:rPr>
          <w:rFonts w:hint="eastAsia"/>
        </w:rPr>
        <w:t xml:space="preserve">                </w:t>
      </w:r>
    </w:p>
    <w:p>
      <w:pPr>
        <w:pStyle w:val="43"/>
      </w:pPr>
    </w:p>
    <w:bookmarkEnd w:id="368"/>
    <w:bookmarkEnd w:id="369"/>
    <w:p>
      <w:pPr>
        <w:pStyle w:val="48"/>
        <w:spacing w:before="120" w:after="120"/>
      </w:pPr>
      <w:bookmarkStart w:id="376" w:name="_Toc24888"/>
      <w:r>
        <w:rPr>
          <w:rFonts w:hint="eastAsia"/>
        </w:rPr>
        <w:br w:type="page"/>
      </w:r>
      <w:bookmarkEnd w:id="376"/>
      <w:bookmarkStart w:id="377" w:name="_Toc18196"/>
      <w:bookmarkStart w:id="378" w:name="_Toc15614"/>
      <w:bookmarkStart w:id="379" w:name="_Toc26345"/>
      <w:bookmarkStart w:id="380" w:name="_Toc22998"/>
      <w:r>
        <w:rPr>
          <w:rFonts w:hint="eastAsia"/>
        </w:rPr>
        <w:t>资格性审查</w:t>
      </w:r>
      <w:bookmarkEnd w:id="377"/>
      <w:r>
        <w:rPr>
          <w:rFonts w:hint="eastAsia"/>
        </w:rPr>
        <w:t>内容</w:t>
      </w:r>
      <w:bookmarkEnd w:id="378"/>
      <w:bookmarkEnd w:id="379"/>
      <w:bookmarkEnd w:id="380"/>
    </w:p>
    <w:p>
      <w:pPr>
        <w:pStyle w:val="50"/>
        <w:numPr>
          <w:ilvl w:val="1"/>
          <w:numId w:val="24"/>
        </w:numPr>
        <w:spacing w:line="520" w:lineRule="exact"/>
        <w:ind w:firstLine="482"/>
        <w:rPr>
          <w:b/>
          <w:bCs/>
        </w:rPr>
      </w:pPr>
      <w:bookmarkStart w:id="381" w:name="_Toc10631"/>
      <w:bookmarkStart w:id="382" w:name="_Toc141"/>
      <w:bookmarkStart w:id="383" w:name="_Toc20678"/>
      <w:bookmarkStart w:id="384" w:name="_Toc32482"/>
      <w:r>
        <w:rPr>
          <w:rFonts w:hint="eastAsia"/>
          <w:b/>
          <w:bCs/>
        </w:rPr>
        <w:t>供应商应当提供的资格证明材料及其他类似效力要求的相关证明材料</w:t>
      </w:r>
    </w:p>
    <w:bookmarkEnd w:id="381"/>
    <w:bookmarkEnd w:id="382"/>
    <w:bookmarkEnd w:id="383"/>
    <w:p>
      <w:pPr>
        <w:pStyle w:val="33"/>
        <w:numPr>
          <w:ilvl w:val="1"/>
          <w:numId w:val="25"/>
        </w:numPr>
        <w:spacing w:line="520" w:lineRule="exact"/>
        <w:ind w:firstLine="482"/>
        <w:rPr>
          <w:b/>
          <w:bCs/>
        </w:rPr>
      </w:pPr>
      <w:r>
        <w:rPr>
          <w:rFonts w:hint="eastAsia"/>
          <w:b/>
          <w:bCs/>
        </w:rPr>
        <w:t>供应商具有独立承担民事责任的能力的证明材料；</w:t>
      </w:r>
    </w:p>
    <w:p>
      <w:pPr>
        <w:pStyle w:val="46"/>
        <w:spacing w:line="520" w:lineRule="exact"/>
      </w:pPr>
      <w:r>
        <w:rPr>
          <w:rFonts w:hint="eastAsia"/>
        </w:rPr>
        <w:t>供应商：①若为</w:t>
      </w:r>
      <w:r>
        <w:rPr>
          <w:rFonts w:hint="eastAsia"/>
          <w:b/>
          <w:bCs/>
        </w:rPr>
        <w:t>企业法人</w:t>
      </w:r>
      <w:r>
        <w:rPr>
          <w:rFonts w:hint="eastAsia"/>
        </w:rPr>
        <w:t>：提供“营业执照”副本复印件；未换证的提供“营业执照副本、税务登记证副本、组织机构代码证副本”复印件；②若为</w:t>
      </w:r>
      <w:r>
        <w:rPr>
          <w:rFonts w:hint="eastAsia"/>
          <w:b/>
          <w:bCs/>
        </w:rPr>
        <w:t>事业法人</w:t>
      </w:r>
      <w:r>
        <w:rPr>
          <w:rFonts w:hint="eastAsia"/>
        </w:rPr>
        <w:t>：提供“统一社会信用代码法人登记证书”复印件；未换证的提交“事业法人登记证书、组织机构代码证”复印件；③若为</w:t>
      </w:r>
      <w:r>
        <w:rPr>
          <w:rFonts w:hint="eastAsia"/>
          <w:b/>
          <w:bCs/>
        </w:rPr>
        <w:t>其他组织</w:t>
      </w:r>
      <w:r>
        <w:rPr>
          <w:rFonts w:hint="eastAsia"/>
        </w:rPr>
        <w:t>：提供“对应主管部门颁发的准许执业证明文件或营业执照副本”复印件；④若为</w:t>
      </w:r>
      <w:r>
        <w:rPr>
          <w:rFonts w:hint="eastAsia"/>
          <w:b/>
          <w:bCs/>
        </w:rPr>
        <w:t>自然人</w:t>
      </w:r>
      <w:r>
        <w:rPr>
          <w:rFonts w:hint="eastAsia"/>
        </w:rPr>
        <w:t>：提供“身份证明材料”。</w:t>
      </w:r>
    </w:p>
    <w:p>
      <w:pPr>
        <w:pStyle w:val="47"/>
        <w:spacing w:line="520" w:lineRule="exact"/>
        <w:ind w:firstLine="482"/>
      </w:pPr>
      <w:r>
        <w:rPr>
          <w:rFonts w:hint="eastAsia"/>
        </w:rPr>
        <w:t>注：1.以上证明材料应满足此条要求①发证机关有年检要求的，应按规定通过年检；②在有效期内；③复印件加盖供应商公章；</w:t>
      </w:r>
    </w:p>
    <w:p>
      <w:pPr>
        <w:pStyle w:val="47"/>
        <w:spacing w:line="520" w:lineRule="exact"/>
        <w:ind w:firstLine="482"/>
      </w:pPr>
      <w:r>
        <w:rPr>
          <w:rFonts w:hint="eastAsia"/>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7"/>
        <w:spacing w:line="520" w:lineRule="exact"/>
        <w:ind w:firstLine="482"/>
      </w:pPr>
      <w:r>
        <w:rPr>
          <w:rFonts w:hint="eastAsia"/>
        </w:rPr>
        <w:t>3.</w:t>
      </w:r>
      <w:r>
        <w:t>根据国务院办公厅关于加快推进“多证合一”改革的指导意见</w:t>
      </w:r>
      <w:r>
        <w:rPr>
          <w:rFonts w:hint="eastAsia"/>
        </w:rPr>
        <w:t>(</w:t>
      </w:r>
      <w:r>
        <w:t>国办发</w:t>
      </w:r>
      <w:r>
        <w:rPr>
          <w:rFonts w:hint="eastAsia"/>
        </w:rPr>
        <w:t>〔</w:t>
      </w:r>
      <w:r>
        <w:t>2017</w:t>
      </w:r>
      <w:r>
        <w:rPr>
          <w:rFonts w:hint="eastAsia"/>
        </w:rPr>
        <w:t>〕</w:t>
      </w:r>
      <w:r>
        <w:t>41号</w:t>
      </w:r>
      <w:r>
        <w:rPr>
          <w:rFonts w:hint="eastAsia"/>
        </w:rPr>
        <w:t>)</w:t>
      </w:r>
      <w:r>
        <w:t>等政策要求，若资格要求涉及的登记、备案等有关事项和各类证照已实行多证合一</w:t>
      </w:r>
      <w:r>
        <w:rPr>
          <w:rFonts w:hint="eastAsia"/>
        </w:rPr>
        <w:t>的，提供多证合一证照副本复印件</w:t>
      </w:r>
      <w:r>
        <w:t>。</w:t>
      </w:r>
    </w:p>
    <w:p>
      <w:pPr>
        <w:pStyle w:val="33"/>
        <w:numPr>
          <w:ilvl w:val="1"/>
          <w:numId w:val="25"/>
        </w:numPr>
        <w:spacing w:line="520" w:lineRule="exact"/>
        <w:ind w:firstLine="482"/>
        <w:rPr>
          <w:b/>
          <w:bCs/>
        </w:rPr>
      </w:pPr>
      <w:r>
        <w:rPr>
          <w:rFonts w:hint="eastAsia"/>
          <w:b/>
          <w:bCs/>
        </w:rPr>
        <w:t>供应商具有良好的商业信誉和健全的财务会计制度的证明材料；</w:t>
      </w:r>
    </w:p>
    <w:p>
      <w:pPr>
        <w:pStyle w:val="36"/>
        <w:numPr>
          <w:ilvl w:val="2"/>
          <w:numId w:val="25"/>
        </w:numPr>
        <w:spacing w:line="520" w:lineRule="exact"/>
        <w:ind w:firstLine="480"/>
      </w:pPr>
      <w:r>
        <w:rPr>
          <w:rFonts w:hint="eastAsia"/>
        </w:rPr>
        <w:t>供应商具有良好商业信誉的证明材料；</w:t>
      </w:r>
    </w:p>
    <w:p>
      <w:pPr>
        <w:pStyle w:val="46"/>
        <w:spacing w:line="520" w:lineRule="exact"/>
      </w:pPr>
      <w:r>
        <w:rPr>
          <w:rFonts w:hint="eastAsia"/>
        </w:rPr>
        <w:t>提供具有良好的商业信誉的承诺函。</w:t>
      </w:r>
    </w:p>
    <w:p>
      <w:pPr>
        <w:pStyle w:val="46"/>
        <w:spacing w:line="520" w:lineRule="exact"/>
        <w:ind w:firstLine="482"/>
        <w:rPr>
          <w:b/>
          <w:bCs/>
        </w:rPr>
      </w:pPr>
      <w:r>
        <w:rPr>
          <w:rFonts w:hint="eastAsia"/>
          <w:b/>
          <w:bCs/>
        </w:rPr>
        <w:t>注：</w:t>
      </w:r>
      <w:r>
        <w:rPr>
          <w:rFonts w:hint="eastAsia" w:cs="宋体" w:asciiTheme="minorEastAsia" w:hAnsiTheme="minorEastAsia" w:eastAsiaTheme="minorEastAsia"/>
          <w:b/>
          <w:bCs/>
        </w:rPr>
        <w:t>承诺函</w:t>
      </w:r>
      <w:r>
        <w:rPr>
          <w:rFonts w:hint="eastAsia"/>
          <w:b/>
        </w:rPr>
        <w:t>格式自拟，或参照《承诺及声明函》的格式提供</w:t>
      </w:r>
      <w:r>
        <w:rPr>
          <w:rFonts w:hint="eastAsia"/>
          <w:b/>
          <w:bCs/>
        </w:rPr>
        <w:t>。</w:t>
      </w:r>
    </w:p>
    <w:p>
      <w:pPr>
        <w:pStyle w:val="46"/>
        <w:spacing w:line="520" w:lineRule="exact"/>
      </w:pPr>
      <w:r>
        <w:rPr>
          <w:rFonts w:hint="eastAsia"/>
        </w:rPr>
        <w:t>2.供应商具有健全的财务会计制度的证明材料；</w:t>
      </w:r>
    </w:p>
    <w:p>
      <w:pPr>
        <w:pStyle w:val="46"/>
        <w:spacing w:line="520" w:lineRule="exact"/>
      </w:pPr>
      <w:r>
        <w:rPr>
          <w:rFonts w:hint="eastAsia"/>
        </w:rPr>
        <w:t>(1)供应商提供2022年度经过会计师事务所审计的财务报告复印件(经审计的有效财务报告应包括报告及报告中所附的完整内容，并由注册会计师签名、盖章以及会计师事务所盖章)；</w:t>
      </w:r>
    </w:p>
    <w:p>
      <w:pPr>
        <w:pStyle w:val="46"/>
        <w:spacing w:line="520" w:lineRule="exact"/>
      </w:pPr>
      <w:r>
        <w:rPr>
          <w:rFonts w:hint="eastAsia"/>
        </w:rPr>
        <w:t>(2)供应商提供2022年度供应商内部的财务报表复印件(至少包含资产负债表)；</w:t>
      </w:r>
    </w:p>
    <w:p>
      <w:pPr>
        <w:pStyle w:val="46"/>
        <w:spacing w:line="520" w:lineRule="exact"/>
      </w:pPr>
      <w:r>
        <w:rPr>
          <w:rFonts w:hint="eastAsia"/>
        </w:rPr>
        <w:t>(3)供应商提供响应文件递交截止日前一年内银行为其出具的资信证明复印件；</w:t>
      </w:r>
    </w:p>
    <w:p>
      <w:pPr>
        <w:pStyle w:val="46"/>
        <w:spacing w:line="520" w:lineRule="exact"/>
      </w:pPr>
      <w:r>
        <w:rPr>
          <w:rFonts w:hint="eastAsia"/>
        </w:rPr>
        <w:t>(4)供应商注册时间截至响应文件递交截止日不足一年的，可提供公司章程复印件；</w:t>
      </w:r>
    </w:p>
    <w:p>
      <w:pPr>
        <w:pStyle w:val="46"/>
        <w:spacing w:line="520" w:lineRule="exact"/>
      </w:pPr>
      <w:r>
        <w:rPr>
          <w:rFonts w:hint="eastAsia"/>
        </w:rPr>
        <w:t>(5)供应商提供具有健全的财务会计制度的承诺函。</w:t>
      </w:r>
    </w:p>
    <w:p>
      <w:pPr>
        <w:pStyle w:val="47"/>
        <w:spacing w:line="520" w:lineRule="exact"/>
        <w:ind w:firstLine="482"/>
      </w:pPr>
      <w:r>
        <w:rPr>
          <w:rFonts w:hint="eastAsia"/>
          <w:bCs/>
        </w:rPr>
        <w:t>注：①具有健全的财务会计制度的证明材料中第(1)-(5)项具有同等的效力，供应商可根据自身实际情况选择提供其中任意一项。②</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5"/>
        </w:numPr>
        <w:spacing w:line="520" w:lineRule="exact"/>
        <w:ind w:firstLine="482"/>
        <w:rPr>
          <w:b/>
          <w:bCs/>
        </w:rPr>
      </w:pPr>
      <w:r>
        <w:rPr>
          <w:rFonts w:hint="eastAsia"/>
          <w:b/>
          <w:bCs/>
        </w:rPr>
        <w:t>供应商具有履行合同所必需的设备和专业技术能力证明材料；</w:t>
      </w:r>
    </w:p>
    <w:p>
      <w:pPr>
        <w:pStyle w:val="36"/>
        <w:numPr>
          <w:ilvl w:val="2"/>
          <w:numId w:val="0"/>
        </w:numPr>
        <w:spacing w:line="520" w:lineRule="exact"/>
        <w:ind w:left="480" w:leftChars="200"/>
      </w:pPr>
      <w:r>
        <w:rPr>
          <w:rFonts w:hint="eastAsia"/>
        </w:rPr>
        <w:t>提供具有履行合同所必需的设备和专业技术能力的承诺函。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5"/>
        </w:numPr>
        <w:spacing w:line="520" w:lineRule="exact"/>
        <w:ind w:firstLine="482"/>
        <w:rPr>
          <w:b/>
          <w:bCs/>
        </w:rPr>
      </w:pPr>
      <w:r>
        <w:rPr>
          <w:rFonts w:hint="eastAsia"/>
          <w:b/>
          <w:bCs/>
        </w:rPr>
        <w:t>供应商有依法缴纳税收和社会保障资金的良好记录的证明材料；</w:t>
      </w:r>
    </w:p>
    <w:p>
      <w:pPr>
        <w:pStyle w:val="36"/>
        <w:numPr>
          <w:ilvl w:val="2"/>
          <w:numId w:val="0"/>
        </w:numPr>
        <w:spacing w:line="520" w:lineRule="exact"/>
        <w:ind w:left="480" w:leftChars="200"/>
      </w:pPr>
      <w:r>
        <w:rPr>
          <w:rFonts w:hint="eastAsia"/>
        </w:rPr>
        <w:t>提供有</w:t>
      </w:r>
      <w:r>
        <w:rPr>
          <w:rFonts w:hint="eastAsia"/>
          <w:lang w:val="zh-CN"/>
        </w:rPr>
        <w:t>依法缴纳税收和社会保障资金的良好记录</w:t>
      </w:r>
      <w:r>
        <w:rPr>
          <w:rFonts w:hint="eastAsia"/>
        </w:rPr>
        <w:t>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5"/>
        </w:numPr>
        <w:spacing w:line="520" w:lineRule="exact"/>
        <w:ind w:firstLine="482"/>
        <w:rPr>
          <w:b/>
          <w:bCs/>
        </w:rPr>
      </w:pPr>
      <w:r>
        <w:rPr>
          <w:rFonts w:hint="eastAsia"/>
          <w:b/>
          <w:bCs/>
        </w:rPr>
        <w:t>供应商参加采购活动前三年内，在经营活动中没有重大违法记录的证明材料；</w:t>
      </w:r>
    </w:p>
    <w:p>
      <w:pPr>
        <w:pStyle w:val="46"/>
        <w:spacing w:line="520" w:lineRule="exact"/>
      </w:pPr>
      <w:r>
        <w:rPr>
          <w:rFonts w:hint="eastAsia"/>
        </w:rPr>
        <w:t>提供参加本次采购活动前三年内，在经营活动中没有重大违法记录的书面声明(成立不足三年的，从成立之日起计算)。</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adjustRightInd/>
        <w:snapToGrid/>
        <w:spacing w:line="520" w:lineRule="exact"/>
        <w:ind w:firstLine="482"/>
        <w:rPr>
          <w:b/>
          <w:bCs/>
        </w:rPr>
      </w:pPr>
      <w:r>
        <w:rPr>
          <w:rFonts w:hint="eastAsia"/>
          <w:b/>
          <w:bCs/>
        </w:rPr>
        <w:t>供应商</w:t>
      </w:r>
      <w:r>
        <w:rPr>
          <w:rFonts w:hint="eastAsia"/>
          <w:b/>
          <w:bCs/>
          <w:lang w:val="zh-CN"/>
        </w:rPr>
        <w:t>及其现任法定代表人、主要负责人不得具有行贿犯罪记录</w:t>
      </w:r>
      <w:r>
        <w:rPr>
          <w:rFonts w:hint="eastAsia"/>
          <w:b/>
          <w:bCs/>
        </w:rPr>
        <w:t>的证明材料</w:t>
      </w:r>
      <w:r>
        <w:rPr>
          <w:rFonts w:hint="eastAsia"/>
          <w:b/>
          <w:bCs/>
          <w:lang w:val="zh-CN"/>
        </w:rPr>
        <w:t>；</w:t>
      </w:r>
    </w:p>
    <w:p>
      <w:pPr>
        <w:pStyle w:val="47"/>
        <w:spacing w:line="520" w:lineRule="exact"/>
        <w:jc w:val="both"/>
        <w:rPr>
          <w:b w:val="0"/>
          <w:bCs/>
        </w:rPr>
      </w:pPr>
      <w:r>
        <w:rPr>
          <w:rFonts w:hint="eastAsia"/>
          <w:b w:val="0"/>
          <w:bCs/>
        </w:rPr>
        <w:t>1.在响应文件中作出供应商及其现任法定代表人(姓名和身份证号码)、主要负责人(姓名和身份证号码)10年内(</w:t>
      </w:r>
      <w:r>
        <w:rPr>
          <w:rFonts w:hint="eastAsia"/>
          <w:b w:val="0"/>
          <w:bCs/>
          <w:lang w:val="zh-CN"/>
        </w:rPr>
        <w:t>若</w:t>
      </w:r>
      <w:r>
        <w:rPr>
          <w:rFonts w:hint="eastAsia"/>
          <w:b w:val="0"/>
          <w:bCs/>
        </w:rPr>
        <w:t>供应商</w:t>
      </w:r>
      <w:r>
        <w:rPr>
          <w:rFonts w:hint="eastAsia"/>
          <w:b w:val="0"/>
          <w:bCs/>
          <w:lang w:val="zh-CN"/>
        </w:rPr>
        <w:t>成立不足10年的，</w:t>
      </w:r>
      <w:r>
        <w:rPr>
          <w:rFonts w:hint="eastAsia"/>
          <w:b w:val="0"/>
          <w:bCs/>
        </w:rPr>
        <w:t>承诺期限为</w:t>
      </w:r>
      <w:r>
        <w:rPr>
          <w:rFonts w:hint="eastAsia"/>
          <w:b w:val="0"/>
          <w:bCs/>
          <w:lang w:val="zh-CN"/>
        </w:rPr>
        <w:t>成立之日起</w:t>
      </w:r>
      <w:r>
        <w:rPr>
          <w:rFonts w:hint="eastAsia"/>
          <w:b w:val="0"/>
          <w:bCs/>
        </w:rPr>
        <w:t>至今)无行贿犯罪记录的承诺；</w:t>
      </w:r>
    </w:p>
    <w:p>
      <w:pPr>
        <w:pStyle w:val="47"/>
        <w:spacing w:line="520" w:lineRule="exact"/>
        <w:jc w:val="both"/>
        <w:rPr>
          <w:b w:val="0"/>
          <w:bCs/>
          <w:lang w:val="zh-CN"/>
        </w:rPr>
      </w:pPr>
      <w:r>
        <w:rPr>
          <w:rFonts w:hint="eastAsia"/>
          <w:b w:val="0"/>
          <w:bCs/>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lang w:val="zh-CN"/>
        </w:rPr>
        <w:t>。</w:t>
      </w:r>
    </w:p>
    <w:p>
      <w:pPr>
        <w:pStyle w:val="63"/>
        <w:numPr>
          <w:ilvl w:val="3"/>
          <w:numId w:val="0"/>
        </w:numPr>
        <w:spacing w:line="520" w:lineRule="exact"/>
        <w:ind w:firstLine="482" w:firstLineChars="200"/>
      </w:pPr>
      <w:r>
        <w:rPr>
          <w:rFonts w:hint="eastAsia"/>
          <w:b/>
          <w:bCs/>
        </w:rPr>
        <w:t>注：①供应商采用提供承诺函方式响应的，其内容必须符合上述第1款的要求，否则将视为无效承诺；②如供应商未提供有效承诺函，且未</w:t>
      </w:r>
      <w:r>
        <w:rPr>
          <w:rFonts w:hint="eastAsia"/>
          <w:b/>
        </w:rPr>
        <w:t>在响应文件中书面载明</w:t>
      </w:r>
      <w:r>
        <w:rPr>
          <w:rFonts w:hint="eastAsia"/>
          <w:b/>
          <w:bCs/>
        </w:rPr>
        <w:t>其“现任法定代表人”(姓名和身份证号码)、“主要负责人”(姓名和身份证号码)信息的，将被视为无效响应。</w:t>
      </w:r>
    </w:p>
    <w:p>
      <w:pPr>
        <w:pStyle w:val="33"/>
        <w:spacing w:line="520" w:lineRule="exact"/>
        <w:ind w:firstLine="482"/>
        <w:rPr>
          <w:b/>
          <w:bCs/>
        </w:rPr>
      </w:pPr>
      <w:r>
        <w:rPr>
          <w:rFonts w:hint="eastAsia"/>
          <w:b/>
          <w:bCs/>
        </w:rPr>
        <w:t>法定代表人/单位负责人授权书原件；</w:t>
      </w:r>
    </w:p>
    <w:p>
      <w:pPr>
        <w:pStyle w:val="47"/>
        <w:spacing w:line="520" w:lineRule="exact"/>
        <w:ind w:firstLine="482"/>
      </w:pPr>
      <w:r>
        <w:rPr>
          <w:rFonts w:hint="eastAsia"/>
        </w:rPr>
        <w:t>注：①附法定代表人/单位负责人和被授权人身份证正反面复印件；②法定代表人/单位负责人亲自参与磋商时不需要提供。</w:t>
      </w:r>
    </w:p>
    <w:p>
      <w:pPr>
        <w:pStyle w:val="33"/>
        <w:spacing w:line="520" w:lineRule="exact"/>
        <w:ind w:firstLine="482"/>
        <w:rPr>
          <w:b/>
          <w:bCs/>
        </w:rPr>
      </w:pPr>
      <w:r>
        <w:rPr>
          <w:rFonts w:hint="eastAsia"/>
          <w:b/>
          <w:bCs/>
        </w:rPr>
        <w:t>法定代表人/单位负责人证明书；</w:t>
      </w:r>
    </w:p>
    <w:p>
      <w:pPr>
        <w:pStyle w:val="47"/>
        <w:spacing w:line="520" w:lineRule="exact"/>
        <w:ind w:firstLine="482"/>
      </w:pPr>
      <w:r>
        <w:rPr>
          <w:rFonts w:hint="eastAsia"/>
        </w:rPr>
        <w:t>注：①附法定代表人/单位负责人身份证正反面复印件；②法定代表人/单位负责人亲自参加磋商时提供本证明书。</w:t>
      </w:r>
    </w:p>
    <w:p>
      <w:pPr>
        <w:pStyle w:val="33"/>
        <w:spacing w:line="520" w:lineRule="exact"/>
        <w:ind w:firstLine="482"/>
        <w:rPr>
          <w:b/>
          <w:bCs/>
        </w:rPr>
      </w:pPr>
      <w:r>
        <w:rPr>
          <w:rFonts w:hint="eastAsia"/>
          <w:b/>
          <w:bCs/>
        </w:rPr>
        <w:t>法律、</w:t>
      </w:r>
      <w:r>
        <w:fldChar w:fldCharType="begin"/>
      </w:r>
      <w:r>
        <w:instrText xml:space="preserve"> HYPERLINK "http://www.lawtime.cn/info/sifakaoshi/xingzhengfa/" \t "_blank" </w:instrText>
      </w:r>
      <w:r>
        <w:fldChar w:fldCharType="separate"/>
      </w:r>
      <w:r>
        <w:rPr>
          <w:rFonts w:hint="eastAsia"/>
          <w:b/>
          <w:bCs/>
        </w:rPr>
        <w:t>行政法</w:t>
      </w:r>
      <w:r>
        <w:rPr>
          <w:rFonts w:hint="eastAsia"/>
          <w:b/>
          <w:bCs/>
        </w:rPr>
        <w:fldChar w:fldCharType="end"/>
      </w:r>
      <w:r>
        <w:rPr>
          <w:rFonts w:hint="eastAsia"/>
          <w:b/>
          <w:bCs/>
        </w:rPr>
        <w:t>规规定的其他条件的证明材料；</w:t>
      </w:r>
    </w:p>
    <w:p>
      <w:pPr>
        <w:pStyle w:val="46"/>
        <w:spacing w:line="520" w:lineRule="exact"/>
      </w:pPr>
      <w:r>
        <w:rPr>
          <w:rFonts w:hint="eastAsia"/>
        </w:rPr>
        <w:t>提供符合法律、</w:t>
      </w:r>
      <w:r>
        <w:fldChar w:fldCharType="begin"/>
      </w:r>
      <w:r>
        <w:instrText xml:space="preserve"> HYPERLINK "http://www.lawtime.cn/info/sifakaoshi/xingzhengfa/" \t "_blank" </w:instrText>
      </w:r>
      <w:r>
        <w:fldChar w:fldCharType="separate"/>
      </w:r>
      <w:r>
        <w:rPr>
          <w:rFonts w:hint="eastAsia"/>
        </w:rPr>
        <w:t>行政法</w:t>
      </w:r>
      <w:r>
        <w:rPr>
          <w:rFonts w:hint="eastAsia"/>
        </w:rPr>
        <w:fldChar w:fldCharType="end"/>
      </w:r>
      <w:r>
        <w:rPr>
          <w:rFonts w:hint="eastAsia"/>
        </w:rPr>
        <w:t>规规定的其他条件的承诺函。</w:t>
      </w:r>
    </w:p>
    <w:p>
      <w:pPr>
        <w:pStyle w:val="33"/>
        <w:spacing w:line="520" w:lineRule="exact"/>
        <w:ind w:firstLine="482"/>
        <w:rPr>
          <w:b/>
          <w:bCs/>
        </w:rPr>
      </w:pPr>
      <w:r>
        <w:rPr>
          <w:rFonts w:hint="eastAsia"/>
          <w:b/>
          <w:bCs/>
        </w:rPr>
        <w:t>根据采购项目的特殊要求，规定供应商的特定条件的证明材料；</w:t>
      </w:r>
    </w:p>
    <w:p>
      <w:pPr>
        <w:pStyle w:val="36"/>
        <w:numPr>
          <w:ilvl w:val="2"/>
          <w:numId w:val="0"/>
        </w:numPr>
        <w:spacing w:line="520" w:lineRule="exact"/>
        <w:ind w:left="480" w:leftChars="200"/>
      </w:pPr>
      <w:r>
        <w:rPr>
          <w:rFonts w:hint="eastAsia"/>
        </w:rPr>
        <w:t>提供未与其他供应商组成联合体参与本次采购活动的承诺函。</w:t>
      </w:r>
    </w:p>
    <w:p>
      <w:pPr>
        <w:pStyle w:val="33"/>
        <w:spacing w:line="500" w:lineRule="exact"/>
        <w:ind w:firstLine="482"/>
        <w:rPr>
          <w:rFonts w:cs="宋体"/>
          <w:b/>
          <w:bCs/>
        </w:rPr>
      </w:pPr>
      <w:r>
        <w:rPr>
          <w:rFonts w:hint="eastAsia" w:cs="宋体"/>
          <w:b/>
          <w:bCs/>
        </w:rPr>
        <w:t>提供有效的磋商保证金提交凭证；</w:t>
      </w:r>
    </w:p>
    <w:p>
      <w:pPr>
        <w:pStyle w:val="36"/>
        <w:numPr>
          <w:ilvl w:val="2"/>
          <w:numId w:val="0"/>
        </w:numPr>
        <w:spacing w:line="500" w:lineRule="exact"/>
        <w:ind w:left="480" w:leftChars="200"/>
      </w:pPr>
      <w:r>
        <w:rPr>
          <w:rFonts w:hint="eastAsia"/>
        </w:rPr>
        <w:t>提交磋商保证金的银行回单复印件(若以保函方式提交磋商保证金的，提供保函原件)。</w:t>
      </w:r>
    </w:p>
    <w:p>
      <w:pPr>
        <w:pStyle w:val="47"/>
        <w:spacing w:line="520" w:lineRule="exact"/>
        <w:ind w:firstLine="482"/>
      </w:pPr>
      <w:r>
        <w:rPr>
          <w:rFonts w:hint="eastAsia"/>
        </w:rPr>
        <w:t>说明：①供应商提供的以上资格证明材料及其他类似效力要求的相关证明材料均应加盖供应商公章，否则资格审查将视为未通过。本项目资格审查仅限于本章涉及的所有内容，若供应商未按照以上要求提供齐全，其资格审查作未通过处理。</w:t>
      </w:r>
    </w:p>
    <w:p>
      <w:pPr>
        <w:pStyle w:val="47"/>
        <w:spacing w:line="520" w:lineRule="exact"/>
        <w:ind w:firstLine="482"/>
      </w:pPr>
      <w:r>
        <w:rPr>
          <w:rFonts w:hint="eastAsia"/>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pPr>
        <w:pStyle w:val="47"/>
        <w:spacing w:line="520" w:lineRule="exact"/>
        <w:ind w:firstLine="482"/>
      </w:pPr>
      <w:r>
        <w:rPr>
          <w:rFonts w:hint="eastAsia"/>
        </w:rPr>
        <w:t>③重大违法记录中的较大数额罚款的具体金额标准及范围是：根据</w:t>
      </w:r>
      <w:bookmarkStart w:id="385" w:name="sendNo"/>
      <w:r>
        <w:rPr>
          <w:rFonts w:hint="eastAsia"/>
        </w:rPr>
        <w:t>财库〔2022〕3 号</w:t>
      </w:r>
      <w:bookmarkEnd w:id="385"/>
      <w:r>
        <w:rPr>
          <w:rFonts w:hint="eastAsia"/>
        </w:rPr>
        <w:t>文件关于“较大数额罚款”认定为200万元以上的罚款，法律、行政法规以及国务院有关部门明确规定相关领域“较大数额罚款”标准高于200万元的，从其规定。</w:t>
      </w:r>
    </w:p>
    <w:p>
      <w:pPr>
        <w:pStyle w:val="47"/>
        <w:spacing w:line="520" w:lineRule="exact"/>
        <w:ind w:firstLine="482"/>
      </w:pPr>
      <w:r>
        <w:rPr>
          <w:rFonts w:hint="eastAsia"/>
        </w:rPr>
        <w:t>④供应商应对其所提供的资格证明材料来源的合法性、真实性承担法律责任。</w:t>
      </w:r>
    </w:p>
    <w:p>
      <w:pPr>
        <w:pStyle w:val="47"/>
        <w:spacing w:line="520" w:lineRule="exact"/>
        <w:ind w:firstLine="482"/>
      </w:pPr>
      <w:r>
        <w:rPr>
          <w:rFonts w:hint="eastAsia"/>
        </w:rPr>
        <w:fldChar w:fldCharType="begin"/>
      </w:r>
      <w:r>
        <w:rPr>
          <w:rFonts w:hint="eastAsia"/>
        </w:rPr>
        <w:instrText xml:space="preserve"> = 5 \* GB3 \* MERGEFORMAT </w:instrText>
      </w:r>
      <w:r>
        <w:rPr>
          <w:rFonts w:hint="eastAsia"/>
        </w:rPr>
        <w:fldChar w:fldCharType="separate"/>
      </w:r>
      <w:r>
        <w:rPr>
          <w:rFonts w:hint="eastAsia"/>
        </w:rPr>
        <w:t>⑤</w:t>
      </w:r>
      <w:r>
        <w:rPr>
          <w:rFonts w:hint="eastAsia"/>
        </w:rPr>
        <w:fldChar w:fldCharType="end"/>
      </w:r>
      <w:r>
        <w:rPr>
          <w:rFonts w:hint="eastAsia"/>
        </w:rPr>
        <w:t>以上承诺及声明函可参照第三章响应文件格式“承诺及声明函”格式或自拟格式填写均有效。</w:t>
      </w:r>
    </w:p>
    <w:p>
      <w:pPr>
        <w:pStyle w:val="47"/>
        <w:spacing w:line="520" w:lineRule="exact"/>
        <w:ind w:firstLine="482"/>
      </w:pPr>
      <w:r>
        <w:rPr>
          <w:rFonts w:hint="eastAsia"/>
        </w:rPr>
        <w:fldChar w:fldCharType="begin"/>
      </w:r>
      <w:r>
        <w:rPr>
          <w:rFonts w:hint="eastAsia"/>
        </w:rPr>
        <w:instrText xml:space="preserve"> = 6 \* GB3 \* MERGEFORMAT </w:instrText>
      </w:r>
      <w:r>
        <w:rPr>
          <w:rFonts w:hint="eastAsia"/>
        </w:rPr>
        <w:fldChar w:fldCharType="separate"/>
      </w:r>
      <w:r>
        <w:rPr>
          <w:rFonts w:hint="eastAsia"/>
        </w:rPr>
        <w:t>⑥</w:t>
      </w:r>
      <w:r>
        <w:rPr>
          <w:rFonts w:hint="eastAsia"/>
        </w:rPr>
        <w:fldChar w:fldCharType="end"/>
      </w:r>
      <w:r>
        <w:rPr>
          <w:rFonts w:hint="eastAsia"/>
        </w:rPr>
        <w:t>本章要求提供的相关证明材料应当结合采购项目具体情况和供应商的组织机构性质确定，不得一概而论。</w:t>
      </w:r>
    </w:p>
    <w:bookmarkEnd w:id="384"/>
    <w:p>
      <w:pPr>
        <w:spacing w:line="520" w:lineRule="exact"/>
      </w:pPr>
      <w:r>
        <w:rPr>
          <w:rFonts w:hint="eastAsia" w:asciiTheme="minorEastAsia" w:hAnsiTheme="minorEastAsia" w:eastAsiaTheme="minorEastAsia" w:cstheme="minorEastAsia"/>
          <w:sz w:val="36"/>
          <w:szCs w:val="36"/>
        </w:rPr>
        <w:br w:type="page"/>
      </w:r>
    </w:p>
    <w:p>
      <w:pPr>
        <w:pStyle w:val="48"/>
        <w:numPr>
          <w:ilvl w:val="0"/>
          <w:numId w:val="24"/>
        </w:numPr>
        <w:spacing w:before="120" w:after="120"/>
      </w:pPr>
      <w:bookmarkStart w:id="386" w:name="_Toc30303"/>
      <w:bookmarkStart w:id="387" w:name="_Toc29311"/>
      <w:r>
        <w:rPr>
          <w:rFonts w:hint="eastAsia" w:asciiTheme="minorEastAsia" w:hAnsiTheme="minorEastAsia" w:eastAsiaTheme="minorEastAsia" w:cstheme="minorEastAsia"/>
          <w:szCs w:val="36"/>
        </w:rPr>
        <w:t>采购项目技术、服务、合同内容条款及商务要求</w:t>
      </w:r>
      <w:bookmarkEnd w:id="386"/>
      <w:bookmarkEnd w:id="387"/>
    </w:p>
    <w:p>
      <w:pPr>
        <w:pStyle w:val="35"/>
        <w:spacing w:line="520" w:lineRule="exact"/>
        <w:ind w:firstLine="482"/>
      </w:pPr>
      <w:bookmarkStart w:id="388" w:name="_Toc18478"/>
      <w:bookmarkStart w:id="389" w:name="_Toc29024"/>
      <w:bookmarkStart w:id="390" w:name="_Toc4748"/>
      <w:bookmarkStart w:id="391" w:name="_Toc28932"/>
      <w:bookmarkStart w:id="392" w:name="_Toc1684"/>
      <w:bookmarkStart w:id="393" w:name="_Toc27469"/>
      <w:bookmarkStart w:id="394" w:name="_Toc309897566"/>
      <w:bookmarkStart w:id="395" w:name="_Toc12025"/>
      <w:bookmarkStart w:id="396" w:name="_Toc1839"/>
      <w:bookmarkStart w:id="397" w:name="_Toc319439948"/>
      <w:bookmarkStart w:id="398" w:name="_Toc307564899"/>
      <w:bookmarkStart w:id="399" w:name="_Toc23360"/>
      <w:bookmarkStart w:id="400" w:name="_Toc32159"/>
      <w:bookmarkStart w:id="401" w:name="_Toc327196343"/>
      <w:bookmarkStart w:id="402" w:name="_Toc308084648"/>
      <w:bookmarkStart w:id="403" w:name="_Toc1541"/>
      <w:bookmarkStart w:id="404" w:name="_Toc307501157"/>
      <w:bookmarkStart w:id="405" w:name="_Toc308188201"/>
      <w:bookmarkStart w:id="406" w:name="_Toc217446060"/>
      <w:bookmarkStart w:id="407" w:name="_Toc319440192"/>
      <w:bookmarkStart w:id="408" w:name="_Toc29864"/>
      <w:bookmarkStart w:id="409" w:name="_Toc217446099"/>
      <w:r>
        <w:rPr>
          <w:rFonts w:hint="eastAsia"/>
        </w:rPr>
        <w:t>项目概况</w:t>
      </w:r>
      <w:bookmarkEnd w:id="388"/>
      <w:bookmarkEnd w:id="389"/>
      <w:bookmarkEnd w:id="390"/>
    </w:p>
    <w:p>
      <w:pPr>
        <w:spacing w:line="520" w:lineRule="exact"/>
        <w:ind w:firstLine="480" w:firstLineChars="200"/>
      </w:pPr>
      <w:r>
        <w:rPr>
          <w:rFonts w:hint="eastAsia" w:cs="宋体"/>
        </w:rPr>
        <w:t>本项目为成都市技师学院</w:t>
      </w:r>
      <w:r>
        <w:rPr>
          <w:rFonts w:hint="eastAsia" w:cs="宋体"/>
          <w:lang w:eastAsia="zh-CN"/>
        </w:rPr>
        <w:t>(</w:t>
      </w:r>
      <w:r>
        <w:rPr>
          <w:rFonts w:hint="eastAsia" w:cs="宋体"/>
        </w:rPr>
        <w:t>成都工贸职业技术学院</w:t>
      </w:r>
      <w:r>
        <w:rPr>
          <w:rFonts w:hint="eastAsia" w:cs="宋体"/>
          <w:lang w:eastAsia="zh-CN"/>
        </w:rPr>
        <w:t>)</w:t>
      </w:r>
      <w:r>
        <w:rPr>
          <w:rFonts w:hint="eastAsia" w:cs="宋体"/>
        </w:rPr>
        <w:t>私有云平台及</w:t>
      </w:r>
      <w:r>
        <w:rPr>
          <w:rFonts w:hint="eastAsia" w:cs="宋体"/>
          <w:lang w:eastAsia="zh-CN"/>
        </w:rPr>
        <w:t>网站群</w:t>
      </w:r>
      <w:r>
        <w:rPr>
          <w:rFonts w:hint="eastAsia" w:cs="宋体"/>
        </w:rPr>
        <w:t>等保测评，拟采购一名</w:t>
      </w:r>
      <w:r>
        <w:rPr>
          <w:rFonts w:hint="eastAsia" w:cs="宋体"/>
          <w:lang w:eastAsia="zh-CN"/>
        </w:rPr>
        <w:t>供应商</w:t>
      </w:r>
      <w:r>
        <w:rPr>
          <w:rFonts w:hint="eastAsia" w:cs="宋体"/>
        </w:rPr>
        <w:t>为</w:t>
      </w:r>
      <w:r>
        <w:rPr>
          <w:rFonts w:hint="eastAsia" w:cs="宋体"/>
          <w:lang w:val="en-US" w:eastAsia="zh-CN"/>
        </w:rPr>
        <w:t>采购人</w:t>
      </w:r>
      <w:r>
        <w:rPr>
          <w:rFonts w:hint="eastAsia" w:cs="宋体"/>
        </w:rPr>
        <w:t>提供等保测评服务，测评内容为私有云平台、</w:t>
      </w:r>
      <w:r>
        <w:rPr>
          <w:rFonts w:hint="eastAsia" w:cs="宋体"/>
          <w:lang w:eastAsia="zh-CN"/>
        </w:rPr>
        <w:t>网站群</w:t>
      </w:r>
      <w:r>
        <w:rPr>
          <w:rFonts w:hint="eastAsia" w:cs="宋体"/>
        </w:rPr>
        <w:t>，私有云平台部署在成都市技师学院数据中心机房，</w:t>
      </w:r>
      <w:r>
        <w:rPr>
          <w:rFonts w:hint="eastAsia" w:cs="宋体"/>
          <w:lang w:eastAsia="zh-CN"/>
        </w:rPr>
        <w:t>网站群</w:t>
      </w:r>
      <w:r>
        <w:rPr>
          <w:rFonts w:hint="eastAsia" w:cs="宋体"/>
        </w:rPr>
        <w:t>部署在移动公有云服务器上。</w:t>
      </w:r>
    </w:p>
    <w:p>
      <w:pPr>
        <w:pStyle w:val="35"/>
        <w:spacing w:line="520" w:lineRule="exact"/>
        <w:ind w:firstLine="482"/>
      </w:pPr>
      <w:bookmarkStart w:id="410" w:name="_Toc11256"/>
      <w:bookmarkStart w:id="411" w:name="_Toc26565"/>
      <w:bookmarkStart w:id="412" w:name="_Toc15303"/>
      <w:bookmarkStart w:id="413" w:name="_Toc1672"/>
      <w:bookmarkStart w:id="414" w:name="_Toc12968"/>
      <w:bookmarkStart w:id="415" w:name="_Toc30785"/>
      <w:r>
        <w:rPr>
          <w:rFonts w:hint="eastAsia"/>
        </w:rPr>
        <w:t>★采购标的</w:t>
      </w:r>
      <w:bookmarkEnd w:id="410"/>
      <w:bookmarkEnd w:id="411"/>
    </w:p>
    <w:tbl>
      <w:tblPr>
        <w:tblStyle w:val="23"/>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541"/>
        <w:gridCol w:w="1583"/>
        <w:gridCol w:w="1600"/>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pct"/>
            <w:vAlign w:val="center"/>
          </w:tcPr>
          <w:p>
            <w:pPr>
              <w:spacing w:line="360" w:lineRule="exact"/>
              <w:jc w:val="center"/>
              <w:rPr>
                <w:rFonts w:cs="宋体"/>
                <w:b/>
                <w:sz w:val="21"/>
                <w:szCs w:val="21"/>
              </w:rPr>
            </w:pPr>
            <w:r>
              <w:rPr>
                <w:rFonts w:hint="eastAsia" w:cs="宋体"/>
                <w:b/>
                <w:sz w:val="21"/>
                <w:szCs w:val="21"/>
              </w:rPr>
              <w:t>序号</w:t>
            </w:r>
          </w:p>
        </w:tc>
        <w:tc>
          <w:tcPr>
            <w:tcW w:w="1337" w:type="pct"/>
            <w:vAlign w:val="center"/>
          </w:tcPr>
          <w:p>
            <w:pPr>
              <w:spacing w:line="360" w:lineRule="exact"/>
              <w:jc w:val="center"/>
              <w:rPr>
                <w:rFonts w:cs="宋体"/>
                <w:b/>
                <w:sz w:val="21"/>
                <w:szCs w:val="21"/>
              </w:rPr>
            </w:pPr>
            <w:r>
              <w:rPr>
                <w:rFonts w:hint="eastAsia" w:cs="宋体"/>
                <w:b/>
                <w:sz w:val="21"/>
                <w:szCs w:val="21"/>
              </w:rPr>
              <w:t>标的名称</w:t>
            </w:r>
          </w:p>
        </w:tc>
        <w:tc>
          <w:tcPr>
            <w:tcW w:w="833" w:type="pct"/>
            <w:vAlign w:val="center"/>
          </w:tcPr>
          <w:p>
            <w:pPr>
              <w:spacing w:line="360" w:lineRule="exact"/>
              <w:jc w:val="center"/>
              <w:rPr>
                <w:rFonts w:cs="宋体"/>
                <w:b/>
                <w:sz w:val="21"/>
                <w:szCs w:val="21"/>
              </w:rPr>
            </w:pPr>
            <w:r>
              <w:rPr>
                <w:rFonts w:hint="eastAsia" w:cs="宋体"/>
                <w:b/>
                <w:sz w:val="21"/>
                <w:szCs w:val="21"/>
              </w:rPr>
              <w:t>计量单位</w:t>
            </w:r>
          </w:p>
        </w:tc>
        <w:tc>
          <w:tcPr>
            <w:tcW w:w="842" w:type="pct"/>
            <w:vAlign w:val="center"/>
          </w:tcPr>
          <w:p>
            <w:pPr>
              <w:spacing w:line="360" w:lineRule="exact"/>
              <w:jc w:val="center"/>
              <w:rPr>
                <w:rFonts w:cs="宋体"/>
                <w:b/>
                <w:sz w:val="21"/>
                <w:szCs w:val="21"/>
              </w:rPr>
            </w:pPr>
            <w:r>
              <w:rPr>
                <w:rFonts w:hint="eastAsia" w:cs="宋体"/>
                <w:b/>
                <w:sz w:val="21"/>
                <w:szCs w:val="21"/>
              </w:rPr>
              <w:t>数量</w:t>
            </w:r>
          </w:p>
        </w:tc>
        <w:tc>
          <w:tcPr>
            <w:tcW w:w="1504" w:type="pct"/>
            <w:vAlign w:val="center"/>
          </w:tcPr>
          <w:p>
            <w:pPr>
              <w:spacing w:line="360" w:lineRule="exact"/>
              <w:jc w:val="center"/>
              <w:rPr>
                <w:rFonts w:cs="宋体"/>
                <w:b/>
                <w:sz w:val="21"/>
                <w:szCs w:val="21"/>
              </w:rPr>
            </w:pPr>
            <w:r>
              <w:rPr>
                <w:rFonts w:hint="eastAsia" w:cs="宋体"/>
                <w:b/>
                <w:sz w:val="21"/>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pct"/>
            <w:vAlign w:val="center"/>
          </w:tcPr>
          <w:p>
            <w:pPr>
              <w:wordWrap w:val="0"/>
              <w:spacing w:line="360" w:lineRule="exact"/>
              <w:jc w:val="center"/>
              <w:rPr>
                <w:rFonts w:cs="宋体"/>
                <w:sz w:val="21"/>
                <w:szCs w:val="21"/>
              </w:rPr>
            </w:pPr>
            <w:r>
              <w:rPr>
                <w:rFonts w:hint="eastAsia" w:cs="宋体"/>
                <w:sz w:val="21"/>
                <w:szCs w:val="21"/>
              </w:rPr>
              <w:t>1</w:t>
            </w:r>
          </w:p>
        </w:tc>
        <w:tc>
          <w:tcPr>
            <w:tcW w:w="2541" w:type="dxa"/>
            <w:vAlign w:val="center"/>
          </w:tcPr>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bCs/>
                <w:sz w:val="21"/>
                <w:szCs w:val="21"/>
              </w:rPr>
              <w:t>私有云平台三级等保测评服务</w:t>
            </w:r>
          </w:p>
        </w:tc>
        <w:tc>
          <w:tcPr>
            <w:tcW w:w="833" w:type="pct"/>
            <w:vAlign w:val="center"/>
          </w:tcPr>
          <w:p>
            <w:pPr>
              <w:spacing w:line="360" w:lineRule="exact"/>
              <w:jc w:val="center"/>
              <w:rPr>
                <w:rFonts w:hint="eastAsia" w:eastAsia="宋体" w:cs="宋体"/>
                <w:sz w:val="21"/>
                <w:szCs w:val="21"/>
                <w:lang w:eastAsia="zh-CN"/>
              </w:rPr>
            </w:pPr>
            <w:r>
              <w:rPr>
                <w:rFonts w:hint="eastAsia" w:cs="宋体"/>
                <w:sz w:val="21"/>
                <w:szCs w:val="21"/>
                <w:lang w:val="en-US" w:eastAsia="zh-CN"/>
              </w:rPr>
              <w:t>套</w:t>
            </w:r>
          </w:p>
        </w:tc>
        <w:tc>
          <w:tcPr>
            <w:tcW w:w="842" w:type="pct"/>
            <w:vAlign w:val="center"/>
          </w:tcPr>
          <w:p>
            <w:pPr>
              <w:wordWrap w:val="0"/>
              <w:spacing w:line="360" w:lineRule="exact"/>
              <w:jc w:val="center"/>
              <w:rPr>
                <w:rFonts w:cs="宋体"/>
                <w:sz w:val="21"/>
                <w:szCs w:val="21"/>
              </w:rPr>
            </w:pPr>
            <w:r>
              <w:rPr>
                <w:rFonts w:hint="eastAsia" w:cs="宋体"/>
                <w:sz w:val="21"/>
                <w:szCs w:val="21"/>
              </w:rPr>
              <w:t>1</w:t>
            </w:r>
          </w:p>
        </w:tc>
        <w:tc>
          <w:tcPr>
            <w:tcW w:w="1504" w:type="pct"/>
            <w:vAlign w:val="center"/>
          </w:tcPr>
          <w:p>
            <w:pPr>
              <w:wordWrap w:val="0"/>
              <w:spacing w:line="360" w:lineRule="exact"/>
              <w:jc w:val="center"/>
              <w:rPr>
                <w:rFonts w:cs="宋体"/>
                <w:sz w:val="21"/>
                <w:szCs w:val="21"/>
              </w:rPr>
            </w:pPr>
            <w:r>
              <w:rPr>
                <w:rFonts w:hint="eastAsia" w:cs="宋体"/>
                <w:sz w:val="21"/>
                <w:szCs w:val="21"/>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pct"/>
            <w:vAlign w:val="center"/>
          </w:tcPr>
          <w:p>
            <w:pPr>
              <w:spacing w:line="360" w:lineRule="exact"/>
              <w:jc w:val="center"/>
              <w:rPr>
                <w:rFonts w:cs="宋体"/>
                <w:sz w:val="21"/>
                <w:szCs w:val="21"/>
              </w:rPr>
            </w:pPr>
            <w:r>
              <w:rPr>
                <w:rFonts w:hint="eastAsia" w:cs="宋体"/>
                <w:sz w:val="21"/>
                <w:szCs w:val="21"/>
              </w:rPr>
              <w:t>2</w:t>
            </w:r>
          </w:p>
        </w:tc>
        <w:tc>
          <w:tcPr>
            <w:tcW w:w="2541" w:type="dxa"/>
            <w:vAlign w:val="center"/>
          </w:tcPr>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bCs/>
                <w:sz w:val="21"/>
                <w:szCs w:val="21"/>
                <w:lang w:eastAsia="zh-CN"/>
              </w:rPr>
              <w:t>网站群</w:t>
            </w:r>
            <w:r>
              <w:rPr>
                <w:rFonts w:hint="eastAsia" w:ascii="宋体" w:hAnsi="宋体" w:eastAsia="宋体" w:cs="宋体"/>
                <w:bCs/>
                <w:sz w:val="21"/>
                <w:szCs w:val="21"/>
              </w:rPr>
              <w:t>二级等保测评服务</w:t>
            </w:r>
          </w:p>
        </w:tc>
        <w:tc>
          <w:tcPr>
            <w:tcW w:w="833" w:type="pct"/>
            <w:vAlign w:val="center"/>
          </w:tcPr>
          <w:p>
            <w:pPr>
              <w:wordWrap w:val="0"/>
              <w:spacing w:line="360" w:lineRule="exact"/>
              <w:jc w:val="center"/>
              <w:rPr>
                <w:rFonts w:cs="宋体"/>
                <w:sz w:val="21"/>
                <w:szCs w:val="21"/>
              </w:rPr>
            </w:pPr>
            <w:r>
              <w:rPr>
                <w:rFonts w:hint="eastAsia" w:cs="宋体"/>
                <w:sz w:val="21"/>
                <w:szCs w:val="21"/>
                <w:lang w:val="en-US" w:eastAsia="zh-CN"/>
              </w:rPr>
              <w:t>套</w:t>
            </w:r>
          </w:p>
        </w:tc>
        <w:tc>
          <w:tcPr>
            <w:tcW w:w="842" w:type="pct"/>
            <w:vAlign w:val="center"/>
          </w:tcPr>
          <w:p>
            <w:pPr>
              <w:wordWrap w:val="0"/>
              <w:spacing w:line="360" w:lineRule="exact"/>
              <w:jc w:val="center"/>
              <w:rPr>
                <w:rFonts w:cs="宋体"/>
                <w:sz w:val="21"/>
                <w:szCs w:val="21"/>
              </w:rPr>
            </w:pPr>
            <w:r>
              <w:rPr>
                <w:rFonts w:hint="eastAsia" w:cs="宋体"/>
                <w:sz w:val="21"/>
                <w:szCs w:val="21"/>
              </w:rPr>
              <w:t>1</w:t>
            </w:r>
          </w:p>
        </w:tc>
        <w:tc>
          <w:tcPr>
            <w:tcW w:w="1504" w:type="pct"/>
            <w:vAlign w:val="center"/>
          </w:tcPr>
          <w:p>
            <w:pPr>
              <w:wordWrap w:val="0"/>
              <w:spacing w:line="360" w:lineRule="exact"/>
              <w:jc w:val="center"/>
              <w:rPr>
                <w:rFonts w:cs="宋体"/>
                <w:sz w:val="21"/>
                <w:szCs w:val="21"/>
              </w:rPr>
            </w:pPr>
            <w:r>
              <w:rPr>
                <w:rFonts w:hint="eastAsia" w:cs="宋体"/>
                <w:sz w:val="21"/>
                <w:szCs w:val="21"/>
              </w:rPr>
              <w:t>软件和信息技术服务业</w:t>
            </w:r>
          </w:p>
        </w:tc>
      </w:tr>
      <w:bookmarkEnd w:id="412"/>
      <w:bookmarkEnd w:id="413"/>
      <w:bookmarkEnd w:id="414"/>
      <w:bookmarkEnd w:id="415"/>
    </w:tbl>
    <w:p>
      <w:pPr>
        <w:pStyle w:val="35"/>
        <w:spacing w:line="520" w:lineRule="exact"/>
        <w:ind w:firstLine="482"/>
      </w:pPr>
      <w:bookmarkStart w:id="416" w:name="_Toc30700"/>
      <w:r>
        <w:rPr>
          <w:rFonts w:hint="eastAsia"/>
        </w:rPr>
        <w:t>★技术及服务要求</w:t>
      </w:r>
      <w:bookmarkEnd w:id="416"/>
    </w:p>
    <w:tbl>
      <w:tblPr>
        <w:tblStyle w:val="23"/>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33"/>
        <w:gridCol w:w="7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9" w:type="dxa"/>
            <w:vAlign w:val="center"/>
          </w:tcPr>
          <w:p>
            <w:pPr>
              <w:spacing w:line="360" w:lineRule="exact"/>
              <w:jc w:val="center"/>
              <w:rPr>
                <w:rFonts w:cs="宋体"/>
                <w:b/>
                <w:sz w:val="21"/>
                <w:szCs w:val="21"/>
              </w:rPr>
            </w:pPr>
            <w:bookmarkStart w:id="417" w:name="_Toc17693"/>
            <w:bookmarkStart w:id="418" w:name="_Toc12739"/>
            <w:bookmarkStart w:id="419" w:name="_Toc6698"/>
            <w:bookmarkStart w:id="420" w:name="_Toc7101"/>
            <w:bookmarkStart w:id="421" w:name="_Toc27497"/>
            <w:bookmarkStart w:id="422" w:name="_Toc24338"/>
            <w:bookmarkStart w:id="423" w:name="_Toc9683"/>
            <w:bookmarkStart w:id="424" w:name="_Toc6974"/>
            <w:bookmarkStart w:id="425" w:name="_Toc8752_WPSOffice_Level2"/>
            <w:r>
              <w:rPr>
                <w:rFonts w:hint="eastAsia" w:cs="宋体"/>
                <w:b/>
                <w:sz w:val="21"/>
                <w:szCs w:val="21"/>
              </w:rPr>
              <w:t>序号</w:t>
            </w:r>
          </w:p>
        </w:tc>
        <w:tc>
          <w:tcPr>
            <w:tcW w:w="1233" w:type="dxa"/>
            <w:vAlign w:val="center"/>
          </w:tcPr>
          <w:p>
            <w:pPr>
              <w:spacing w:line="360" w:lineRule="exact"/>
              <w:jc w:val="center"/>
              <w:rPr>
                <w:rFonts w:cs="宋体"/>
                <w:b/>
                <w:sz w:val="21"/>
                <w:szCs w:val="21"/>
              </w:rPr>
            </w:pPr>
            <w:r>
              <w:rPr>
                <w:rFonts w:hint="eastAsia" w:cs="宋体"/>
                <w:b/>
                <w:sz w:val="21"/>
                <w:szCs w:val="21"/>
              </w:rPr>
              <w:t>标的名称</w:t>
            </w:r>
          </w:p>
        </w:tc>
        <w:tc>
          <w:tcPr>
            <w:tcW w:w="7756" w:type="dxa"/>
            <w:vAlign w:val="center"/>
          </w:tcPr>
          <w:p>
            <w:pPr>
              <w:pStyle w:val="11"/>
              <w:spacing w:after="0" w:line="360" w:lineRule="exact"/>
              <w:jc w:val="center"/>
              <w:rPr>
                <w:rFonts w:ascii="宋体" w:cs="宋体"/>
                <w:b/>
                <w:sz w:val="21"/>
                <w:szCs w:val="21"/>
              </w:rPr>
            </w:pPr>
            <w:r>
              <w:rPr>
                <w:rFonts w:ascii="宋体" w:cs="宋体"/>
                <w:b/>
                <w:sz w:val="21"/>
                <w:szCs w:val="21"/>
              </w:rPr>
              <w:t>技术及服务要求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spacing w:line="360" w:lineRule="exact"/>
              <w:jc w:val="center"/>
              <w:rPr>
                <w:rFonts w:cs="宋体"/>
                <w:bCs/>
                <w:sz w:val="21"/>
                <w:szCs w:val="21"/>
              </w:rPr>
            </w:pPr>
            <w:r>
              <w:rPr>
                <w:rFonts w:hint="eastAsia" w:cs="宋体"/>
                <w:bCs/>
                <w:sz w:val="21"/>
                <w:szCs w:val="21"/>
              </w:rPr>
              <w:t>1</w:t>
            </w:r>
          </w:p>
        </w:tc>
        <w:tc>
          <w:tcPr>
            <w:tcW w:w="1233" w:type="dxa"/>
            <w:vAlign w:val="center"/>
          </w:tcPr>
          <w:p>
            <w:pPr>
              <w:spacing w:line="360" w:lineRule="exact"/>
              <w:jc w:val="center"/>
              <w:rPr>
                <w:rFonts w:cs="宋体"/>
                <w:bCs/>
                <w:sz w:val="21"/>
                <w:szCs w:val="21"/>
              </w:rPr>
            </w:pPr>
            <w:r>
              <w:rPr>
                <w:rFonts w:hint="eastAsia" w:ascii="宋体" w:hAnsi="宋体" w:eastAsia="宋体" w:cs="宋体"/>
                <w:bCs/>
                <w:sz w:val="21"/>
                <w:szCs w:val="21"/>
              </w:rPr>
              <w:t>私有云平台三级等保测评服务</w:t>
            </w:r>
          </w:p>
        </w:tc>
        <w:tc>
          <w:tcPr>
            <w:tcW w:w="7756" w:type="dxa"/>
            <w:vAlign w:val="center"/>
          </w:tcPr>
          <w:p>
            <w:pPr>
              <w:pStyle w:val="11"/>
              <w:spacing w:after="0" w:line="360" w:lineRule="exact"/>
              <w:rPr>
                <w:rFonts w:hint="eastAsia" w:ascii="宋体" w:cs="宋体"/>
                <w:sz w:val="21"/>
                <w:szCs w:val="21"/>
              </w:rPr>
            </w:pPr>
            <w:r>
              <w:rPr>
                <w:rFonts w:hint="eastAsia" w:ascii="宋体" w:cs="宋体"/>
                <w:sz w:val="21"/>
                <w:szCs w:val="21"/>
                <w:lang w:val="en-US" w:eastAsia="zh-CN"/>
              </w:rPr>
              <w:t>一、</w:t>
            </w:r>
            <w:r>
              <w:rPr>
                <w:rFonts w:hint="eastAsia" w:ascii="宋体" w:cs="宋体"/>
                <w:sz w:val="21"/>
                <w:szCs w:val="21"/>
              </w:rPr>
              <w:t>测评服务</w:t>
            </w:r>
          </w:p>
          <w:p>
            <w:pPr>
              <w:pStyle w:val="11"/>
              <w:spacing w:after="0" w:line="360" w:lineRule="exact"/>
              <w:rPr>
                <w:rFonts w:hint="eastAsia" w:ascii="宋体" w:cs="宋体"/>
                <w:sz w:val="21"/>
                <w:szCs w:val="21"/>
              </w:rPr>
            </w:pPr>
            <w:r>
              <w:rPr>
                <w:rFonts w:hint="eastAsia" w:ascii="宋体" w:cs="宋体"/>
                <w:sz w:val="21"/>
                <w:szCs w:val="21"/>
              </w:rPr>
              <w:t>1.安全技术测评：包括安全物理环境、安全通信网络、安全区域边界、安全计算环境等方面的安全测评。</w:t>
            </w:r>
          </w:p>
          <w:p>
            <w:pPr>
              <w:pStyle w:val="11"/>
              <w:spacing w:after="0" w:line="360" w:lineRule="exact"/>
              <w:rPr>
                <w:rFonts w:hint="eastAsia" w:ascii="宋体" w:cs="宋体"/>
                <w:sz w:val="21"/>
                <w:szCs w:val="21"/>
              </w:rPr>
            </w:pPr>
            <w:r>
              <w:rPr>
                <w:rFonts w:hint="eastAsia" w:ascii="宋体" w:cs="宋体"/>
                <w:sz w:val="21"/>
                <w:szCs w:val="21"/>
              </w:rPr>
              <w:t>2.安全管理测评：包括安全管理制度、安全管理机构、安全管理人员、安全建设管理和安全运维管理等方面的安全测评。</w:t>
            </w:r>
          </w:p>
          <w:p>
            <w:pPr>
              <w:pStyle w:val="11"/>
              <w:spacing w:after="0" w:line="360" w:lineRule="exact"/>
              <w:rPr>
                <w:rFonts w:hint="eastAsia" w:ascii="宋体" w:cs="宋体"/>
                <w:sz w:val="21"/>
                <w:szCs w:val="21"/>
              </w:rPr>
            </w:pPr>
            <w:r>
              <w:rPr>
                <w:rFonts w:hint="eastAsia" w:ascii="宋体" w:cs="宋体"/>
                <w:sz w:val="21"/>
                <w:szCs w:val="21"/>
              </w:rPr>
              <w:t>3.漏洞扫描：针对网络设备，服务器，应用等进行漏洞扫描出具漏洞扫描报告。</w:t>
            </w:r>
          </w:p>
          <w:p>
            <w:pPr>
              <w:pStyle w:val="11"/>
              <w:spacing w:after="0" w:line="360" w:lineRule="exact"/>
              <w:rPr>
                <w:rFonts w:hint="eastAsia" w:ascii="宋体" w:cs="宋体"/>
                <w:sz w:val="21"/>
                <w:szCs w:val="21"/>
              </w:rPr>
            </w:pPr>
            <w:r>
              <w:rPr>
                <w:rFonts w:hint="eastAsia" w:ascii="宋体" w:cs="宋体"/>
                <w:sz w:val="21"/>
                <w:szCs w:val="21"/>
              </w:rPr>
              <w:t>4.形成差距分析报告：依据测评结果和《信息系统安全等级保护基本要求》，要求从信息系统是否具备标准所要求的安全保护设施、安全设施的策略是否达到标准的要求、安全策略是否达到保护的效果三个方面开展差距测评工作。全面的从物理安全、网络安全、主机安全、应用安全、数据安全、安全管理中的所有指标逐项对信息系统中相关的资产进行检查。对各信息系统进行安全现状分析，形成相应的差距分析报告。</w:t>
            </w:r>
          </w:p>
          <w:p>
            <w:pPr>
              <w:pStyle w:val="11"/>
              <w:spacing w:after="0" w:line="360" w:lineRule="exact"/>
              <w:rPr>
                <w:rFonts w:hint="eastAsia" w:ascii="宋体" w:cs="宋体"/>
                <w:sz w:val="21"/>
                <w:szCs w:val="21"/>
              </w:rPr>
            </w:pPr>
            <w:r>
              <w:rPr>
                <w:rFonts w:hint="eastAsia" w:ascii="宋体" w:cs="宋体"/>
                <w:sz w:val="21"/>
                <w:szCs w:val="21"/>
              </w:rPr>
              <w:t>5.依据《信息系统安全等级保护基本要求》和《信息系统等级保护安全设计技术要求》，协助</w:t>
            </w:r>
            <w:r>
              <w:rPr>
                <w:rFonts w:hint="eastAsia" w:ascii="宋体" w:cs="宋体"/>
                <w:sz w:val="21"/>
                <w:szCs w:val="21"/>
                <w:lang w:eastAsia="zh-CN"/>
              </w:rPr>
              <w:t>采购人</w:t>
            </w:r>
            <w:r>
              <w:rPr>
                <w:rFonts w:hint="eastAsia" w:ascii="宋体" w:cs="宋体"/>
                <w:sz w:val="21"/>
                <w:szCs w:val="21"/>
              </w:rPr>
              <w:t>制订和完善各项信息安全管理制度，规范信息安全日常管理工作，提高信息安全基础管理水平。</w:t>
            </w:r>
          </w:p>
          <w:p>
            <w:pPr>
              <w:pStyle w:val="11"/>
              <w:spacing w:after="0" w:line="360" w:lineRule="exact"/>
              <w:rPr>
                <w:rFonts w:hint="eastAsia" w:ascii="宋体" w:cs="宋体"/>
                <w:sz w:val="21"/>
                <w:szCs w:val="21"/>
              </w:rPr>
            </w:pPr>
            <w:r>
              <w:rPr>
                <w:rFonts w:hint="eastAsia" w:ascii="宋体" w:cs="宋体"/>
                <w:sz w:val="21"/>
                <w:szCs w:val="21"/>
              </w:rPr>
              <w:t>6.完成上述测评工作和实施整改后，最后出具符合公安机关要求的</w:t>
            </w:r>
            <w:r>
              <w:rPr>
                <w:rFonts w:hint="eastAsia" w:ascii="宋体" w:cs="宋体"/>
                <w:sz w:val="21"/>
                <w:szCs w:val="21"/>
                <w:lang w:eastAsia="zh-CN"/>
              </w:rPr>
              <w:t>(</w:t>
            </w:r>
            <w:r>
              <w:rPr>
                <w:rFonts w:hint="eastAsia" w:ascii="宋体" w:cs="宋体"/>
                <w:sz w:val="21"/>
                <w:szCs w:val="21"/>
              </w:rPr>
              <w:t>年度</w:t>
            </w:r>
            <w:r>
              <w:rPr>
                <w:rFonts w:hint="eastAsia" w:ascii="宋体" w:cs="宋体"/>
                <w:sz w:val="21"/>
                <w:szCs w:val="21"/>
                <w:lang w:eastAsia="zh-CN"/>
              </w:rPr>
              <w:t>)</w:t>
            </w:r>
            <w:r>
              <w:rPr>
                <w:rFonts w:hint="eastAsia" w:ascii="宋体" w:cs="宋体"/>
                <w:sz w:val="21"/>
                <w:szCs w:val="21"/>
              </w:rPr>
              <w:t xml:space="preserve">信息系统安全保护等级测评报告。 </w:t>
            </w:r>
          </w:p>
          <w:p>
            <w:pPr>
              <w:pStyle w:val="11"/>
              <w:spacing w:after="0" w:line="360" w:lineRule="exact"/>
              <w:rPr>
                <w:rFonts w:hint="eastAsia" w:ascii="宋体" w:cs="宋体"/>
                <w:sz w:val="21"/>
                <w:szCs w:val="21"/>
              </w:rPr>
            </w:pPr>
            <w:r>
              <w:rPr>
                <w:rFonts w:hint="eastAsia" w:ascii="宋体" w:cs="宋体"/>
                <w:sz w:val="21"/>
                <w:szCs w:val="21"/>
                <w:lang w:val="en-US" w:eastAsia="zh-CN"/>
              </w:rPr>
              <w:t>二、</w:t>
            </w:r>
            <w:r>
              <w:rPr>
                <w:rFonts w:hint="eastAsia" w:ascii="宋体" w:cs="宋体"/>
                <w:sz w:val="21"/>
                <w:szCs w:val="21"/>
              </w:rPr>
              <w:t>项实施要求</w:t>
            </w:r>
          </w:p>
          <w:p>
            <w:pPr>
              <w:pStyle w:val="11"/>
              <w:spacing w:after="0" w:line="360" w:lineRule="exact"/>
              <w:rPr>
                <w:rFonts w:hint="eastAsia" w:ascii="宋体" w:cs="宋体"/>
                <w:sz w:val="21"/>
                <w:szCs w:val="21"/>
              </w:rPr>
            </w:pPr>
            <w:r>
              <w:rPr>
                <w:rFonts w:hint="eastAsia" w:ascii="宋体" w:cs="宋体"/>
                <w:sz w:val="21"/>
                <w:szCs w:val="21"/>
              </w:rPr>
              <w:t>1.实施原则</w:t>
            </w:r>
          </w:p>
          <w:p>
            <w:pPr>
              <w:pStyle w:val="11"/>
              <w:spacing w:after="0" w:line="360" w:lineRule="exact"/>
              <w:rPr>
                <w:rFonts w:hint="eastAsia" w:ascii="宋体" w:cs="宋体"/>
                <w:sz w:val="21"/>
                <w:szCs w:val="21"/>
              </w:rPr>
            </w:pPr>
            <w:r>
              <w:rPr>
                <w:rFonts w:hint="eastAsia" w:ascii="宋体" w:cs="宋体"/>
                <w:sz w:val="21"/>
                <w:szCs w:val="21"/>
              </w:rPr>
              <w:t>1.1规范性原则：成交</w:t>
            </w:r>
            <w:r>
              <w:rPr>
                <w:rFonts w:hint="eastAsia" w:ascii="宋体" w:cs="宋体"/>
                <w:sz w:val="21"/>
                <w:szCs w:val="21"/>
                <w:lang w:eastAsia="zh-CN"/>
              </w:rPr>
              <w:t>供应商</w:t>
            </w:r>
            <w:r>
              <w:rPr>
                <w:rFonts w:hint="eastAsia" w:ascii="宋体" w:cs="宋体"/>
                <w:sz w:val="21"/>
                <w:szCs w:val="21"/>
              </w:rPr>
              <w:t>工作中的过程和文档，具有很好的规范性，可以便于项目的跟踪和控制；</w:t>
            </w:r>
          </w:p>
          <w:p>
            <w:pPr>
              <w:pStyle w:val="11"/>
              <w:spacing w:after="0" w:line="360" w:lineRule="exact"/>
              <w:rPr>
                <w:rFonts w:hint="eastAsia" w:ascii="宋体" w:cs="宋体"/>
                <w:sz w:val="21"/>
                <w:szCs w:val="21"/>
              </w:rPr>
            </w:pPr>
            <w:r>
              <w:rPr>
                <w:rFonts w:hint="eastAsia" w:ascii="宋体" w:cs="宋体"/>
                <w:sz w:val="21"/>
                <w:szCs w:val="21"/>
              </w:rPr>
              <w:t>1.2标准性原则：测评方案的设计与实施应依据国家等级保护的相关标准进行。</w:t>
            </w:r>
          </w:p>
          <w:p>
            <w:pPr>
              <w:pStyle w:val="11"/>
              <w:spacing w:after="0" w:line="360" w:lineRule="exact"/>
              <w:rPr>
                <w:rFonts w:hint="eastAsia" w:ascii="宋体" w:cs="宋体"/>
                <w:sz w:val="21"/>
                <w:szCs w:val="21"/>
              </w:rPr>
            </w:pPr>
            <w:r>
              <w:rPr>
                <w:rFonts w:hint="eastAsia" w:ascii="宋体" w:cs="宋体"/>
                <w:sz w:val="21"/>
                <w:szCs w:val="21"/>
              </w:rPr>
              <w:t>1.3可控性原则：测评的工具、方法和过程需在双方认可的范围之内并符合进度表的安排，保证采购人对服务工作的可控性；</w:t>
            </w:r>
          </w:p>
          <w:p>
            <w:pPr>
              <w:pStyle w:val="11"/>
              <w:spacing w:after="0" w:line="360" w:lineRule="exact"/>
              <w:rPr>
                <w:rFonts w:hint="eastAsia" w:ascii="宋体" w:cs="宋体"/>
                <w:sz w:val="21"/>
                <w:szCs w:val="21"/>
              </w:rPr>
            </w:pPr>
            <w:r>
              <w:rPr>
                <w:rFonts w:hint="eastAsia" w:ascii="宋体" w:cs="宋体"/>
                <w:sz w:val="21"/>
                <w:szCs w:val="21"/>
              </w:rPr>
              <w:t>1.4整体性原则：测评和分析的范围和内容应当整体全面，包括安全涉及的各个层面，避免由于遗漏造成未来的安全隐患；</w:t>
            </w:r>
          </w:p>
          <w:p>
            <w:pPr>
              <w:pStyle w:val="11"/>
              <w:spacing w:after="0" w:line="360" w:lineRule="exact"/>
              <w:rPr>
                <w:rFonts w:hint="eastAsia" w:ascii="宋体" w:cs="宋体"/>
                <w:sz w:val="21"/>
                <w:szCs w:val="21"/>
              </w:rPr>
            </w:pPr>
            <w:r>
              <w:rPr>
                <w:rFonts w:hint="eastAsia" w:ascii="宋体" w:cs="宋体"/>
                <w:sz w:val="21"/>
                <w:szCs w:val="21"/>
              </w:rPr>
              <w:t>1.5最小影响原则：测评工作应尽可能小的影响系统和网络的正常运行，不能对现网的运行和业务的正常提供产生显著影响(包括系统性能明显下降、网络拥塞、服务中断，如无法避免出现这些情况应在应答书上详细描述)；</w:t>
            </w:r>
          </w:p>
          <w:p>
            <w:pPr>
              <w:pStyle w:val="11"/>
              <w:spacing w:after="0" w:line="360" w:lineRule="exact"/>
              <w:rPr>
                <w:rFonts w:hint="eastAsia" w:ascii="宋体" w:cs="宋体"/>
                <w:sz w:val="21"/>
                <w:szCs w:val="21"/>
              </w:rPr>
            </w:pPr>
            <w:r>
              <w:rPr>
                <w:rFonts w:hint="eastAsia" w:ascii="宋体" w:cs="宋体"/>
                <w:sz w:val="21"/>
                <w:szCs w:val="21"/>
              </w:rPr>
              <w:t>1.6保密原则：对测评的过程数据和结果数据严格保密，未经授权不得泄露给任何单位和个人，不得利用此数据进行任何侵害采购人网络的行为，否则采购人有权追究责任。</w:t>
            </w:r>
          </w:p>
          <w:p>
            <w:pPr>
              <w:pStyle w:val="11"/>
              <w:spacing w:after="0" w:line="360" w:lineRule="exact"/>
              <w:rPr>
                <w:rFonts w:hint="eastAsia" w:ascii="宋体" w:cs="宋体"/>
                <w:sz w:val="21"/>
                <w:szCs w:val="21"/>
              </w:rPr>
            </w:pPr>
            <w:r>
              <w:rPr>
                <w:rFonts w:hint="eastAsia" w:ascii="宋体" w:cs="宋体"/>
                <w:sz w:val="21"/>
                <w:szCs w:val="21"/>
                <w:lang w:val="en-US" w:eastAsia="zh-CN"/>
              </w:rPr>
              <w:t>三、</w:t>
            </w:r>
            <w:r>
              <w:rPr>
                <w:rFonts w:hint="eastAsia" w:ascii="宋体" w:cs="宋体"/>
                <w:sz w:val="21"/>
                <w:szCs w:val="21"/>
              </w:rPr>
              <w:t>测评依据</w:t>
            </w:r>
          </w:p>
          <w:p>
            <w:pPr>
              <w:pStyle w:val="11"/>
              <w:spacing w:after="0" w:line="360" w:lineRule="exact"/>
              <w:rPr>
                <w:rFonts w:hint="eastAsia" w:ascii="宋体" w:cs="宋体"/>
                <w:sz w:val="21"/>
                <w:szCs w:val="21"/>
              </w:rPr>
            </w:pPr>
            <w:r>
              <w:rPr>
                <w:rFonts w:hint="eastAsia" w:ascii="宋体" w:cs="宋体"/>
                <w:sz w:val="21"/>
                <w:szCs w:val="21"/>
              </w:rPr>
              <w:t>《中华人民共和国网络安全法》</w:t>
            </w:r>
          </w:p>
          <w:p>
            <w:pPr>
              <w:pStyle w:val="11"/>
              <w:spacing w:after="0" w:line="360" w:lineRule="exact"/>
              <w:rPr>
                <w:rFonts w:hint="eastAsia" w:ascii="宋体" w:cs="宋体"/>
                <w:sz w:val="21"/>
                <w:szCs w:val="21"/>
              </w:rPr>
            </w:pPr>
            <w:r>
              <w:rPr>
                <w:rFonts w:hint="eastAsia" w:ascii="宋体" w:cs="宋体"/>
                <w:sz w:val="21"/>
                <w:szCs w:val="21"/>
              </w:rPr>
              <w:t>《中华人民共和国数据安全法》</w:t>
            </w:r>
          </w:p>
          <w:p>
            <w:pPr>
              <w:pStyle w:val="11"/>
              <w:spacing w:after="0" w:line="360" w:lineRule="exact"/>
              <w:rPr>
                <w:rFonts w:hint="eastAsia" w:ascii="宋体" w:cs="宋体"/>
                <w:sz w:val="21"/>
                <w:szCs w:val="21"/>
              </w:rPr>
            </w:pPr>
            <w:r>
              <w:rPr>
                <w:rFonts w:hint="eastAsia" w:ascii="宋体" w:cs="宋体"/>
                <w:sz w:val="21"/>
                <w:szCs w:val="21"/>
              </w:rPr>
              <w:t>《中华人民共和国密码法》</w:t>
            </w:r>
          </w:p>
          <w:p>
            <w:pPr>
              <w:pStyle w:val="11"/>
              <w:spacing w:after="0" w:line="360" w:lineRule="exact"/>
              <w:rPr>
                <w:rFonts w:hint="eastAsia" w:ascii="宋体" w:eastAsia="宋体" w:cs="宋体"/>
                <w:sz w:val="21"/>
                <w:szCs w:val="21"/>
                <w:lang w:eastAsia="zh-CN"/>
              </w:rPr>
            </w:pPr>
            <w:r>
              <w:rPr>
                <w:rFonts w:hint="eastAsia" w:ascii="宋体" w:cs="宋体"/>
                <w:sz w:val="21"/>
                <w:szCs w:val="21"/>
              </w:rPr>
              <w:t>公安部、国家保密局、国务院信息化工作办公室制定的《信息安全等级保护管理办法》</w:t>
            </w:r>
            <w:r>
              <w:rPr>
                <w:rFonts w:hint="eastAsia" w:ascii="宋体" w:cs="宋体"/>
                <w:sz w:val="21"/>
                <w:szCs w:val="21"/>
                <w:lang w:eastAsia="zh-CN"/>
              </w:rPr>
              <w:t>(</w:t>
            </w:r>
            <w:r>
              <w:rPr>
                <w:rFonts w:hint="eastAsia" w:ascii="宋体" w:cs="宋体"/>
                <w:sz w:val="21"/>
                <w:szCs w:val="21"/>
              </w:rPr>
              <w:t>公通字 [2007]43 号</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《信息安全技术 网络安全等级保护基本要求》</w:t>
            </w:r>
            <w:r>
              <w:rPr>
                <w:rFonts w:hint="eastAsia" w:ascii="宋体" w:cs="宋体"/>
                <w:sz w:val="21"/>
                <w:szCs w:val="21"/>
                <w:lang w:eastAsia="zh-CN"/>
              </w:rPr>
              <w:t>(</w:t>
            </w:r>
            <w:r>
              <w:rPr>
                <w:rFonts w:hint="eastAsia" w:ascii="宋体" w:cs="宋体"/>
                <w:sz w:val="21"/>
                <w:szCs w:val="21"/>
              </w:rPr>
              <w:t>GB/T22239-2019</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《信息安全技术 网络安全等级保护测评要求》</w:t>
            </w:r>
            <w:r>
              <w:rPr>
                <w:rFonts w:hint="eastAsia" w:ascii="宋体" w:cs="宋体"/>
                <w:sz w:val="21"/>
                <w:szCs w:val="21"/>
                <w:lang w:eastAsia="zh-CN"/>
              </w:rPr>
              <w:t>(</w:t>
            </w:r>
            <w:r>
              <w:rPr>
                <w:rFonts w:hint="eastAsia" w:ascii="宋体" w:cs="宋体"/>
                <w:sz w:val="21"/>
                <w:szCs w:val="21"/>
              </w:rPr>
              <w:t>GB/T 28448-2019</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《信息安全技术 网络安全等级保护安全设计技术要求》</w:t>
            </w:r>
            <w:r>
              <w:rPr>
                <w:rFonts w:hint="eastAsia" w:ascii="宋体" w:cs="宋体"/>
                <w:sz w:val="21"/>
                <w:szCs w:val="21"/>
                <w:lang w:eastAsia="zh-CN"/>
              </w:rPr>
              <w:t>(</w:t>
            </w:r>
            <w:r>
              <w:rPr>
                <w:rFonts w:hint="eastAsia" w:ascii="宋体" w:cs="宋体"/>
                <w:sz w:val="21"/>
                <w:szCs w:val="21"/>
              </w:rPr>
              <w:t>GB/T 25070-2019</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《信息安全技术 网络安全等级保护实施指南》</w:t>
            </w:r>
            <w:r>
              <w:rPr>
                <w:rFonts w:hint="eastAsia" w:ascii="宋体" w:cs="宋体"/>
                <w:sz w:val="21"/>
                <w:szCs w:val="21"/>
                <w:lang w:eastAsia="zh-CN"/>
              </w:rPr>
              <w:t>(</w:t>
            </w:r>
            <w:r>
              <w:rPr>
                <w:rFonts w:hint="eastAsia" w:ascii="宋体" w:cs="宋体"/>
                <w:sz w:val="21"/>
                <w:szCs w:val="21"/>
              </w:rPr>
              <w:t>GB/T25058-2019</w:t>
            </w:r>
            <w:r>
              <w:rPr>
                <w:rFonts w:hint="eastAsia" w:ascii="宋体" w:cs="宋体"/>
                <w:sz w:val="21"/>
                <w:szCs w:val="21"/>
                <w:lang w:eastAsia="zh-CN"/>
              </w:rPr>
              <w:t>)</w:t>
            </w:r>
          </w:p>
          <w:p>
            <w:pPr>
              <w:pStyle w:val="11"/>
              <w:spacing w:after="0" w:line="360" w:lineRule="exact"/>
              <w:rPr>
                <w:rFonts w:hint="eastAsia" w:ascii="宋体" w:cs="宋体"/>
                <w:sz w:val="21"/>
                <w:szCs w:val="21"/>
              </w:rPr>
            </w:pPr>
            <w:r>
              <w:rPr>
                <w:rFonts w:hint="eastAsia" w:ascii="宋体" w:cs="宋体"/>
                <w:sz w:val="21"/>
                <w:szCs w:val="21"/>
              </w:rPr>
              <w:t>《信息安全技术 信息系统安全等级保护定级指南》</w:t>
            </w:r>
          </w:p>
          <w:p>
            <w:pPr>
              <w:pStyle w:val="11"/>
              <w:spacing w:after="0" w:line="360" w:lineRule="exact"/>
              <w:rPr>
                <w:rFonts w:hint="eastAsia" w:ascii="宋体" w:eastAsia="宋体" w:cs="宋体"/>
                <w:sz w:val="21"/>
                <w:szCs w:val="21"/>
                <w:lang w:eastAsia="zh-CN"/>
              </w:rPr>
            </w:pPr>
            <w:r>
              <w:rPr>
                <w:rFonts w:hint="eastAsia" w:ascii="宋体" w:cs="宋体"/>
                <w:sz w:val="21"/>
                <w:szCs w:val="21"/>
              </w:rPr>
              <w:t>《计算机软件文档编制规范》</w:t>
            </w:r>
            <w:r>
              <w:rPr>
                <w:rFonts w:hint="eastAsia" w:ascii="宋体" w:cs="宋体"/>
                <w:sz w:val="21"/>
                <w:szCs w:val="21"/>
                <w:lang w:eastAsia="zh-CN"/>
              </w:rPr>
              <w:t>(</w:t>
            </w:r>
            <w:r>
              <w:rPr>
                <w:rFonts w:hint="eastAsia" w:ascii="宋体" w:cs="宋体"/>
                <w:sz w:val="21"/>
                <w:szCs w:val="21"/>
              </w:rPr>
              <w:t>GB/T 8567-2006</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《信息技术软件工程术语》</w:t>
            </w:r>
            <w:r>
              <w:rPr>
                <w:rFonts w:hint="eastAsia" w:ascii="宋体" w:cs="宋体"/>
                <w:sz w:val="21"/>
                <w:szCs w:val="21"/>
                <w:lang w:eastAsia="zh-CN"/>
              </w:rPr>
              <w:t>(</w:t>
            </w:r>
            <w:r>
              <w:rPr>
                <w:rFonts w:hint="eastAsia" w:ascii="宋体" w:cs="宋体"/>
                <w:sz w:val="21"/>
                <w:szCs w:val="21"/>
              </w:rPr>
              <w:t>GB/T 11457-2006</w:t>
            </w:r>
            <w:r>
              <w:rPr>
                <w:rFonts w:hint="eastAsia" w:ascii="宋体" w:cs="宋体"/>
                <w:sz w:val="21"/>
                <w:szCs w:val="21"/>
                <w:lang w:eastAsia="zh-CN"/>
              </w:rPr>
              <w:t>)</w:t>
            </w:r>
          </w:p>
          <w:p>
            <w:pPr>
              <w:pStyle w:val="11"/>
              <w:spacing w:after="0" w:line="360" w:lineRule="exact"/>
              <w:rPr>
                <w:rFonts w:hint="eastAsia" w:ascii="宋体" w:cs="宋体"/>
                <w:sz w:val="21"/>
                <w:szCs w:val="21"/>
              </w:rPr>
            </w:pPr>
            <w:r>
              <w:rPr>
                <w:rFonts w:hint="eastAsia" w:ascii="宋体" w:cs="宋体"/>
                <w:sz w:val="21"/>
                <w:szCs w:val="21"/>
                <w:lang w:val="en-US" w:eastAsia="zh-CN"/>
              </w:rPr>
              <w:t>四、</w:t>
            </w:r>
            <w:r>
              <w:rPr>
                <w:rFonts w:hint="eastAsia" w:ascii="宋体" w:cs="宋体"/>
                <w:sz w:val="21"/>
                <w:szCs w:val="21"/>
              </w:rPr>
              <w:t>等级保护测评内容</w:t>
            </w:r>
          </w:p>
          <w:p>
            <w:pPr>
              <w:pStyle w:val="11"/>
              <w:spacing w:after="0" w:line="360" w:lineRule="exact"/>
              <w:rPr>
                <w:rFonts w:hint="eastAsia" w:ascii="宋体" w:cs="宋体"/>
                <w:sz w:val="21"/>
                <w:szCs w:val="21"/>
              </w:rPr>
            </w:pPr>
            <w:r>
              <w:rPr>
                <w:rFonts w:hint="eastAsia" w:ascii="宋体" w:cs="宋体"/>
                <w:sz w:val="21"/>
                <w:szCs w:val="21"/>
              </w:rPr>
              <w:t>等级保护测评内容</w:t>
            </w:r>
          </w:p>
          <w:p>
            <w:pPr>
              <w:pStyle w:val="11"/>
              <w:spacing w:after="0" w:line="360" w:lineRule="exact"/>
              <w:rPr>
                <w:rFonts w:hint="eastAsia" w:ascii="宋体" w:cs="宋体"/>
                <w:sz w:val="21"/>
                <w:szCs w:val="21"/>
              </w:rPr>
            </w:pPr>
            <w:r>
              <w:rPr>
                <w:rFonts w:hint="eastAsia" w:ascii="宋体" w:cs="宋体"/>
                <w:sz w:val="21"/>
                <w:szCs w:val="21"/>
              </w:rPr>
              <w:t>根据国家等级保护相关标准，本次项目的等级保护测评应包括以下内容：</w:t>
            </w:r>
          </w:p>
          <w:p>
            <w:pPr>
              <w:pStyle w:val="11"/>
              <w:spacing w:after="0" w:line="360" w:lineRule="exact"/>
              <w:rPr>
                <w:rFonts w:hint="eastAsia" w:ascii="宋体" w:cs="宋体"/>
                <w:sz w:val="21"/>
                <w:szCs w:val="21"/>
              </w:rPr>
            </w:pPr>
            <w:r>
              <w:rPr>
                <w:rFonts w:hint="eastAsia" w:ascii="宋体" w:cs="宋体"/>
                <w:sz w:val="21"/>
                <w:szCs w:val="21"/>
              </w:rPr>
              <w:t>安全技术测评：包括安全物理环境、安全通信网络、安全区域边界、安全计算环境、安全管理中心等五个方面的安全测评；</w:t>
            </w:r>
          </w:p>
          <w:p>
            <w:pPr>
              <w:pStyle w:val="11"/>
              <w:spacing w:after="0" w:line="360" w:lineRule="exact"/>
              <w:rPr>
                <w:rFonts w:hint="eastAsia" w:ascii="宋体" w:cs="宋体"/>
                <w:sz w:val="21"/>
                <w:szCs w:val="21"/>
              </w:rPr>
            </w:pPr>
            <w:r>
              <w:rPr>
                <w:rFonts w:hint="eastAsia" w:ascii="宋体" w:cs="宋体"/>
                <w:sz w:val="21"/>
                <w:szCs w:val="21"/>
              </w:rPr>
              <w:t>安全管理测评：包括安全管理制度、安全管理机构、安全管理人员、安全建设管理和安全运维管理等五个方面的安全测评。</w:t>
            </w:r>
          </w:p>
          <w:p>
            <w:pPr>
              <w:pStyle w:val="11"/>
              <w:spacing w:after="0" w:line="360" w:lineRule="exact"/>
              <w:rPr>
                <w:rFonts w:hint="eastAsia" w:ascii="宋体" w:cs="宋体"/>
                <w:sz w:val="21"/>
                <w:szCs w:val="21"/>
              </w:rPr>
            </w:pPr>
            <w:r>
              <w:rPr>
                <w:rFonts w:hint="eastAsia" w:ascii="宋体" w:cs="宋体"/>
                <w:sz w:val="21"/>
                <w:szCs w:val="21"/>
              </w:rPr>
              <w:t>1.安全物理环境</w:t>
            </w:r>
          </w:p>
          <w:p>
            <w:pPr>
              <w:pStyle w:val="11"/>
              <w:spacing w:after="0" w:line="360" w:lineRule="exact"/>
              <w:rPr>
                <w:rFonts w:hint="eastAsia" w:ascii="宋体" w:cs="宋体"/>
                <w:sz w:val="21"/>
                <w:szCs w:val="21"/>
              </w:rPr>
            </w:pPr>
            <w:r>
              <w:rPr>
                <w:rFonts w:hint="eastAsia" w:ascii="宋体" w:cs="宋体"/>
                <w:sz w:val="21"/>
                <w:szCs w:val="21"/>
              </w:rPr>
              <w:t>安全物理环境是对机房和办公场所的物理环境安全防护情况进行测评，包括物理位置选择、物理访问控制、防盗窃和防破坏、防雷击、防火、防水和防潮、防静电、温湿度控制、电力供应和电磁防护等方面的安全状况。</w:t>
            </w:r>
          </w:p>
          <w:p>
            <w:pPr>
              <w:pStyle w:val="11"/>
              <w:spacing w:after="0" w:line="360" w:lineRule="exact"/>
              <w:rPr>
                <w:rFonts w:hint="eastAsia" w:ascii="宋体" w:cs="宋体"/>
                <w:sz w:val="21"/>
                <w:szCs w:val="21"/>
              </w:rPr>
            </w:pPr>
            <w:r>
              <w:rPr>
                <w:rFonts w:hint="eastAsia" w:ascii="宋体" w:cs="宋体"/>
                <w:sz w:val="21"/>
                <w:szCs w:val="21"/>
              </w:rPr>
              <w:t>2.安全通信网络</w:t>
            </w:r>
          </w:p>
          <w:p>
            <w:pPr>
              <w:pStyle w:val="11"/>
              <w:spacing w:after="0" w:line="360" w:lineRule="exact"/>
              <w:rPr>
                <w:rFonts w:hint="eastAsia" w:ascii="宋体" w:cs="宋体"/>
                <w:sz w:val="21"/>
                <w:szCs w:val="21"/>
              </w:rPr>
            </w:pPr>
            <w:r>
              <w:rPr>
                <w:rFonts w:hint="eastAsia" w:ascii="宋体" w:cs="宋体"/>
                <w:sz w:val="21"/>
                <w:szCs w:val="21"/>
              </w:rPr>
              <w:t>安全通信网络测评是对网络系统安全防护情况进行测评，包括网络架构、通信传输、可信验证等方面的安全状况。</w:t>
            </w:r>
          </w:p>
          <w:p>
            <w:pPr>
              <w:pStyle w:val="11"/>
              <w:spacing w:after="0" w:line="360" w:lineRule="exact"/>
              <w:rPr>
                <w:rFonts w:hint="eastAsia" w:ascii="宋体" w:cs="宋体"/>
                <w:sz w:val="21"/>
                <w:szCs w:val="21"/>
              </w:rPr>
            </w:pPr>
            <w:r>
              <w:rPr>
                <w:rFonts w:hint="eastAsia" w:ascii="宋体" w:cs="宋体"/>
                <w:sz w:val="21"/>
                <w:szCs w:val="21"/>
              </w:rPr>
              <w:t>3.安全区域边界</w:t>
            </w:r>
          </w:p>
          <w:p>
            <w:pPr>
              <w:pStyle w:val="11"/>
              <w:spacing w:after="0" w:line="360" w:lineRule="exact"/>
              <w:rPr>
                <w:rFonts w:hint="eastAsia" w:ascii="宋体" w:cs="宋体"/>
                <w:sz w:val="21"/>
                <w:szCs w:val="21"/>
              </w:rPr>
            </w:pPr>
            <w:r>
              <w:rPr>
                <w:rFonts w:hint="eastAsia" w:ascii="宋体" w:cs="宋体"/>
                <w:sz w:val="21"/>
                <w:szCs w:val="21"/>
              </w:rPr>
              <w:t>安全区域边界是对边界防护、访问控制、入侵防范、恶意代码防范、安全审计、可信验证等方面的测评。</w:t>
            </w:r>
          </w:p>
          <w:p>
            <w:pPr>
              <w:pStyle w:val="11"/>
              <w:spacing w:after="0" w:line="360" w:lineRule="exact"/>
              <w:rPr>
                <w:rFonts w:hint="eastAsia" w:ascii="宋体" w:cs="宋体"/>
                <w:sz w:val="21"/>
                <w:szCs w:val="21"/>
              </w:rPr>
            </w:pPr>
            <w:r>
              <w:rPr>
                <w:rFonts w:hint="eastAsia" w:ascii="宋体" w:cs="宋体"/>
                <w:sz w:val="21"/>
                <w:szCs w:val="21"/>
              </w:rPr>
              <w:t>4.安全计算环境</w:t>
            </w:r>
          </w:p>
          <w:p>
            <w:pPr>
              <w:pStyle w:val="11"/>
              <w:spacing w:after="0" w:line="360" w:lineRule="exact"/>
              <w:rPr>
                <w:rFonts w:hint="eastAsia" w:ascii="宋体" w:cs="宋体"/>
                <w:sz w:val="21"/>
                <w:szCs w:val="21"/>
              </w:rPr>
            </w:pPr>
            <w:r>
              <w:rPr>
                <w:rFonts w:hint="eastAsia" w:ascii="宋体" w:cs="宋体"/>
                <w:sz w:val="21"/>
                <w:szCs w:val="21"/>
              </w:rPr>
              <w:t>安全计算环境是对身份鉴别、访问控制、安全审计、入侵防范、恶意代码防范、可信验证、数据完整性、数据保密性、数据备份恢复、剩余信息保护、个人信息保护等方面的测评。</w:t>
            </w:r>
          </w:p>
          <w:p>
            <w:pPr>
              <w:pStyle w:val="11"/>
              <w:spacing w:after="0" w:line="360" w:lineRule="exact"/>
              <w:rPr>
                <w:rFonts w:hint="eastAsia" w:ascii="宋体" w:cs="宋体"/>
                <w:sz w:val="21"/>
                <w:szCs w:val="21"/>
              </w:rPr>
            </w:pPr>
            <w:r>
              <w:rPr>
                <w:rFonts w:hint="eastAsia" w:ascii="宋体" w:cs="宋体"/>
                <w:sz w:val="21"/>
                <w:szCs w:val="21"/>
              </w:rPr>
              <w:t>5.安全管理中心</w:t>
            </w:r>
          </w:p>
          <w:p>
            <w:pPr>
              <w:pStyle w:val="11"/>
              <w:spacing w:after="0" w:line="360" w:lineRule="exact"/>
              <w:rPr>
                <w:rFonts w:hint="eastAsia" w:ascii="宋体" w:cs="宋体"/>
                <w:sz w:val="21"/>
                <w:szCs w:val="21"/>
              </w:rPr>
            </w:pPr>
            <w:r>
              <w:rPr>
                <w:rFonts w:hint="eastAsia" w:ascii="宋体" w:cs="宋体"/>
                <w:sz w:val="21"/>
                <w:szCs w:val="21"/>
              </w:rPr>
              <w:t>安全管理中心是对系统管理、审计管理、安全管理、集中管控等方面的测评。</w:t>
            </w:r>
          </w:p>
          <w:p>
            <w:pPr>
              <w:pStyle w:val="11"/>
              <w:spacing w:after="0" w:line="360" w:lineRule="exact"/>
              <w:rPr>
                <w:rFonts w:hint="eastAsia" w:ascii="宋体" w:cs="宋体"/>
                <w:sz w:val="21"/>
                <w:szCs w:val="21"/>
              </w:rPr>
            </w:pPr>
            <w:r>
              <w:rPr>
                <w:rFonts w:hint="eastAsia" w:ascii="宋体" w:cs="宋体"/>
                <w:sz w:val="21"/>
                <w:szCs w:val="21"/>
              </w:rPr>
              <w:t>6.安全管理制度</w:t>
            </w:r>
          </w:p>
          <w:p>
            <w:pPr>
              <w:pStyle w:val="11"/>
              <w:spacing w:after="0" w:line="360" w:lineRule="exact"/>
              <w:rPr>
                <w:rFonts w:hint="eastAsia" w:ascii="宋体" w:cs="宋体"/>
                <w:sz w:val="21"/>
                <w:szCs w:val="21"/>
              </w:rPr>
            </w:pPr>
            <w:r>
              <w:rPr>
                <w:rFonts w:hint="eastAsia" w:ascii="宋体" w:cs="宋体"/>
                <w:sz w:val="21"/>
                <w:szCs w:val="21"/>
              </w:rPr>
              <w:t>安全管理制度测评是对安全策略、管理制度、制定和发布、评审和修订进行测评。</w:t>
            </w:r>
          </w:p>
          <w:p>
            <w:pPr>
              <w:pStyle w:val="11"/>
              <w:spacing w:after="0" w:line="360" w:lineRule="exact"/>
              <w:rPr>
                <w:rFonts w:hint="eastAsia" w:ascii="宋体" w:cs="宋体"/>
                <w:sz w:val="21"/>
                <w:szCs w:val="21"/>
              </w:rPr>
            </w:pPr>
            <w:r>
              <w:rPr>
                <w:rFonts w:hint="eastAsia" w:ascii="宋体" w:cs="宋体"/>
                <w:sz w:val="21"/>
                <w:szCs w:val="21"/>
              </w:rPr>
              <w:t>7.安全管理机构</w:t>
            </w:r>
          </w:p>
          <w:p>
            <w:pPr>
              <w:pStyle w:val="11"/>
              <w:spacing w:after="0" w:line="360" w:lineRule="exact"/>
              <w:rPr>
                <w:rFonts w:hint="eastAsia" w:ascii="宋体" w:cs="宋体"/>
                <w:sz w:val="21"/>
                <w:szCs w:val="21"/>
              </w:rPr>
            </w:pPr>
            <w:r>
              <w:rPr>
                <w:rFonts w:hint="eastAsia" w:ascii="宋体" w:cs="宋体"/>
                <w:sz w:val="21"/>
                <w:szCs w:val="21"/>
              </w:rPr>
              <w:t>安全管理机构测评是对岗位设置、人员配备、授权和审批、沟通和合作、审核和检查等情况进行测评。</w:t>
            </w:r>
          </w:p>
          <w:p>
            <w:pPr>
              <w:pStyle w:val="11"/>
              <w:spacing w:after="0" w:line="360" w:lineRule="exact"/>
              <w:rPr>
                <w:rFonts w:hint="eastAsia" w:ascii="宋体" w:cs="宋体"/>
                <w:sz w:val="21"/>
                <w:szCs w:val="21"/>
              </w:rPr>
            </w:pPr>
            <w:r>
              <w:rPr>
                <w:rFonts w:hint="eastAsia" w:ascii="宋体" w:cs="宋体"/>
                <w:sz w:val="21"/>
                <w:szCs w:val="21"/>
              </w:rPr>
              <w:t>8.安全管理人员</w:t>
            </w:r>
          </w:p>
          <w:p>
            <w:pPr>
              <w:pStyle w:val="11"/>
              <w:spacing w:after="0" w:line="360" w:lineRule="exact"/>
              <w:rPr>
                <w:rFonts w:hint="eastAsia" w:ascii="宋体" w:cs="宋体"/>
                <w:sz w:val="21"/>
                <w:szCs w:val="21"/>
              </w:rPr>
            </w:pPr>
            <w:r>
              <w:rPr>
                <w:rFonts w:hint="eastAsia" w:ascii="宋体" w:cs="宋体"/>
                <w:sz w:val="21"/>
                <w:szCs w:val="21"/>
              </w:rPr>
              <w:t>安全管理人员测评是对人员录用、人员离岗、安全意识教育和培训、外部人员访问管理等情况进行测评。</w:t>
            </w:r>
          </w:p>
          <w:p>
            <w:pPr>
              <w:pStyle w:val="11"/>
              <w:spacing w:after="0" w:line="360" w:lineRule="exact"/>
              <w:rPr>
                <w:rFonts w:hint="eastAsia" w:ascii="宋体" w:cs="宋体"/>
                <w:sz w:val="21"/>
                <w:szCs w:val="21"/>
              </w:rPr>
            </w:pPr>
            <w:r>
              <w:rPr>
                <w:rFonts w:hint="eastAsia" w:ascii="宋体" w:cs="宋体"/>
                <w:sz w:val="21"/>
                <w:szCs w:val="21"/>
              </w:rPr>
              <w:t>9.安全建设管理</w:t>
            </w:r>
          </w:p>
          <w:p>
            <w:pPr>
              <w:pStyle w:val="11"/>
              <w:spacing w:after="0" w:line="360" w:lineRule="exact"/>
              <w:rPr>
                <w:rFonts w:hint="eastAsia" w:ascii="宋体" w:cs="宋体"/>
                <w:sz w:val="21"/>
                <w:szCs w:val="21"/>
              </w:rPr>
            </w:pPr>
            <w:r>
              <w:rPr>
                <w:rFonts w:hint="eastAsia" w:ascii="宋体" w:cs="宋体"/>
                <w:sz w:val="21"/>
                <w:szCs w:val="21"/>
              </w:rPr>
              <w:t>安全建设管理测评是对建设过程中的系统定级和备案、安全方案设计、产品采购和使用、自行软件开发、外包软件开发、 工程实施、测试验收、系统交付、 等级测评、服务</w:t>
            </w:r>
            <w:r>
              <w:rPr>
                <w:rFonts w:hint="eastAsia" w:ascii="宋体" w:cs="宋体"/>
                <w:sz w:val="21"/>
                <w:szCs w:val="21"/>
                <w:lang w:eastAsia="zh-CN"/>
              </w:rPr>
              <w:t>供应商</w:t>
            </w:r>
            <w:r>
              <w:rPr>
                <w:rFonts w:hint="eastAsia" w:ascii="宋体" w:cs="宋体"/>
                <w:sz w:val="21"/>
                <w:szCs w:val="21"/>
              </w:rPr>
              <w:t>选择等情况进行测评。</w:t>
            </w:r>
          </w:p>
          <w:p>
            <w:pPr>
              <w:pStyle w:val="11"/>
              <w:spacing w:after="0" w:line="360" w:lineRule="exact"/>
              <w:rPr>
                <w:rFonts w:hint="eastAsia" w:ascii="宋体" w:cs="宋体"/>
                <w:sz w:val="21"/>
                <w:szCs w:val="21"/>
              </w:rPr>
            </w:pPr>
            <w:r>
              <w:rPr>
                <w:rFonts w:hint="eastAsia" w:ascii="宋体" w:cs="宋体"/>
                <w:sz w:val="21"/>
                <w:szCs w:val="21"/>
              </w:rPr>
              <w:t>10.安全运维管理</w:t>
            </w:r>
          </w:p>
          <w:p>
            <w:pPr>
              <w:pStyle w:val="11"/>
              <w:spacing w:after="0" w:line="360" w:lineRule="exact"/>
              <w:rPr>
                <w:rFonts w:hint="eastAsia" w:ascii="宋体" w:cs="宋体"/>
                <w:sz w:val="21"/>
                <w:szCs w:val="21"/>
              </w:rPr>
            </w:pPr>
            <w:r>
              <w:rPr>
                <w:rFonts w:hint="eastAsia" w:ascii="宋体" w:cs="宋体"/>
                <w:sz w:val="21"/>
                <w:szCs w:val="21"/>
              </w:rPr>
              <w:t>安全运维管理测评是对环境管理、资产管理、介质管理、设备维护管理、漏洞和风险管理、网络和系统安全管理、恶意代码防范管理、配置管理、密码管理、变更管理、备份与恢复管理、安全事件处置、 应急预案管理、外包运维管理等情况进行测评。</w:t>
            </w:r>
          </w:p>
          <w:p>
            <w:pPr>
              <w:pStyle w:val="11"/>
              <w:spacing w:after="0" w:line="360" w:lineRule="exact"/>
              <w:rPr>
                <w:rFonts w:hint="eastAsia" w:ascii="宋体" w:cs="宋体"/>
                <w:sz w:val="21"/>
                <w:szCs w:val="21"/>
                <w:lang w:val="en-US" w:eastAsia="zh-CN"/>
              </w:rPr>
            </w:pPr>
            <w:r>
              <w:rPr>
                <w:rFonts w:hint="eastAsia" w:ascii="宋体" w:cs="宋体"/>
                <w:sz w:val="21"/>
                <w:szCs w:val="21"/>
                <w:lang w:val="en-US" w:eastAsia="zh-CN"/>
              </w:rPr>
              <w:t>11.协助信息系统等级保护备案工作</w:t>
            </w:r>
          </w:p>
          <w:p>
            <w:pPr>
              <w:pStyle w:val="11"/>
              <w:spacing w:after="0" w:line="360" w:lineRule="exact"/>
              <w:rPr>
                <w:rFonts w:ascii="宋体" w:cs="宋体"/>
                <w:sz w:val="21"/>
                <w:szCs w:val="21"/>
              </w:rPr>
            </w:pPr>
            <w:r>
              <w:rPr>
                <w:rFonts w:hint="eastAsia" w:ascii="宋体" w:cs="宋体"/>
                <w:sz w:val="21"/>
                <w:szCs w:val="21"/>
                <w:lang w:val="en-US" w:eastAsia="zh-CN"/>
              </w:rPr>
              <w:t>协助校方完成本系统测评前期信息系统等级保护备案工作：完成备案表、定级报告、专家评审、上传备案材料等工作。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spacing w:line="360" w:lineRule="exact"/>
              <w:jc w:val="center"/>
              <w:rPr>
                <w:rFonts w:cs="宋体"/>
                <w:bCs/>
                <w:sz w:val="21"/>
                <w:szCs w:val="21"/>
              </w:rPr>
            </w:pPr>
            <w:r>
              <w:rPr>
                <w:rFonts w:hint="eastAsia" w:cs="宋体"/>
                <w:bCs/>
                <w:sz w:val="21"/>
                <w:szCs w:val="21"/>
              </w:rPr>
              <w:t>2</w:t>
            </w:r>
          </w:p>
        </w:tc>
        <w:tc>
          <w:tcPr>
            <w:tcW w:w="1233" w:type="dxa"/>
            <w:vAlign w:val="center"/>
          </w:tcPr>
          <w:p>
            <w:pPr>
              <w:spacing w:line="360" w:lineRule="exact"/>
              <w:jc w:val="center"/>
              <w:rPr>
                <w:rFonts w:cs="宋体"/>
                <w:bCs/>
                <w:sz w:val="21"/>
                <w:szCs w:val="21"/>
              </w:rPr>
            </w:pPr>
            <w:r>
              <w:rPr>
                <w:rFonts w:hint="eastAsia" w:ascii="宋体" w:hAnsi="宋体" w:eastAsia="宋体" w:cs="宋体"/>
                <w:bCs/>
                <w:sz w:val="21"/>
                <w:szCs w:val="21"/>
                <w:lang w:eastAsia="zh-CN"/>
              </w:rPr>
              <w:t>网站群</w:t>
            </w:r>
            <w:r>
              <w:rPr>
                <w:rFonts w:hint="eastAsia" w:ascii="宋体" w:hAnsi="宋体" w:eastAsia="宋体" w:cs="宋体"/>
                <w:bCs/>
                <w:sz w:val="21"/>
                <w:szCs w:val="21"/>
              </w:rPr>
              <w:t>二级等保测评服务</w:t>
            </w:r>
          </w:p>
        </w:tc>
        <w:tc>
          <w:tcPr>
            <w:tcW w:w="7756" w:type="dxa"/>
            <w:vAlign w:val="center"/>
          </w:tcPr>
          <w:p>
            <w:pPr>
              <w:pStyle w:val="11"/>
              <w:spacing w:after="0" w:line="360" w:lineRule="exact"/>
              <w:rPr>
                <w:rFonts w:hint="eastAsia" w:ascii="宋体" w:cs="宋体"/>
                <w:sz w:val="21"/>
                <w:szCs w:val="21"/>
              </w:rPr>
            </w:pPr>
            <w:r>
              <w:rPr>
                <w:rFonts w:hint="eastAsia" w:ascii="宋体" w:cs="宋体"/>
                <w:sz w:val="21"/>
                <w:szCs w:val="21"/>
                <w:lang w:val="en-US" w:eastAsia="zh-CN"/>
              </w:rPr>
              <w:t>一、</w:t>
            </w:r>
            <w:r>
              <w:rPr>
                <w:rFonts w:hint="eastAsia" w:ascii="宋体" w:cs="宋体"/>
                <w:sz w:val="21"/>
                <w:szCs w:val="21"/>
              </w:rPr>
              <w:t>测评服务</w:t>
            </w:r>
          </w:p>
          <w:p>
            <w:pPr>
              <w:pStyle w:val="11"/>
              <w:spacing w:after="0" w:line="360" w:lineRule="exact"/>
              <w:rPr>
                <w:rFonts w:hint="eastAsia" w:ascii="宋体" w:cs="宋体"/>
                <w:sz w:val="21"/>
                <w:szCs w:val="21"/>
              </w:rPr>
            </w:pPr>
            <w:r>
              <w:rPr>
                <w:rFonts w:hint="eastAsia" w:ascii="宋体" w:cs="宋体"/>
                <w:sz w:val="21"/>
                <w:szCs w:val="21"/>
              </w:rPr>
              <w:t>1.安全技术测评：包括安全物理环境、安全通信网络、安全区域边界、安全计算环境等方面的安全测评。</w:t>
            </w:r>
          </w:p>
          <w:p>
            <w:pPr>
              <w:pStyle w:val="11"/>
              <w:spacing w:after="0" w:line="360" w:lineRule="exact"/>
              <w:rPr>
                <w:rFonts w:hint="eastAsia" w:ascii="宋体" w:cs="宋体"/>
                <w:sz w:val="21"/>
                <w:szCs w:val="21"/>
              </w:rPr>
            </w:pPr>
            <w:r>
              <w:rPr>
                <w:rFonts w:hint="eastAsia" w:ascii="宋体" w:cs="宋体"/>
                <w:sz w:val="21"/>
                <w:szCs w:val="21"/>
              </w:rPr>
              <w:t>2.安全管理测评：包括安全管理制度、安全管理机构、安全管理人员、安全建设管理和安全运维管理等方面的安全测评。</w:t>
            </w:r>
          </w:p>
          <w:p>
            <w:pPr>
              <w:pStyle w:val="11"/>
              <w:spacing w:after="0" w:line="360" w:lineRule="exact"/>
              <w:rPr>
                <w:rFonts w:hint="eastAsia" w:ascii="宋体" w:cs="宋体"/>
                <w:sz w:val="21"/>
                <w:szCs w:val="21"/>
              </w:rPr>
            </w:pPr>
            <w:r>
              <w:rPr>
                <w:rFonts w:hint="eastAsia" w:ascii="宋体" w:cs="宋体"/>
                <w:sz w:val="21"/>
                <w:szCs w:val="21"/>
              </w:rPr>
              <w:t>3.漏洞扫描：针对网络设备，服务器，应用等进行漏洞扫描出具漏洞扫描报告。</w:t>
            </w:r>
          </w:p>
          <w:p>
            <w:pPr>
              <w:pStyle w:val="11"/>
              <w:spacing w:after="0" w:line="360" w:lineRule="exact"/>
              <w:rPr>
                <w:rFonts w:hint="eastAsia" w:ascii="宋体" w:cs="宋体"/>
                <w:sz w:val="21"/>
                <w:szCs w:val="21"/>
              </w:rPr>
            </w:pPr>
            <w:r>
              <w:rPr>
                <w:rFonts w:hint="eastAsia" w:ascii="宋体" w:cs="宋体"/>
                <w:sz w:val="21"/>
                <w:szCs w:val="21"/>
              </w:rPr>
              <w:t>4.形成差距分析报告：依据测评结果和《信息系统安全等级保护基本要求》，要求从信息系统是否具备标准所要求的安全保护设施、安全设施的策略是否达到标准的要求、安全策略是否达到保护的效果三个方面开展差距测评工作。全面的从物理安全、网络安全、主机安全、应用安全、数据安全、安全管理中的所有指标逐项对信息系统中相关的资产进行检查。对各信息系统进行安全现状分析，形成相应的差距分析报告。</w:t>
            </w:r>
          </w:p>
          <w:p>
            <w:pPr>
              <w:pStyle w:val="11"/>
              <w:spacing w:after="0" w:line="360" w:lineRule="exact"/>
              <w:rPr>
                <w:rFonts w:hint="eastAsia" w:ascii="宋体" w:cs="宋体"/>
                <w:sz w:val="21"/>
                <w:szCs w:val="21"/>
              </w:rPr>
            </w:pPr>
            <w:r>
              <w:rPr>
                <w:rFonts w:hint="eastAsia" w:ascii="宋体" w:cs="宋体"/>
                <w:sz w:val="21"/>
                <w:szCs w:val="21"/>
              </w:rPr>
              <w:t>5.依据《信息系统安全等级保护基本要求》和《信息系统等级保护安全设计技术要求》，协助</w:t>
            </w:r>
            <w:r>
              <w:rPr>
                <w:rFonts w:hint="eastAsia" w:ascii="宋体" w:cs="宋体"/>
                <w:sz w:val="21"/>
                <w:szCs w:val="21"/>
                <w:lang w:eastAsia="zh-CN"/>
              </w:rPr>
              <w:t>采购人</w:t>
            </w:r>
            <w:r>
              <w:rPr>
                <w:rFonts w:hint="eastAsia" w:ascii="宋体" w:cs="宋体"/>
                <w:sz w:val="21"/>
                <w:szCs w:val="21"/>
              </w:rPr>
              <w:t>制订和完善各项信息安全管理制度，规范信息安全日常管理工作，提高信息安全基础管理水平。</w:t>
            </w:r>
          </w:p>
          <w:p>
            <w:pPr>
              <w:pStyle w:val="11"/>
              <w:spacing w:after="0" w:line="360" w:lineRule="exact"/>
              <w:rPr>
                <w:rFonts w:hint="eastAsia" w:ascii="宋体" w:cs="宋体"/>
                <w:sz w:val="21"/>
                <w:szCs w:val="21"/>
              </w:rPr>
            </w:pPr>
            <w:r>
              <w:rPr>
                <w:rFonts w:hint="eastAsia" w:ascii="宋体" w:cs="宋体"/>
                <w:sz w:val="21"/>
                <w:szCs w:val="21"/>
              </w:rPr>
              <w:t>6.完成上述测评工作和实施整改后，最后出具符合公安机关要求的</w:t>
            </w:r>
            <w:r>
              <w:rPr>
                <w:rFonts w:hint="eastAsia" w:ascii="宋体" w:cs="宋体"/>
                <w:sz w:val="21"/>
                <w:szCs w:val="21"/>
                <w:lang w:eastAsia="zh-CN"/>
              </w:rPr>
              <w:t>(</w:t>
            </w:r>
            <w:r>
              <w:rPr>
                <w:rFonts w:hint="eastAsia" w:ascii="宋体" w:cs="宋体"/>
                <w:sz w:val="21"/>
                <w:szCs w:val="21"/>
              </w:rPr>
              <w:t>年度</w:t>
            </w:r>
            <w:r>
              <w:rPr>
                <w:rFonts w:hint="eastAsia" w:ascii="宋体" w:cs="宋体"/>
                <w:sz w:val="21"/>
                <w:szCs w:val="21"/>
                <w:lang w:eastAsia="zh-CN"/>
              </w:rPr>
              <w:t>)</w:t>
            </w:r>
            <w:r>
              <w:rPr>
                <w:rFonts w:hint="eastAsia" w:ascii="宋体" w:cs="宋体"/>
                <w:sz w:val="21"/>
                <w:szCs w:val="21"/>
              </w:rPr>
              <w:t xml:space="preserve">信息系统安全保护等级测评报告。 </w:t>
            </w:r>
          </w:p>
          <w:p>
            <w:pPr>
              <w:pStyle w:val="11"/>
              <w:spacing w:after="0" w:line="360" w:lineRule="exact"/>
              <w:rPr>
                <w:rFonts w:hint="eastAsia" w:ascii="宋体" w:cs="宋体"/>
                <w:sz w:val="21"/>
                <w:szCs w:val="21"/>
              </w:rPr>
            </w:pPr>
            <w:r>
              <w:rPr>
                <w:rFonts w:hint="eastAsia" w:ascii="宋体" w:cs="宋体"/>
                <w:sz w:val="21"/>
                <w:szCs w:val="21"/>
                <w:lang w:val="en-US" w:eastAsia="zh-CN"/>
              </w:rPr>
              <w:t>二、</w:t>
            </w:r>
            <w:r>
              <w:rPr>
                <w:rFonts w:hint="eastAsia" w:ascii="宋体" w:cs="宋体"/>
                <w:sz w:val="21"/>
                <w:szCs w:val="21"/>
              </w:rPr>
              <w:t>项实施要求</w:t>
            </w:r>
          </w:p>
          <w:p>
            <w:pPr>
              <w:pStyle w:val="11"/>
              <w:spacing w:after="0" w:line="360" w:lineRule="exact"/>
              <w:rPr>
                <w:rFonts w:hint="eastAsia" w:ascii="宋体" w:cs="宋体"/>
                <w:sz w:val="21"/>
                <w:szCs w:val="21"/>
              </w:rPr>
            </w:pPr>
            <w:r>
              <w:rPr>
                <w:rFonts w:hint="eastAsia" w:ascii="宋体" w:cs="宋体"/>
                <w:sz w:val="21"/>
                <w:szCs w:val="21"/>
              </w:rPr>
              <w:t>1.实施原则</w:t>
            </w:r>
          </w:p>
          <w:p>
            <w:pPr>
              <w:pStyle w:val="11"/>
              <w:spacing w:after="0" w:line="360" w:lineRule="exact"/>
              <w:rPr>
                <w:rFonts w:hint="eastAsia" w:ascii="宋体" w:cs="宋体"/>
                <w:sz w:val="21"/>
                <w:szCs w:val="21"/>
              </w:rPr>
            </w:pPr>
            <w:r>
              <w:rPr>
                <w:rFonts w:hint="eastAsia" w:ascii="宋体" w:cs="宋体"/>
                <w:sz w:val="21"/>
                <w:szCs w:val="21"/>
              </w:rPr>
              <w:t>1.1规范性原则：成交</w:t>
            </w:r>
            <w:r>
              <w:rPr>
                <w:rFonts w:hint="eastAsia" w:ascii="宋体" w:cs="宋体"/>
                <w:sz w:val="21"/>
                <w:szCs w:val="21"/>
                <w:lang w:eastAsia="zh-CN"/>
              </w:rPr>
              <w:t>供应商</w:t>
            </w:r>
            <w:r>
              <w:rPr>
                <w:rFonts w:hint="eastAsia" w:ascii="宋体" w:cs="宋体"/>
                <w:sz w:val="21"/>
                <w:szCs w:val="21"/>
              </w:rPr>
              <w:t>工作中的过程和文档，具有很好的规范性，可以便于项目的跟踪和控制；</w:t>
            </w:r>
          </w:p>
          <w:p>
            <w:pPr>
              <w:pStyle w:val="11"/>
              <w:spacing w:after="0" w:line="360" w:lineRule="exact"/>
              <w:rPr>
                <w:rFonts w:hint="eastAsia" w:ascii="宋体" w:cs="宋体"/>
                <w:sz w:val="21"/>
                <w:szCs w:val="21"/>
              </w:rPr>
            </w:pPr>
            <w:r>
              <w:rPr>
                <w:rFonts w:hint="eastAsia" w:ascii="宋体" w:cs="宋体"/>
                <w:sz w:val="21"/>
                <w:szCs w:val="21"/>
              </w:rPr>
              <w:t>1.2标准性原则：测评方案的设计与实施应依据国家等级保护的相关标准进行。</w:t>
            </w:r>
          </w:p>
          <w:p>
            <w:pPr>
              <w:pStyle w:val="11"/>
              <w:spacing w:after="0" w:line="360" w:lineRule="exact"/>
              <w:rPr>
                <w:rFonts w:hint="eastAsia" w:ascii="宋体" w:cs="宋体"/>
                <w:sz w:val="21"/>
                <w:szCs w:val="21"/>
              </w:rPr>
            </w:pPr>
            <w:r>
              <w:rPr>
                <w:rFonts w:hint="eastAsia" w:ascii="宋体" w:cs="宋体"/>
                <w:sz w:val="21"/>
                <w:szCs w:val="21"/>
              </w:rPr>
              <w:t>1.3可控性原则：测评的工具、方法和过程需在双方认可的范围之内并符合进度表的安排，保证采购人对服务工作的可控性；</w:t>
            </w:r>
          </w:p>
          <w:p>
            <w:pPr>
              <w:pStyle w:val="11"/>
              <w:spacing w:after="0" w:line="360" w:lineRule="exact"/>
              <w:rPr>
                <w:rFonts w:hint="eastAsia" w:ascii="宋体" w:cs="宋体"/>
                <w:sz w:val="21"/>
                <w:szCs w:val="21"/>
              </w:rPr>
            </w:pPr>
            <w:r>
              <w:rPr>
                <w:rFonts w:hint="eastAsia" w:ascii="宋体" w:cs="宋体"/>
                <w:sz w:val="21"/>
                <w:szCs w:val="21"/>
              </w:rPr>
              <w:t>1.4整体性原则：测评和分析的范围和内容应当整体全面，包括安全涉及的各个层面，避免由于遗漏造成未来的安全隐患；</w:t>
            </w:r>
          </w:p>
          <w:p>
            <w:pPr>
              <w:pStyle w:val="11"/>
              <w:spacing w:after="0" w:line="360" w:lineRule="exact"/>
              <w:rPr>
                <w:rFonts w:hint="eastAsia" w:ascii="宋体" w:cs="宋体"/>
                <w:sz w:val="21"/>
                <w:szCs w:val="21"/>
              </w:rPr>
            </w:pPr>
            <w:r>
              <w:rPr>
                <w:rFonts w:hint="eastAsia" w:ascii="宋体" w:cs="宋体"/>
                <w:sz w:val="21"/>
                <w:szCs w:val="21"/>
              </w:rPr>
              <w:t>1.5最小影响原则：测评工作应尽可能小的影响系统和网络的正常运行，不能对现网的运行和业务的正常提供产生显著影响(包括系统性能明显下降、网络拥塞、服务中断，如无法避免出现这些情况应在应答书上详细描述)；</w:t>
            </w:r>
          </w:p>
          <w:p>
            <w:pPr>
              <w:pStyle w:val="11"/>
              <w:spacing w:after="0" w:line="360" w:lineRule="exact"/>
              <w:rPr>
                <w:rFonts w:hint="eastAsia" w:ascii="宋体" w:cs="宋体"/>
                <w:sz w:val="21"/>
                <w:szCs w:val="21"/>
              </w:rPr>
            </w:pPr>
            <w:r>
              <w:rPr>
                <w:rFonts w:hint="eastAsia" w:ascii="宋体" w:cs="宋体"/>
                <w:sz w:val="21"/>
                <w:szCs w:val="21"/>
              </w:rPr>
              <w:t>1.6保密原则：对测评的过程数据和结果数据严格保密，未经授权不得泄露给任何单位和个人，不得利用此数据进行任何侵害采购人网络的行为，否则采购人有权追究责任。</w:t>
            </w:r>
          </w:p>
          <w:p>
            <w:pPr>
              <w:pStyle w:val="11"/>
              <w:spacing w:after="0" w:line="360" w:lineRule="exact"/>
              <w:rPr>
                <w:rFonts w:hint="eastAsia" w:ascii="宋体" w:cs="宋体"/>
                <w:sz w:val="21"/>
                <w:szCs w:val="21"/>
              </w:rPr>
            </w:pPr>
            <w:r>
              <w:rPr>
                <w:rFonts w:hint="eastAsia" w:ascii="宋体" w:cs="宋体"/>
                <w:sz w:val="21"/>
                <w:szCs w:val="21"/>
                <w:lang w:val="en-US" w:eastAsia="zh-CN"/>
              </w:rPr>
              <w:t>三、</w:t>
            </w:r>
            <w:r>
              <w:rPr>
                <w:rFonts w:hint="eastAsia" w:ascii="宋体" w:cs="宋体"/>
                <w:sz w:val="21"/>
                <w:szCs w:val="21"/>
              </w:rPr>
              <w:t>测评依据</w:t>
            </w:r>
          </w:p>
          <w:p>
            <w:pPr>
              <w:pStyle w:val="11"/>
              <w:spacing w:after="0" w:line="360" w:lineRule="exact"/>
              <w:rPr>
                <w:rFonts w:hint="eastAsia" w:ascii="宋体" w:cs="宋体"/>
                <w:sz w:val="21"/>
                <w:szCs w:val="21"/>
              </w:rPr>
            </w:pPr>
            <w:r>
              <w:rPr>
                <w:rFonts w:hint="eastAsia" w:ascii="宋体" w:cs="宋体"/>
                <w:sz w:val="21"/>
                <w:szCs w:val="21"/>
              </w:rPr>
              <w:t>《中华人民共和国网络安全法》</w:t>
            </w:r>
          </w:p>
          <w:p>
            <w:pPr>
              <w:pStyle w:val="11"/>
              <w:spacing w:after="0" w:line="360" w:lineRule="exact"/>
              <w:rPr>
                <w:rFonts w:hint="eastAsia" w:ascii="宋体" w:cs="宋体"/>
                <w:sz w:val="21"/>
                <w:szCs w:val="21"/>
              </w:rPr>
            </w:pPr>
            <w:r>
              <w:rPr>
                <w:rFonts w:hint="eastAsia" w:ascii="宋体" w:cs="宋体"/>
                <w:sz w:val="21"/>
                <w:szCs w:val="21"/>
              </w:rPr>
              <w:t>《中华人民共和国数据安全法》</w:t>
            </w:r>
          </w:p>
          <w:p>
            <w:pPr>
              <w:pStyle w:val="11"/>
              <w:spacing w:after="0" w:line="360" w:lineRule="exact"/>
              <w:rPr>
                <w:rFonts w:hint="eastAsia" w:ascii="宋体" w:cs="宋体"/>
                <w:sz w:val="21"/>
                <w:szCs w:val="21"/>
              </w:rPr>
            </w:pPr>
            <w:r>
              <w:rPr>
                <w:rFonts w:hint="eastAsia" w:ascii="宋体" w:cs="宋体"/>
                <w:sz w:val="21"/>
                <w:szCs w:val="21"/>
              </w:rPr>
              <w:t>《中华人民共和国密码法》</w:t>
            </w:r>
          </w:p>
          <w:p>
            <w:pPr>
              <w:pStyle w:val="11"/>
              <w:spacing w:after="0" w:line="360" w:lineRule="exact"/>
              <w:rPr>
                <w:rFonts w:hint="eastAsia" w:ascii="宋体" w:eastAsia="宋体" w:cs="宋体"/>
                <w:sz w:val="21"/>
                <w:szCs w:val="21"/>
                <w:lang w:eastAsia="zh-CN"/>
              </w:rPr>
            </w:pPr>
            <w:r>
              <w:rPr>
                <w:rFonts w:hint="eastAsia" w:ascii="宋体" w:cs="宋体"/>
                <w:sz w:val="21"/>
                <w:szCs w:val="21"/>
              </w:rPr>
              <w:t>公安部、国家保密局、国务院信息化工作办公室制定的《信息安全等级保护管理办法》</w:t>
            </w:r>
            <w:r>
              <w:rPr>
                <w:rFonts w:hint="eastAsia" w:ascii="宋体" w:cs="宋体"/>
                <w:sz w:val="21"/>
                <w:szCs w:val="21"/>
                <w:lang w:eastAsia="zh-CN"/>
              </w:rPr>
              <w:t>(</w:t>
            </w:r>
            <w:r>
              <w:rPr>
                <w:rFonts w:hint="eastAsia" w:ascii="宋体" w:cs="宋体"/>
                <w:sz w:val="21"/>
                <w:szCs w:val="21"/>
              </w:rPr>
              <w:t>公通字 [2007]43 号</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《信息安全技术 网络安全等级保护基本要求》</w:t>
            </w:r>
            <w:r>
              <w:rPr>
                <w:rFonts w:hint="eastAsia" w:ascii="宋体" w:cs="宋体"/>
                <w:sz w:val="21"/>
                <w:szCs w:val="21"/>
                <w:lang w:eastAsia="zh-CN"/>
              </w:rPr>
              <w:t>(</w:t>
            </w:r>
            <w:r>
              <w:rPr>
                <w:rFonts w:hint="eastAsia" w:ascii="宋体" w:cs="宋体"/>
                <w:sz w:val="21"/>
                <w:szCs w:val="21"/>
              </w:rPr>
              <w:t>GB/T22239-2019</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《信息安全技术 网络安全等级保护测评要求》</w:t>
            </w:r>
            <w:r>
              <w:rPr>
                <w:rFonts w:hint="eastAsia" w:ascii="宋体" w:cs="宋体"/>
                <w:sz w:val="21"/>
                <w:szCs w:val="21"/>
                <w:lang w:eastAsia="zh-CN"/>
              </w:rPr>
              <w:t>(</w:t>
            </w:r>
            <w:r>
              <w:rPr>
                <w:rFonts w:hint="eastAsia" w:ascii="宋体" w:cs="宋体"/>
                <w:sz w:val="21"/>
                <w:szCs w:val="21"/>
              </w:rPr>
              <w:t>GB/T 28448-2019</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《信息安全技术 网络安全等级保护安全设计技术要求》</w:t>
            </w:r>
            <w:r>
              <w:rPr>
                <w:rFonts w:hint="eastAsia" w:ascii="宋体" w:cs="宋体"/>
                <w:sz w:val="21"/>
                <w:szCs w:val="21"/>
                <w:lang w:eastAsia="zh-CN"/>
              </w:rPr>
              <w:t>(</w:t>
            </w:r>
            <w:r>
              <w:rPr>
                <w:rFonts w:hint="eastAsia" w:ascii="宋体" w:cs="宋体"/>
                <w:sz w:val="21"/>
                <w:szCs w:val="21"/>
              </w:rPr>
              <w:t>GB/T 25070-2019</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《信息安全技术 网络安全等级保护实施指南》</w:t>
            </w:r>
            <w:r>
              <w:rPr>
                <w:rFonts w:hint="eastAsia" w:ascii="宋体" w:cs="宋体"/>
                <w:sz w:val="21"/>
                <w:szCs w:val="21"/>
                <w:lang w:eastAsia="zh-CN"/>
              </w:rPr>
              <w:t>(</w:t>
            </w:r>
            <w:r>
              <w:rPr>
                <w:rFonts w:hint="eastAsia" w:ascii="宋体" w:cs="宋体"/>
                <w:sz w:val="21"/>
                <w:szCs w:val="21"/>
              </w:rPr>
              <w:t>GB/T25058-2019</w:t>
            </w:r>
            <w:r>
              <w:rPr>
                <w:rFonts w:hint="eastAsia" w:ascii="宋体" w:cs="宋体"/>
                <w:sz w:val="21"/>
                <w:szCs w:val="21"/>
                <w:lang w:eastAsia="zh-CN"/>
              </w:rPr>
              <w:t>)</w:t>
            </w:r>
          </w:p>
          <w:p>
            <w:pPr>
              <w:pStyle w:val="11"/>
              <w:spacing w:after="0" w:line="360" w:lineRule="exact"/>
              <w:rPr>
                <w:rFonts w:hint="eastAsia" w:ascii="宋体" w:cs="宋体"/>
                <w:sz w:val="21"/>
                <w:szCs w:val="21"/>
              </w:rPr>
            </w:pPr>
            <w:r>
              <w:rPr>
                <w:rFonts w:hint="eastAsia" w:ascii="宋体" w:cs="宋体"/>
                <w:sz w:val="21"/>
                <w:szCs w:val="21"/>
              </w:rPr>
              <w:t>《信息安全技术 信息系统安全等级保护定级指南》</w:t>
            </w:r>
          </w:p>
          <w:p>
            <w:pPr>
              <w:pStyle w:val="11"/>
              <w:spacing w:after="0" w:line="360" w:lineRule="exact"/>
              <w:rPr>
                <w:rFonts w:hint="eastAsia" w:ascii="宋体" w:eastAsia="宋体" w:cs="宋体"/>
                <w:sz w:val="21"/>
                <w:szCs w:val="21"/>
                <w:lang w:eastAsia="zh-CN"/>
              </w:rPr>
            </w:pPr>
            <w:r>
              <w:rPr>
                <w:rFonts w:hint="eastAsia" w:ascii="宋体" w:cs="宋体"/>
                <w:sz w:val="21"/>
                <w:szCs w:val="21"/>
              </w:rPr>
              <w:t>《计算机软件文档编制规范》</w:t>
            </w:r>
            <w:r>
              <w:rPr>
                <w:rFonts w:hint="eastAsia" w:ascii="宋体" w:cs="宋体"/>
                <w:sz w:val="21"/>
                <w:szCs w:val="21"/>
                <w:lang w:eastAsia="zh-CN"/>
              </w:rPr>
              <w:t>(</w:t>
            </w:r>
            <w:r>
              <w:rPr>
                <w:rFonts w:hint="eastAsia" w:ascii="宋体" w:cs="宋体"/>
                <w:sz w:val="21"/>
                <w:szCs w:val="21"/>
              </w:rPr>
              <w:t>GB/T 8567-2006</w:t>
            </w:r>
            <w:r>
              <w:rPr>
                <w:rFonts w:hint="eastAsia" w:ascii="宋体" w:cs="宋体"/>
                <w:sz w:val="21"/>
                <w:szCs w:val="21"/>
                <w:lang w:eastAsia="zh-CN"/>
              </w:rPr>
              <w:t>)</w:t>
            </w:r>
          </w:p>
          <w:p>
            <w:pPr>
              <w:pStyle w:val="11"/>
              <w:spacing w:after="0" w:line="360" w:lineRule="exact"/>
              <w:rPr>
                <w:rFonts w:hint="eastAsia" w:ascii="宋体" w:eastAsia="宋体" w:cs="宋体"/>
                <w:sz w:val="21"/>
                <w:szCs w:val="21"/>
                <w:lang w:eastAsia="zh-CN"/>
              </w:rPr>
            </w:pPr>
            <w:r>
              <w:rPr>
                <w:rFonts w:hint="eastAsia" w:ascii="宋体" w:cs="宋体"/>
                <w:sz w:val="21"/>
                <w:szCs w:val="21"/>
              </w:rPr>
              <w:t>《信息技术软件工程术语》</w:t>
            </w:r>
            <w:r>
              <w:rPr>
                <w:rFonts w:hint="eastAsia" w:ascii="宋体" w:cs="宋体"/>
                <w:sz w:val="21"/>
                <w:szCs w:val="21"/>
                <w:lang w:eastAsia="zh-CN"/>
              </w:rPr>
              <w:t>(</w:t>
            </w:r>
            <w:r>
              <w:rPr>
                <w:rFonts w:hint="eastAsia" w:ascii="宋体" w:cs="宋体"/>
                <w:sz w:val="21"/>
                <w:szCs w:val="21"/>
              </w:rPr>
              <w:t>GB/T 11457-2006</w:t>
            </w:r>
            <w:r>
              <w:rPr>
                <w:rFonts w:hint="eastAsia" w:ascii="宋体" w:cs="宋体"/>
                <w:sz w:val="21"/>
                <w:szCs w:val="21"/>
                <w:lang w:eastAsia="zh-CN"/>
              </w:rPr>
              <w:t>)</w:t>
            </w:r>
          </w:p>
          <w:p>
            <w:pPr>
              <w:pStyle w:val="11"/>
              <w:spacing w:after="0" w:line="360" w:lineRule="exact"/>
              <w:rPr>
                <w:rFonts w:hint="eastAsia" w:ascii="宋体" w:cs="宋体"/>
                <w:sz w:val="21"/>
                <w:szCs w:val="21"/>
              </w:rPr>
            </w:pPr>
            <w:r>
              <w:rPr>
                <w:rFonts w:hint="eastAsia" w:ascii="宋体" w:cs="宋体"/>
                <w:sz w:val="21"/>
                <w:szCs w:val="21"/>
                <w:lang w:val="en-US" w:eastAsia="zh-CN"/>
              </w:rPr>
              <w:t>四、</w:t>
            </w:r>
            <w:r>
              <w:rPr>
                <w:rFonts w:hint="eastAsia" w:ascii="宋体" w:cs="宋体"/>
                <w:sz w:val="21"/>
                <w:szCs w:val="21"/>
              </w:rPr>
              <w:t>等级保护测评内容</w:t>
            </w:r>
          </w:p>
          <w:p>
            <w:pPr>
              <w:pStyle w:val="11"/>
              <w:spacing w:after="0" w:line="360" w:lineRule="exact"/>
              <w:rPr>
                <w:rFonts w:hint="eastAsia" w:ascii="宋体" w:cs="宋体"/>
                <w:sz w:val="21"/>
                <w:szCs w:val="21"/>
              </w:rPr>
            </w:pPr>
            <w:r>
              <w:rPr>
                <w:rFonts w:hint="eastAsia" w:ascii="宋体" w:cs="宋体"/>
                <w:sz w:val="21"/>
                <w:szCs w:val="21"/>
              </w:rPr>
              <w:t>等级保护测评内容</w:t>
            </w:r>
          </w:p>
          <w:p>
            <w:pPr>
              <w:pStyle w:val="11"/>
              <w:spacing w:after="0" w:line="360" w:lineRule="exact"/>
              <w:rPr>
                <w:rFonts w:hint="eastAsia" w:ascii="宋体" w:cs="宋体"/>
                <w:sz w:val="21"/>
                <w:szCs w:val="21"/>
              </w:rPr>
            </w:pPr>
            <w:r>
              <w:rPr>
                <w:rFonts w:hint="eastAsia" w:ascii="宋体" w:cs="宋体"/>
                <w:sz w:val="21"/>
                <w:szCs w:val="21"/>
              </w:rPr>
              <w:t>根据国家等级保护相关标准，本次项目的等级保护测评应包括以下内容：</w:t>
            </w:r>
          </w:p>
          <w:p>
            <w:pPr>
              <w:pStyle w:val="11"/>
              <w:spacing w:after="0" w:line="360" w:lineRule="exact"/>
              <w:rPr>
                <w:rFonts w:hint="eastAsia" w:ascii="宋体" w:cs="宋体"/>
                <w:sz w:val="21"/>
                <w:szCs w:val="21"/>
              </w:rPr>
            </w:pPr>
            <w:r>
              <w:rPr>
                <w:rFonts w:hint="eastAsia" w:ascii="宋体" w:cs="宋体"/>
                <w:sz w:val="21"/>
                <w:szCs w:val="21"/>
              </w:rPr>
              <w:t>安全技术测评：包括安全物理环境、安全通信网络、安全区域边界、安全计算环境、安全管理中心等五个方面的安全测评；</w:t>
            </w:r>
          </w:p>
          <w:p>
            <w:pPr>
              <w:pStyle w:val="11"/>
              <w:spacing w:after="0" w:line="360" w:lineRule="exact"/>
              <w:rPr>
                <w:rFonts w:hint="eastAsia" w:ascii="宋体" w:cs="宋体"/>
                <w:sz w:val="21"/>
                <w:szCs w:val="21"/>
              </w:rPr>
            </w:pPr>
            <w:r>
              <w:rPr>
                <w:rFonts w:hint="eastAsia" w:ascii="宋体" w:cs="宋体"/>
                <w:sz w:val="21"/>
                <w:szCs w:val="21"/>
              </w:rPr>
              <w:t>安全管理测评：包括安全管理制度、安全管理机构、安全管理人员、安全建设管理和安全运维管理等五个方面的安全测评。</w:t>
            </w:r>
          </w:p>
          <w:p>
            <w:pPr>
              <w:pStyle w:val="11"/>
              <w:spacing w:after="0" w:line="360" w:lineRule="exact"/>
              <w:rPr>
                <w:rFonts w:hint="eastAsia" w:ascii="宋体" w:cs="宋体"/>
                <w:sz w:val="21"/>
                <w:szCs w:val="21"/>
              </w:rPr>
            </w:pPr>
            <w:r>
              <w:rPr>
                <w:rFonts w:hint="eastAsia" w:ascii="宋体" w:cs="宋体"/>
                <w:sz w:val="21"/>
                <w:szCs w:val="21"/>
              </w:rPr>
              <w:t>1.安全物理环境</w:t>
            </w:r>
          </w:p>
          <w:p>
            <w:pPr>
              <w:pStyle w:val="11"/>
              <w:spacing w:after="0" w:line="360" w:lineRule="exact"/>
              <w:rPr>
                <w:rFonts w:hint="eastAsia" w:ascii="宋体" w:cs="宋体"/>
                <w:sz w:val="21"/>
                <w:szCs w:val="21"/>
              </w:rPr>
            </w:pPr>
            <w:r>
              <w:rPr>
                <w:rFonts w:hint="eastAsia" w:ascii="宋体" w:cs="宋体"/>
                <w:sz w:val="21"/>
                <w:szCs w:val="21"/>
              </w:rPr>
              <w:t>安全物理环境是对机房和办公场所的物理环境安全防护情况进行测评，包括物理位置选择、物理访问控制、防盗窃和防破坏、防雷击、防火、防水和防潮、防静电、温湿度控制、电力供应和电磁防护等方面的安全状况。</w:t>
            </w:r>
          </w:p>
          <w:p>
            <w:pPr>
              <w:pStyle w:val="11"/>
              <w:spacing w:after="0" w:line="360" w:lineRule="exact"/>
              <w:rPr>
                <w:rFonts w:hint="eastAsia" w:ascii="宋体" w:cs="宋体"/>
                <w:sz w:val="21"/>
                <w:szCs w:val="21"/>
              </w:rPr>
            </w:pPr>
            <w:r>
              <w:rPr>
                <w:rFonts w:hint="eastAsia" w:ascii="宋体" w:cs="宋体"/>
                <w:sz w:val="21"/>
                <w:szCs w:val="21"/>
              </w:rPr>
              <w:t>2.安全通信网络</w:t>
            </w:r>
          </w:p>
          <w:p>
            <w:pPr>
              <w:pStyle w:val="11"/>
              <w:spacing w:after="0" w:line="360" w:lineRule="exact"/>
              <w:rPr>
                <w:rFonts w:hint="eastAsia" w:ascii="宋体" w:cs="宋体"/>
                <w:sz w:val="21"/>
                <w:szCs w:val="21"/>
              </w:rPr>
            </w:pPr>
            <w:r>
              <w:rPr>
                <w:rFonts w:hint="eastAsia" w:ascii="宋体" w:cs="宋体"/>
                <w:sz w:val="21"/>
                <w:szCs w:val="21"/>
              </w:rPr>
              <w:t>安全通信网络测评是对网络系统安全防护情况进行测评，包括网络架构、通信传输、可信验证等方面的安全状况。</w:t>
            </w:r>
          </w:p>
          <w:p>
            <w:pPr>
              <w:pStyle w:val="11"/>
              <w:spacing w:after="0" w:line="360" w:lineRule="exact"/>
              <w:rPr>
                <w:rFonts w:hint="eastAsia" w:ascii="宋体" w:cs="宋体"/>
                <w:sz w:val="21"/>
                <w:szCs w:val="21"/>
              </w:rPr>
            </w:pPr>
            <w:r>
              <w:rPr>
                <w:rFonts w:hint="eastAsia" w:ascii="宋体" w:cs="宋体"/>
                <w:sz w:val="21"/>
                <w:szCs w:val="21"/>
              </w:rPr>
              <w:t>3.安全区域边界</w:t>
            </w:r>
          </w:p>
          <w:p>
            <w:pPr>
              <w:pStyle w:val="11"/>
              <w:spacing w:after="0" w:line="360" w:lineRule="exact"/>
              <w:rPr>
                <w:rFonts w:hint="eastAsia" w:ascii="宋体" w:cs="宋体"/>
                <w:sz w:val="21"/>
                <w:szCs w:val="21"/>
              </w:rPr>
            </w:pPr>
            <w:r>
              <w:rPr>
                <w:rFonts w:hint="eastAsia" w:ascii="宋体" w:cs="宋体"/>
                <w:sz w:val="21"/>
                <w:szCs w:val="21"/>
              </w:rPr>
              <w:t>安全区域边界是对边界防护、访问控制、入侵防范、恶意代码防范、安全审计、可信验证等方面的测评。</w:t>
            </w:r>
          </w:p>
          <w:p>
            <w:pPr>
              <w:pStyle w:val="11"/>
              <w:spacing w:after="0" w:line="360" w:lineRule="exact"/>
              <w:rPr>
                <w:rFonts w:hint="eastAsia" w:ascii="宋体" w:cs="宋体"/>
                <w:sz w:val="21"/>
                <w:szCs w:val="21"/>
              </w:rPr>
            </w:pPr>
            <w:r>
              <w:rPr>
                <w:rFonts w:hint="eastAsia" w:ascii="宋体" w:cs="宋体"/>
                <w:sz w:val="21"/>
                <w:szCs w:val="21"/>
              </w:rPr>
              <w:t>4.安全计算环境</w:t>
            </w:r>
          </w:p>
          <w:p>
            <w:pPr>
              <w:pStyle w:val="11"/>
              <w:spacing w:after="0" w:line="360" w:lineRule="exact"/>
              <w:rPr>
                <w:rFonts w:hint="eastAsia" w:ascii="宋体" w:cs="宋体"/>
                <w:sz w:val="21"/>
                <w:szCs w:val="21"/>
              </w:rPr>
            </w:pPr>
            <w:r>
              <w:rPr>
                <w:rFonts w:hint="eastAsia" w:ascii="宋体" w:cs="宋体"/>
                <w:sz w:val="21"/>
                <w:szCs w:val="21"/>
              </w:rPr>
              <w:t>安全计算环境是对身份鉴别、访问控制、安全审计、入侵防范、恶意代码防范、可信验证、数据完整性、数据保密性、数据备份恢复、剩余信息保护、个人信息保护等方面的测评。</w:t>
            </w:r>
          </w:p>
          <w:p>
            <w:pPr>
              <w:pStyle w:val="11"/>
              <w:spacing w:after="0" w:line="360" w:lineRule="exact"/>
              <w:rPr>
                <w:rFonts w:hint="eastAsia" w:ascii="宋体" w:cs="宋体"/>
                <w:sz w:val="21"/>
                <w:szCs w:val="21"/>
              </w:rPr>
            </w:pPr>
            <w:r>
              <w:rPr>
                <w:rFonts w:hint="eastAsia" w:ascii="宋体" w:cs="宋体"/>
                <w:sz w:val="21"/>
                <w:szCs w:val="21"/>
              </w:rPr>
              <w:t>5.安全管理中心</w:t>
            </w:r>
          </w:p>
          <w:p>
            <w:pPr>
              <w:pStyle w:val="11"/>
              <w:spacing w:after="0" w:line="360" w:lineRule="exact"/>
              <w:rPr>
                <w:rFonts w:hint="eastAsia" w:ascii="宋体" w:cs="宋体"/>
                <w:sz w:val="21"/>
                <w:szCs w:val="21"/>
              </w:rPr>
            </w:pPr>
            <w:r>
              <w:rPr>
                <w:rFonts w:hint="eastAsia" w:ascii="宋体" w:cs="宋体"/>
                <w:sz w:val="21"/>
                <w:szCs w:val="21"/>
              </w:rPr>
              <w:t>安全管理中心是对系统管理、审计管理、安全管理、集中管控等方面的测评。</w:t>
            </w:r>
          </w:p>
          <w:p>
            <w:pPr>
              <w:pStyle w:val="11"/>
              <w:spacing w:after="0" w:line="360" w:lineRule="exact"/>
              <w:rPr>
                <w:rFonts w:hint="eastAsia" w:ascii="宋体" w:cs="宋体"/>
                <w:sz w:val="21"/>
                <w:szCs w:val="21"/>
              </w:rPr>
            </w:pPr>
            <w:r>
              <w:rPr>
                <w:rFonts w:hint="eastAsia" w:ascii="宋体" w:cs="宋体"/>
                <w:sz w:val="21"/>
                <w:szCs w:val="21"/>
              </w:rPr>
              <w:t>6.安全管理制度</w:t>
            </w:r>
          </w:p>
          <w:p>
            <w:pPr>
              <w:pStyle w:val="11"/>
              <w:spacing w:after="0" w:line="360" w:lineRule="exact"/>
              <w:rPr>
                <w:rFonts w:hint="eastAsia" w:ascii="宋体" w:cs="宋体"/>
                <w:sz w:val="21"/>
                <w:szCs w:val="21"/>
              </w:rPr>
            </w:pPr>
            <w:r>
              <w:rPr>
                <w:rFonts w:hint="eastAsia" w:ascii="宋体" w:cs="宋体"/>
                <w:sz w:val="21"/>
                <w:szCs w:val="21"/>
              </w:rPr>
              <w:t>安全管理制度测评是对安全策略、管理制度、制定和发布、评审和修订进行测评。</w:t>
            </w:r>
          </w:p>
          <w:p>
            <w:pPr>
              <w:pStyle w:val="11"/>
              <w:spacing w:after="0" w:line="360" w:lineRule="exact"/>
              <w:rPr>
                <w:rFonts w:hint="eastAsia" w:ascii="宋体" w:cs="宋体"/>
                <w:sz w:val="21"/>
                <w:szCs w:val="21"/>
              </w:rPr>
            </w:pPr>
            <w:r>
              <w:rPr>
                <w:rFonts w:hint="eastAsia" w:ascii="宋体" w:cs="宋体"/>
                <w:sz w:val="21"/>
                <w:szCs w:val="21"/>
              </w:rPr>
              <w:t>7.安全管理机构</w:t>
            </w:r>
          </w:p>
          <w:p>
            <w:pPr>
              <w:pStyle w:val="11"/>
              <w:spacing w:after="0" w:line="360" w:lineRule="exact"/>
              <w:rPr>
                <w:rFonts w:hint="eastAsia" w:ascii="宋体" w:cs="宋体"/>
                <w:sz w:val="21"/>
                <w:szCs w:val="21"/>
              </w:rPr>
            </w:pPr>
            <w:r>
              <w:rPr>
                <w:rFonts w:hint="eastAsia" w:ascii="宋体" w:cs="宋体"/>
                <w:sz w:val="21"/>
                <w:szCs w:val="21"/>
              </w:rPr>
              <w:t>安全管理机构测评是对岗位设置、人员配备、授权和审批、沟通和合作、审核和检查等情况进行测评。</w:t>
            </w:r>
          </w:p>
          <w:p>
            <w:pPr>
              <w:pStyle w:val="11"/>
              <w:spacing w:after="0" w:line="360" w:lineRule="exact"/>
              <w:rPr>
                <w:rFonts w:hint="eastAsia" w:ascii="宋体" w:cs="宋体"/>
                <w:sz w:val="21"/>
                <w:szCs w:val="21"/>
              </w:rPr>
            </w:pPr>
            <w:r>
              <w:rPr>
                <w:rFonts w:hint="eastAsia" w:ascii="宋体" w:cs="宋体"/>
                <w:sz w:val="21"/>
                <w:szCs w:val="21"/>
              </w:rPr>
              <w:t>8.安全管理人员</w:t>
            </w:r>
          </w:p>
          <w:p>
            <w:pPr>
              <w:pStyle w:val="11"/>
              <w:spacing w:after="0" w:line="360" w:lineRule="exact"/>
              <w:rPr>
                <w:rFonts w:hint="eastAsia" w:ascii="宋体" w:cs="宋体"/>
                <w:sz w:val="21"/>
                <w:szCs w:val="21"/>
              </w:rPr>
            </w:pPr>
            <w:r>
              <w:rPr>
                <w:rFonts w:hint="eastAsia" w:ascii="宋体" w:cs="宋体"/>
                <w:sz w:val="21"/>
                <w:szCs w:val="21"/>
              </w:rPr>
              <w:t>安全管理人员测评是对人员录用、人员离岗、安全意识教育和培训、外部人员访问管理等情况进行测评。</w:t>
            </w:r>
          </w:p>
          <w:p>
            <w:pPr>
              <w:pStyle w:val="11"/>
              <w:spacing w:after="0" w:line="360" w:lineRule="exact"/>
              <w:rPr>
                <w:rFonts w:hint="eastAsia" w:ascii="宋体" w:cs="宋体"/>
                <w:sz w:val="21"/>
                <w:szCs w:val="21"/>
              </w:rPr>
            </w:pPr>
            <w:r>
              <w:rPr>
                <w:rFonts w:hint="eastAsia" w:ascii="宋体" w:cs="宋体"/>
                <w:sz w:val="21"/>
                <w:szCs w:val="21"/>
              </w:rPr>
              <w:t>9.安全建设管理</w:t>
            </w:r>
          </w:p>
          <w:p>
            <w:pPr>
              <w:pStyle w:val="11"/>
              <w:spacing w:after="0" w:line="360" w:lineRule="exact"/>
              <w:rPr>
                <w:rFonts w:hint="eastAsia" w:ascii="宋体" w:cs="宋体"/>
                <w:sz w:val="21"/>
                <w:szCs w:val="21"/>
              </w:rPr>
            </w:pPr>
            <w:r>
              <w:rPr>
                <w:rFonts w:hint="eastAsia" w:ascii="宋体" w:cs="宋体"/>
                <w:sz w:val="21"/>
                <w:szCs w:val="21"/>
              </w:rPr>
              <w:t>安全建设管理测评是对建设过程中的系统定级和备案、安全方案设计、产品采购和使用、自行软件开发、外包软件开发、 工程实施、测试验收、系统交付、 等级测评、服务</w:t>
            </w:r>
            <w:r>
              <w:rPr>
                <w:rFonts w:hint="eastAsia" w:ascii="宋体" w:cs="宋体"/>
                <w:sz w:val="21"/>
                <w:szCs w:val="21"/>
                <w:lang w:eastAsia="zh-CN"/>
              </w:rPr>
              <w:t>供应商</w:t>
            </w:r>
            <w:r>
              <w:rPr>
                <w:rFonts w:hint="eastAsia" w:ascii="宋体" w:cs="宋体"/>
                <w:sz w:val="21"/>
                <w:szCs w:val="21"/>
              </w:rPr>
              <w:t>选择等情况进行测评。</w:t>
            </w:r>
          </w:p>
          <w:p>
            <w:pPr>
              <w:pStyle w:val="11"/>
              <w:spacing w:after="0" w:line="360" w:lineRule="exact"/>
              <w:rPr>
                <w:rFonts w:hint="eastAsia" w:ascii="宋体" w:cs="宋体"/>
                <w:sz w:val="21"/>
                <w:szCs w:val="21"/>
              </w:rPr>
            </w:pPr>
            <w:r>
              <w:rPr>
                <w:rFonts w:hint="eastAsia" w:ascii="宋体" w:cs="宋体"/>
                <w:sz w:val="21"/>
                <w:szCs w:val="21"/>
              </w:rPr>
              <w:t>10.安全运维管理</w:t>
            </w:r>
          </w:p>
          <w:p>
            <w:pPr>
              <w:pStyle w:val="11"/>
              <w:spacing w:after="0" w:line="360" w:lineRule="exact"/>
              <w:rPr>
                <w:rFonts w:hint="eastAsia" w:ascii="宋体" w:cs="宋体"/>
                <w:sz w:val="21"/>
                <w:szCs w:val="21"/>
              </w:rPr>
            </w:pPr>
            <w:r>
              <w:rPr>
                <w:rFonts w:hint="eastAsia" w:ascii="宋体" w:cs="宋体"/>
                <w:sz w:val="21"/>
                <w:szCs w:val="21"/>
              </w:rPr>
              <w:t>安全运维管理测评是对环境管理、资产管理、介质管理、设备维护管理、漏洞和风险管理、网络和系统安全管理、恶意代码防范管理、配置管理、密码管理、变更管理、备份与恢复管理、安全事件处置、 应急预案管理、外包运维管理等情况进行测评。</w:t>
            </w:r>
          </w:p>
          <w:p>
            <w:pPr>
              <w:pStyle w:val="11"/>
              <w:spacing w:after="0" w:line="360" w:lineRule="exact"/>
              <w:rPr>
                <w:rFonts w:hint="eastAsia" w:ascii="宋体" w:cs="宋体"/>
                <w:sz w:val="21"/>
                <w:szCs w:val="21"/>
              </w:rPr>
            </w:pPr>
            <w:r>
              <w:rPr>
                <w:rFonts w:hint="eastAsia" w:ascii="宋体" w:cs="宋体"/>
                <w:sz w:val="21"/>
                <w:szCs w:val="21"/>
              </w:rPr>
              <w:t>11.协助信息系统等级保护备案工作</w:t>
            </w:r>
          </w:p>
          <w:p>
            <w:pPr>
              <w:pStyle w:val="11"/>
              <w:spacing w:after="0" w:line="360" w:lineRule="exact"/>
              <w:rPr>
                <w:rFonts w:ascii="宋体" w:cs="宋体"/>
                <w:sz w:val="21"/>
                <w:szCs w:val="21"/>
              </w:rPr>
            </w:pPr>
            <w:r>
              <w:rPr>
                <w:rFonts w:hint="eastAsia" w:ascii="宋体" w:cs="宋体"/>
                <w:sz w:val="21"/>
                <w:szCs w:val="21"/>
              </w:rPr>
              <w:t>协助校方完成本系统测评前期信息系统等级保护备案工作：完成备案表、定级报告、专家评审、上传备案材料等工作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spacing w:line="360" w:lineRule="exact"/>
              <w:jc w:val="center"/>
              <w:rPr>
                <w:rFonts w:hint="eastAsia" w:eastAsia="宋体" w:cs="宋体"/>
                <w:bCs/>
                <w:sz w:val="21"/>
                <w:szCs w:val="21"/>
                <w:lang w:val="en-US" w:eastAsia="zh-CN"/>
              </w:rPr>
            </w:pPr>
            <w:r>
              <w:rPr>
                <w:rFonts w:hint="eastAsia" w:cs="宋体"/>
                <w:bCs/>
                <w:sz w:val="21"/>
                <w:szCs w:val="21"/>
                <w:lang w:val="en-US" w:eastAsia="zh-CN"/>
              </w:rPr>
              <w:t>3</w:t>
            </w:r>
          </w:p>
        </w:tc>
        <w:tc>
          <w:tcPr>
            <w:tcW w:w="1233" w:type="dxa"/>
            <w:vAlign w:val="center"/>
          </w:tcPr>
          <w:p>
            <w:pPr>
              <w:spacing w:line="36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应急演练</w:t>
            </w:r>
          </w:p>
        </w:tc>
        <w:tc>
          <w:tcPr>
            <w:tcW w:w="7756" w:type="dxa"/>
            <w:vAlign w:val="center"/>
          </w:tcPr>
          <w:p>
            <w:pPr>
              <w:pStyle w:val="11"/>
              <w:spacing w:after="0" w:line="360" w:lineRule="exact"/>
              <w:rPr>
                <w:rFonts w:hint="eastAsia" w:ascii="宋体" w:cs="宋体"/>
                <w:sz w:val="21"/>
                <w:szCs w:val="21"/>
                <w:lang w:val="en-US" w:eastAsia="zh-CN"/>
              </w:rPr>
            </w:pPr>
            <w:r>
              <w:rPr>
                <w:rFonts w:hint="eastAsia" w:ascii="宋体" w:cs="宋体"/>
                <w:sz w:val="21"/>
                <w:szCs w:val="21"/>
                <w:lang w:val="en-US" w:eastAsia="zh-CN"/>
              </w:rPr>
              <w:t>1.协助采购人完成学校网络安全应急演练工作。</w:t>
            </w:r>
          </w:p>
          <w:p>
            <w:pPr>
              <w:pStyle w:val="11"/>
              <w:spacing w:after="0" w:line="360" w:lineRule="exact"/>
              <w:rPr>
                <w:rFonts w:hint="eastAsia" w:ascii="宋体" w:cs="宋体"/>
                <w:sz w:val="21"/>
                <w:szCs w:val="21"/>
              </w:rPr>
            </w:pPr>
            <w:r>
              <w:rPr>
                <w:rFonts w:hint="eastAsia" w:ascii="宋体" w:cs="宋体"/>
                <w:sz w:val="21"/>
                <w:szCs w:val="21"/>
                <w:lang w:val="en-US" w:eastAsia="zh-CN"/>
              </w:rPr>
              <w:t>2.完成应网络安全急演练方案和网络安全应急演练报告。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Align w:val="center"/>
          </w:tcPr>
          <w:p>
            <w:pPr>
              <w:spacing w:line="360" w:lineRule="exact"/>
              <w:jc w:val="center"/>
              <w:rPr>
                <w:rFonts w:hint="default" w:cs="宋体"/>
                <w:bCs/>
                <w:sz w:val="21"/>
                <w:szCs w:val="21"/>
                <w:lang w:val="en-US" w:eastAsia="zh-CN"/>
              </w:rPr>
            </w:pPr>
            <w:bookmarkStart w:id="426" w:name="_Toc30834"/>
            <w:bookmarkStart w:id="427" w:name="_Toc29013"/>
            <w:r>
              <w:rPr>
                <w:rFonts w:hint="eastAsia" w:cs="宋体"/>
                <w:bCs/>
                <w:sz w:val="21"/>
                <w:szCs w:val="21"/>
                <w:lang w:val="en-US" w:eastAsia="zh-CN"/>
              </w:rPr>
              <w:t>4</w:t>
            </w:r>
          </w:p>
        </w:tc>
        <w:tc>
          <w:tcPr>
            <w:tcW w:w="1233" w:type="dxa"/>
            <w:vAlign w:val="center"/>
          </w:tcPr>
          <w:p>
            <w:pPr>
              <w:spacing w:line="360" w:lineRule="exact"/>
              <w:jc w:val="center"/>
              <w:rPr>
                <w:rFonts w:hint="default" w:ascii="宋体" w:hAnsi="宋体" w:eastAsia="宋体" w:cs="宋体"/>
                <w:bCs/>
                <w:sz w:val="21"/>
                <w:szCs w:val="21"/>
                <w:lang w:val="en-US" w:eastAsia="zh-CN"/>
              </w:rPr>
            </w:pPr>
            <w:r>
              <w:rPr>
                <w:rFonts w:hint="eastAsia" w:cs="宋体"/>
                <w:bCs/>
                <w:sz w:val="21"/>
                <w:szCs w:val="21"/>
                <w:lang w:val="en-US" w:eastAsia="zh-CN"/>
              </w:rPr>
              <w:t>资料要求</w:t>
            </w:r>
          </w:p>
        </w:tc>
        <w:tc>
          <w:tcPr>
            <w:tcW w:w="7756" w:type="dxa"/>
            <w:vAlign w:val="center"/>
          </w:tcPr>
          <w:p>
            <w:pPr>
              <w:pStyle w:val="11"/>
              <w:spacing w:after="0" w:line="360" w:lineRule="exact"/>
              <w:rPr>
                <w:rFonts w:hint="eastAsia" w:ascii="宋体" w:cs="宋体"/>
                <w:sz w:val="21"/>
                <w:szCs w:val="21"/>
                <w:lang w:val="en-US" w:eastAsia="zh-CN"/>
              </w:rPr>
            </w:pPr>
            <w:r>
              <w:rPr>
                <w:rFonts w:hint="eastAsia" w:ascii="宋体" w:cs="宋体"/>
                <w:sz w:val="21"/>
                <w:szCs w:val="21"/>
                <w:lang w:val="en-US" w:eastAsia="zh-CN"/>
              </w:rPr>
              <w:t>1.测评进场前提供“测评申请报告”、“测评风险告知书”、“现场测评授权书”、“成都市技师学院(成都工贸职业技术学院)私有云平台及网站群等级保护测评方案”；</w:t>
            </w:r>
          </w:p>
          <w:p>
            <w:pPr>
              <w:pStyle w:val="11"/>
              <w:spacing w:after="0" w:line="360" w:lineRule="exact"/>
              <w:rPr>
                <w:rFonts w:hint="eastAsia" w:ascii="宋体" w:cs="宋体"/>
                <w:sz w:val="21"/>
                <w:szCs w:val="21"/>
                <w:lang w:val="en-US" w:eastAsia="zh-CN"/>
              </w:rPr>
            </w:pPr>
            <w:r>
              <w:rPr>
                <w:rFonts w:hint="eastAsia" w:ascii="宋体" w:cs="宋体"/>
                <w:sz w:val="21"/>
                <w:szCs w:val="21"/>
                <w:lang w:val="en-US" w:eastAsia="zh-CN"/>
              </w:rPr>
              <w:t>2.测评时的提供“测评现场记录表”、“私有云平台及网站群信息系统安全漏洞扫描和渗透测试报告” ；</w:t>
            </w:r>
          </w:p>
          <w:p>
            <w:pPr>
              <w:pStyle w:val="11"/>
              <w:spacing w:after="0" w:line="360" w:lineRule="exact"/>
              <w:rPr>
                <w:rFonts w:hint="eastAsia" w:ascii="宋体" w:cs="宋体"/>
                <w:sz w:val="21"/>
                <w:szCs w:val="21"/>
                <w:lang w:val="en-US" w:eastAsia="zh-CN"/>
              </w:rPr>
            </w:pPr>
            <w:r>
              <w:rPr>
                <w:rFonts w:hint="eastAsia" w:ascii="宋体" w:cs="宋体"/>
                <w:sz w:val="21"/>
                <w:szCs w:val="21"/>
                <w:lang w:val="en-US" w:eastAsia="zh-CN"/>
              </w:rPr>
              <w:t>3.测评后提供“等级保护测评报告”(该报告包括：项目基本收集与分析、测评指导书开发、测评方案编制、安全物理环境测评、安全通信网络测评、安全区域边界测评、安全计算环境测评、安全管理中心测评、安全管理制度测评、安全管理人员测评、安全管理机构测评、安全建设管理测评、安全运维管理测评、漏洞扫描及渗透测试、整体测评、系统安全保障评估、安全问题风险分析等)，“成都市技师学院(成都工贸职业技术学院)私有云平台及网站群网络安全等级保护整改建议方案”。</w:t>
            </w:r>
          </w:p>
          <w:p>
            <w:pPr>
              <w:pStyle w:val="11"/>
              <w:spacing w:after="0" w:line="360" w:lineRule="exact"/>
              <w:rPr>
                <w:rFonts w:hint="eastAsia" w:ascii="宋体" w:cs="宋体"/>
                <w:sz w:val="21"/>
                <w:szCs w:val="21"/>
                <w:lang w:val="en-US" w:eastAsia="zh-CN"/>
              </w:rPr>
            </w:pPr>
            <w:r>
              <w:rPr>
                <w:rFonts w:hint="eastAsia" w:ascii="宋体" w:cs="宋体"/>
                <w:sz w:val="21"/>
                <w:szCs w:val="21"/>
                <w:lang w:val="en-US" w:eastAsia="zh-CN"/>
              </w:rPr>
              <w:t>4.测评后提供网络安全应急演练方案和网络安全应急演练报告。</w:t>
            </w:r>
          </w:p>
        </w:tc>
      </w:tr>
      <w:bookmarkEnd w:id="417"/>
      <w:bookmarkEnd w:id="418"/>
      <w:bookmarkEnd w:id="419"/>
      <w:bookmarkEnd w:id="420"/>
      <w:bookmarkEnd w:id="421"/>
      <w:bookmarkEnd w:id="422"/>
      <w:bookmarkEnd w:id="423"/>
      <w:bookmarkEnd w:id="424"/>
      <w:bookmarkEnd w:id="425"/>
    </w:tbl>
    <w:p>
      <w:pPr>
        <w:pStyle w:val="35"/>
        <w:spacing w:line="520" w:lineRule="exact"/>
        <w:ind w:firstLine="482"/>
      </w:pPr>
      <w:bookmarkStart w:id="428" w:name="_Toc18465"/>
      <w:r>
        <w:rPr>
          <w:rFonts w:hint="eastAsia"/>
        </w:rPr>
        <w:t>★商务要求</w:t>
      </w:r>
      <w:bookmarkEnd w:id="426"/>
      <w:bookmarkEnd w:id="427"/>
      <w:bookmarkEnd w:id="428"/>
    </w:p>
    <w:p>
      <w:pPr>
        <w:pStyle w:val="33"/>
        <w:numPr>
          <w:ilvl w:val="1"/>
          <w:numId w:val="26"/>
        </w:numPr>
        <w:spacing w:line="520" w:lineRule="exact"/>
        <w:ind w:firstLine="482"/>
        <w:rPr>
          <w:b/>
          <w:bCs/>
        </w:rPr>
      </w:pPr>
      <w:bookmarkStart w:id="429" w:name="_Toc8510"/>
      <w:r>
        <w:rPr>
          <w:rFonts w:hint="eastAsia"/>
          <w:b/>
          <w:bCs/>
        </w:rPr>
        <w:t>履约</w:t>
      </w:r>
      <w:r>
        <w:rPr>
          <w:rFonts w:hint="eastAsia"/>
          <w:b/>
          <w:bCs/>
          <w:lang w:val="en-US" w:eastAsia="zh-CN"/>
        </w:rPr>
        <w:t>时间</w:t>
      </w:r>
      <w:r>
        <w:rPr>
          <w:rFonts w:hint="eastAsia"/>
          <w:b/>
          <w:bCs/>
        </w:rPr>
        <w:t>和地点</w:t>
      </w:r>
      <w:bookmarkEnd w:id="429"/>
    </w:p>
    <w:p>
      <w:pPr>
        <w:pStyle w:val="63"/>
        <w:spacing w:line="520" w:lineRule="exact"/>
        <w:ind w:firstLine="48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履约</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时间</w:t>
      </w:r>
      <w:r>
        <w:rPr>
          <w:rFonts w:hint="eastAsia" w:asciiTheme="minorEastAsia" w:hAnsiTheme="minorEastAsia" w:eastAsiaTheme="minorEastAsia" w:cstheme="minorEastAsia"/>
          <w:bCs/>
          <w:color w:val="000000" w:themeColor="text1"/>
          <w14:textFill>
            <w14:solidFill>
              <w14:schemeClr w14:val="tx1"/>
            </w14:solidFill>
          </w14:textFill>
        </w:rPr>
        <w:t>：合同签订后</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180</w:t>
      </w:r>
      <w:r>
        <w:rPr>
          <w:rFonts w:hint="eastAsia" w:asciiTheme="minorEastAsia" w:hAnsiTheme="minorEastAsia" w:eastAsiaTheme="minorEastAsia" w:cstheme="minorEastAsia"/>
          <w:bCs/>
          <w:color w:val="000000" w:themeColor="text1"/>
          <w14:textFill>
            <w14:solidFill>
              <w14:schemeClr w14:val="tx1"/>
            </w14:solidFill>
          </w14:textFill>
        </w:rPr>
        <w:t>个日历天内完成等保测评工作，并提交验收相关文档资料。</w:t>
      </w:r>
    </w:p>
    <w:p>
      <w:pPr>
        <w:pStyle w:val="63"/>
        <w:spacing w:line="5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履约地点：成都市郫都区红光街道港通北三路1899号。</w:t>
      </w:r>
    </w:p>
    <w:p>
      <w:pPr>
        <w:pStyle w:val="33"/>
        <w:numPr>
          <w:ilvl w:val="1"/>
          <w:numId w:val="26"/>
        </w:numPr>
        <w:spacing w:line="520" w:lineRule="exact"/>
        <w:ind w:firstLine="482"/>
        <w:rPr>
          <w:rFonts w:asciiTheme="minorEastAsia" w:hAnsiTheme="minorEastAsia" w:eastAsiaTheme="minorEastAsia" w:cstheme="minorEastAsia"/>
          <w:b/>
          <w:bCs/>
        </w:rPr>
      </w:pPr>
      <w:bookmarkStart w:id="430" w:name="_Toc19371"/>
      <w:r>
        <w:rPr>
          <w:rFonts w:hint="eastAsia" w:asciiTheme="minorEastAsia" w:hAnsiTheme="minorEastAsia" w:eastAsiaTheme="minorEastAsia" w:cstheme="minorEastAsia"/>
          <w:b/>
          <w:bCs/>
        </w:rPr>
        <w:t>合同价款</w:t>
      </w:r>
      <w:bookmarkEnd w:id="430"/>
    </w:p>
    <w:p>
      <w:pPr>
        <w:wordWrap w:val="0"/>
        <w:spacing w:line="5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成交价为固定包干价，包括但不限于人员劳务、差旅、设备投入、成果、培训、风险、税金等所需的一切费用,采购人无需另行支付其他任何费用。本项目合同执行期间合同总价不变，采购人无需另向供应商支付本项目合同规定之外的其他任何费用。</w:t>
      </w:r>
    </w:p>
    <w:p>
      <w:pPr>
        <w:pStyle w:val="33"/>
        <w:numPr>
          <w:ilvl w:val="1"/>
          <w:numId w:val="26"/>
        </w:numPr>
        <w:spacing w:line="520" w:lineRule="exact"/>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付款方式</w:t>
      </w:r>
    </w:p>
    <w:p>
      <w:pPr>
        <w:pStyle w:val="63"/>
        <w:numPr>
          <w:ilvl w:val="3"/>
          <w:numId w:val="27"/>
        </w:numPr>
        <w:tabs>
          <w:tab w:val="left" w:pos="426"/>
        </w:tabs>
        <w:spacing w:line="520" w:lineRule="exact"/>
        <w:ind w:firstLine="480"/>
        <w:rPr>
          <w:rFonts w:asciiTheme="minorEastAsia" w:hAnsiTheme="minorEastAsia" w:eastAsiaTheme="minorEastAsia" w:cstheme="minorEastAsia"/>
          <w:bCs/>
        </w:rPr>
      </w:pPr>
      <w:bookmarkStart w:id="431" w:name="_Toc10233"/>
      <w:bookmarkStart w:id="432" w:name="_Toc12890"/>
      <w:bookmarkStart w:id="433" w:name="_Toc27602"/>
      <w:r>
        <w:rPr>
          <w:rFonts w:hint="eastAsia" w:asciiTheme="minorEastAsia" w:hAnsiTheme="minorEastAsia" w:eastAsiaTheme="minorEastAsia" w:cstheme="minorEastAsia"/>
          <w:bCs/>
        </w:rPr>
        <w:t>合同签订后，自采购人收到</w:t>
      </w:r>
      <w:r>
        <w:rPr>
          <w:rFonts w:hint="eastAsia" w:asciiTheme="minorEastAsia" w:hAnsiTheme="minorEastAsia" w:eastAsiaTheme="minorEastAsia" w:cstheme="minorEastAsia"/>
          <w:bCs/>
          <w:lang w:eastAsia="zh-CN"/>
        </w:rPr>
        <w:t>供应商</w:t>
      </w:r>
      <w:r>
        <w:rPr>
          <w:rFonts w:hint="eastAsia" w:asciiTheme="minorEastAsia" w:hAnsiTheme="minorEastAsia" w:eastAsiaTheme="minorEastAsia" w:cstheme="minorEastAsia"/>
          <w:bCs/>
        </w:rPr>
        <w:t>提供的符合采购人财务要求且合法有效完整的等额完税发票之日起15个日历天内，采购人支付合同总金额的50%的合同款。经采购人整体验收合格并完成资料交付后，自采购人收到</w:t>
      </w:r>
      <w:r>
        <w:rPr>
          <w:rFonts w:hint="eastAsia" w:asciiTheme="minorEastAsia" w:hAnsiTheme="minorEastAsia" w:eastAsiaTheme="minorEastAsia" w:cstheme="minorEastAsia"/>
          <w:bCs/>
          <w:lang w:eastAsia="zh-CN"/>
        </w:rPr>
        <w:t>供应商</w:t>
      </w:r>
      <w:r>
        <w:rPr>
          <w:rFonts w:hint="eastAsia" w:asciiTheme="minorEastAsia" w:hAnsiTheme="minorEastAsia" w:eastAsiaTheme="minorEastAsia" w:cstheme="minorEastAsia"/>
          <w:bCs/>
        </w:rPr>
        <w:t>提供的符合采购人财务要求且合法有效完整的等额完税发票之日起15个日历天内，采购人支付合同总金额的50%的项目款。若收到</w:t>
      </w:r>
      <w:r>
        <w:rPr>
          <w:rFonts w:hint="eastAsia" w:asciiTheme="minorEastAsia" w:hAnsiTheme="minorEastAsia" w:eastAsiaTheme="minorEastAsia" w:cstheme="minorEastAsia"/>
          <w:bCs/>
          <w:lang w:eastAsia="zh-CN"/>
        </w:rPr>
        <w:t>供应商</w:t>
      </w:r>
      <w:r>
        <w:rPr>
          <w:rFonts w:hint="eastAsia" w:asciiTheme="minorEastAsia" w:hAnsiTheme="minorEastAsia" w:eastAsiaTheme="minorEastAsia" w:cstheme="minorEastAsia"/>
          <w:bCs/>
        </w:rPr>
        <w:t>发票之日早于整体验收合格之日，则自整体验收合格并完成资料交付之日起15个日历天内支付。</w:t>
      </w:r>
    </w:p>
    <w:p>
      <w:pPr>
        <w:pStyle w:val="63"/>
        <w:numPr>
          <w:ilvl w:val="3"/>
          <w:numId w:val="27"/>
        </w:numPr>
        <w:tabs>
          <w:tab w:val="left" w:pos="426"/>
        </w:tabs>
        <w:spacing w:line="520" w:lineRule="exact"/>
        <w:ind w:firstLine="480"/>
        <w:rPr>
          <w:rFonts w:asciiTheme="minorEastAsia" w:hAnsiTheme="minorEastAsia" w:eastAsiaTheme="minorEastAsia" w:cstheme="minorEastAsia"/>
          <w:bCs/>
        </w:rPr>
      </w:pPr>
      <w:r>
        <w:rPr>
          <w:rFonts w:hint="eastAsia" w:asciiTheme="minorEastAsia" w:hAnsiTheme="minorEastAsia" w:eastAsiaTheme="minorEastAsia" w:cstheme="minorEastAsia"/>
          <w:bCs/>
        </w:rPr>
        <w:t>供应商保证提供的银行账户信息真实有效，如果供应商账户信息更改(原则上采购人不同意账户信息更改)，需要在采购人付款前10个日历天内告知采购人，若因供应商原因导致采购人无法付款或错误付款，后果由供应商自行承担。</w:t>
      </w:r>
      <w:bookmarkEnd w:id="431"/>
      <w:bookmarkEnd w:id="432"/>
      <w:bookmarkEnd w:id="433"/>
    </w:p>
    <w:p>
      <w:pPr>
        <w:pStyle w:val="33"/>
        <w:numPr>
          <w:ilvl w:val="1"/>
          <w:numId w:val="26"/>
        </w:numPr>
        <w:spacing w:line="520" w:lineRule="exact"/>
        <w:ind w:firstLine="482"/>
        <w:rPr>
          <w:b/>
          <w:bCs/>
          <w:lang w:val="zh-CN"/>
        </w:rPr>
      </w:pPr>
      <w:bookmarkStart w:id="434" w:name="_Toc27313"/>
      <w:bookmarkStart w:id="435" w:name="_Toc32286_WPSOffice_Level2"/>
      <w:r>
        <w:rPr>
          <w:rFonts w:hint="eastAsia"/>
          <w:b/>
          <w:bCs/>
        </w:rPr>
        <w:t>其他商务要求</w:t>
      </w:r>
    </w:p>
    <w:p>
      <w:pPr>
        <w:pStyle w:val="63"/>
        <w:keepNext w:val="0"/>
        <w:keepLines w:val="0"/>
        <w:pageBreakBefore w:val="0"/>
        <w:widowControl w:val="0"/>
        <w:numPr>
          <w:ilvl w:val="3"/>
          <w:numId w:val="0"/>
        </w:numPr>
        <w:tabs>
          <w:tab w:val="left" w:pos="426"/>
        </w:tabs>
        <w:kinsoku/>
        <w:wordWrap w:val="0"/>
        <w:overflowPunct/>
        <w:topLinePunct/>
        <w:autoSpaceDE/>
        <w:autoSpaceDN/>
        <w:bidi w:val="0"/>
        <w:adjustRightInd w:val="0"/>
        <w:snapToGrid w:val="0"/>
        <w:spacing w:line="520" w:lineRule="exact"/>
        <w:ind w:leftChars="0" w:firstLine="480" w:firstLineChars="200"/>
        <w:textAlignment w:val="auto"/>
        <w:rPr>
          <w:rFonts w:asciiTheme="minorEastAsia" w:hAnsiTheme="minorEastAsia" w:eastAsiaTheme="minorEastAsia" w:cstheme="minorEastAsia"/>
          <w:bCs/>
          <w:lang w:val="zh-CN"/>
        </w:rPr>
      </w:pPr>
      <w:r>
        <w:rPr>
          <w:rFonts w:hint="eastAsia" w:asciiTheme="minorEastAsia" w:hAnsiTheme="minorEastAsia" w:eastAsiaTheme="minorEastAsia" w:cstheme="minorEastAsia"/>
          <w:bCs/>
          <w:lang w:val="zh-CN"/>
        </w:rPr>
        <w:t>如因供应商的工作人员在履行职务过程中的疏忽、失职、过错等故意或者过失原因给采购人造成损失或侵害，包括但不限于采购人本身的财产损失、人身伤害，由此而导致的采购人对任何第三方的法律责任等，供应商对此均应承担全部的赔偿责任。</w:t>
      </w:r>
    </w:p>
    <w:p>
      <w:pPr>
        <w:pStyle w:val="33"/>
        <w:numPr>
          <w:ilvl w:val="1"/>
          <w:numId w:val="26"/>
        </w:numPr>
        <w:spacing w:line="520" w:lineRule="exact"/>
        <w:ind w:firstLine="482"/>
        <w:rPr>
          <w:rFonts w:cs="宋体"/>
          <w:b/>
          <w:bCs/>
        </w:rPr>
      </w:pPr>
      <w:bookmarkStart w:id="436" w:name="_Toc14381"/>
      <w:bookmarkStart w:id="437" w:name="_Toc19452"/>
      <w:bookmarkStart w:id="438" w:name="_Toc79"/>
      <w:r>
        <w:rPr>
          <w:rFonts w:hint="eastAsia" w:cs="宋体"/>
          <w:b/>
          <w:bCs/>
        </w:rPr>
        <w:t>验收、交付标准和方法</w:t>
      </w:r>
    </w:p>
    <w:p>
      <w:pPr>
        <w:spacing w:line="520" w:lineRule="exact"/>
        <w:ind w:firstLine="480" w:firstLineChars="200"/>
        <w:rPr>
          <w:rFonts w:hint="eastAsia" w:cs="宋体"/>
        </w:rPr>
      </w:pPr>
      <w:r>
        <w:rPr>
          <w:rFonts w:hint="eastAsia" w:cs="宋体"/>
        </w:rPr>
        <w:t>1.验收主体：</w:t>
      </w:r>
      <w:r>
        <w:rPr>
          <w:rFonts w:hint="eastAsia" w:cs="宋体"/>
          <w:lang w:val="en-US" w:eastAsia="zh-CN"/>
        </w:rPr>
        <w:t>采购人</w:t>
      </w:r>
      <w:r>
        <w:rPr>
          <w:rFonts w:hint="eastAsia" w:cs="宋体"/>
        </w:rPr>
        <w:t>。</w:t>
      </w:r>
    </w:p>
    <w:p>
      <w:pPr>
        <w:spacing w:line="520" w:lineRule="exact"/>
        <w:ind w:firstLine="480" w:firstLineChars="200"/>
        <w:rPr>
          <w:rFonts w:hint="eastAsia" w:cs="宋体"/>
        </w:rPr>
      </w:pPr>
      <w:r>
        <w:rPr>
          <w:rFonts w:hint="eastAsia" w:cs="宋体"/>
        </w:rPr>
        <w:t>2.验收时间：</w:t>
      </w:r>
      <w:r>
        <w:rPr>
          <w:rFonts w:hint="eastAsia" w:cs="宋体"/>
          <w:lang w:val="en-US" w:eastAsia="zh-CN"/>
        </w:rPr>
        <w:t>供应商</w:t>
      </w:r>
      <w:r>
        <w:rPr>
          <w:rFonts w:hint="eastAsia" w:cs="宋体"/>
        </w:rPr>
        <w:t>递交验收申请后5个日历天</w:t>
      </w:r>
      <w:r>
        <w:rPr>
          <w:rFonts w:hint="eastAsia" w:cs="宋体"/>
          <w:lang w:val="en-US" w:eastAsia="zh-CN"/>
        </w:rPr>
        <w:t>内</w:t>
      </w:r>
      <w:r>
        <w:rPr>
          <w:rFonts w:hint="eastAsia" w:cs="宋体"/>
        </w:rPr>
        <w:t>。</w:t>
      </w:r>
    </w:p>
    <w:p>
      <w:pPr>
        <w:spacing w:line="520" w:lineRule="exact"/>
        <w:ind w:firstLine="480" w:firstLineChars="200"/>
        <w:rPr>
          <w:rFonts w:hint="eastAsia" w:cs="宋体"/>
        </w:rPr>
      </w:pPr>
      <w:r>
        <w:rPr>
          <w:rFonts w:hint="eastAsia" w:cs="宋体"/>
        </w:rPr>
        <w:t>3.验收方式(方法)：现场验收。</w:t>
      </w:r>
    </w:p>
    <w:p>
      <w:pPr>
        <w:spacing w:line="520" w:lineRule="exact"/>
        <w:ind w:firstLine="480" w:firstLineChars="200"/>
        <w:rPr>
          <w:rFonts w:hint="eastAsia" w:cs="宋体"/>
        </w:rPr>
      </w:pPr>
      <w:r>
        <w:rPr>
          <w:rFonts w:hint="eastAsia" w:cs="宋体"/>
        </w:rPr>
        <w:t>4.验收程序：</w:t>
      </w:r>
      <w:r>
        <w:rPr>
          <w:rFonts w:hint="eastAsia" w:cs="宋体"/>
          <w:lang w:val="en-US" w:eastAsia="zh-CN"/>
        </w:rPr>
        <w:t>供应商</w:t>
      </w:r>
      <w:r>
        <w:rPr>
          <w:rFonts w:hint="eastAsia" w:cs="宋体"/>
        </w:rPr>
        <w:t>递交验收申请后，</w:t>
      </w:r>
      <w:r>
        <w:rPr>
          <w:rFonts w:hint="eastAsia" w:cs="宋体"/>
          <w:lang w:val="en-US" w:eastAsia="zh-CN"/>
        </w:rPr>
        <w:t>采购人</w:t>
      </w:r>
      <w:r>
        <w:rPr>
          <w:rFonts w:hint="eastAsia" w:cs="宋体"/>
        </w:rPr>
        <w:t>组织3人以上的验收小组进行现场测试验收；验收合格，则签署《验收报告单》，若验收不合格，</w:t>
      </w:r>
      <w:r>
        <w:rPr>
          <w:rFonts w:hint="eastAsia" w:cs="宋体"/>
          <w:lang w:val="en-US" w:eastAsia="zh-CN"/>
        </w:rPr>
        <w:t>供应商</w:t>
      </w:r>
      <w:r>
        <w:rPr>
          <w:rFonts w:hint="eastAsia" w:cs="宋体"/>
        </w:rPr>
        <w:t>应在接到</w:t>
      </w:r>
      <w:r>
        <w:rPr>
          <w:rFonts w:hint="eastAsia" w:cs="宋体"/>
          <w:lang w:val="en-US" w:eastAsia="zh-CN"/>
        </w:rPr>
        <w:t>采购人</w:t>
      </w:r>
      <w:r>
        <w:rPr>
          <w:rFonts w:hint="eastAsia" w:cs="宋体"/>
        </w:rPr>
        <w:t>整改通知之日起</w:t>
      </w:r>
      <w:r>
        <w:rPr>
          <w:rFonts w:hint="eastAsia" w:cs="宋体"/>
          <w:lang w:val="en-US" w:eastAsia="zh-CN"/>
        </w:rPr>
        <w:t>10</w:t>
      </w:r>
      <w:r>
        <w:rPr>
          <w:rFonts w:hint="eastAsia" w:cs="宋体"/>
        </w:rPr>
        <w:t>个日历天内完成整改，再由</w:t>
      </w:r>
      <w:r>
        <w:rPr>
          <w:rFonts w:hint="eastAsia" w:cs="宋体"/>
          <w:lang w:val="en-US" w:eastAsia="zh-CN"/>
        </w:rPr>
        <w:t>爱狗人</w:t>
      </w:r>
      <w:r>
        <w:rPr>
          <w:rFonts w:hint="eastAsia" w:cs="宋体"/>
        </w:rPr>
        <w:t>组织重新验收，若测评服务再次验收不合格则视为</w:t>
      </w:r>
      <w:r>
        <w:rPr>
          <w:rFonts w:hint="eastAsia" w:cs="宋体"/>
          <w:lang w:val="en-US" w:eastAsia="zh-CN"/>
        </w:rPr>
        <w:t>供应商</w:t>
      </w:r>
      <w:r>
        <w:rPr>
          <w:rFonts w:hint="eastAsia" w:cs="宋体"/>
        </w:rPr>
        <w:t>不能履约，</w:t>
      </w:r>
      <w:r>
        <w:rPr>
          <w:rFonts w:hint="eastAsia" w:cs="宋体"/>
          <w:lang w:val="en-US" w:eastAsia="zh-CN"/>
        </w:rPr>
        <w:t>采购人</w:t>
      </w:r>
      <w:r>
        <w:rPr>
          <w:rFonts w:hint="eastAsia" w:cs="宋体"/>
        </w:rPr>
        <w:t>有权终止合同，并按合同约定追究</w:t>
      </w:r>
      <w:r>
        <w:rPr>
          <w:rFonts w:hint="eastAsia" w:cs="宋体"/>
          <w:lang w:val="en-US" w:eastAsia="zh-CN"/>
        </w:rPr>
        <w:t>供应商</w:t>
      </w:r>
      <w:r>
        <w:rPr>
          <w:rFonts w:hint="eastAsia" w:cs="宋体"/>
        </w:rPr>
        <w:t>的违约责任。</w:t>
      </w:r>
    </w:p>
    <w:p>
      <w:pPr>
        <w:spacing w:line="520" w:lineRule="exact"/>
        <w:ind w:firstLine="480" w:firstLineChars="200"/>
        <w:rPr>
          <w:rFonts w:hint="eastAsia" w:cs="宋体"/>
        </w:rPr>
      </w:pPr>
      <w:r>
        <w:rPr>
          <w:rFonts w:hint="eastAsia" w:cs="宋体"/>
        </w:rPr>
        <w:t>5.验收内容：</w:t>
      </w:r>
      <w:r>
        <w:rPr>
          <w:rFonts w:hint="eastAsia" w:cs="宋体"/>
          <w:lang w:val="en-US" w:eastAsia="zh-CN"/>
        </w:rPr>
        <w:t>供应商</w:t>
      </w:r>
      <w:r>
        <w:rPr>
          <w:rFonts w:hint="eastAsia" w:cs="宋体"/>
        </w:rPr>
        <w:t>完成测评、文档资料提交等工作后，书面通知</w:t>
      </w:r>
      <w:r>
        <w:rPr>
          <w:rFonts w:hint="eastAsia" w:cs="宋体"/>
          <w:lang w:val="en-US" w:eastAsia="zh-CN"/>
        </w:rPr>
        <w:t>采购人</w:t>
      </w:r>
      <w:r>
        <w:rPr>
          <w:rFonts w:hint="eastAsia" w:cs="宋体"/>
        </w:rPr>
        <w:t>验收。</w:t>
      </w:r>
      <w:r>
        <w:rPr>
          <w:rFonts w:hint="eastAsia" w:cs="宋体"/>
          <w:lang w:val="en-US" w:eastAsia="zh-CN"/>
        </w:rPr>
        <w:t>采购人</w:t>
      </w:r>
      <w:r>
        <w:rPr>
          <w:rFonts w:hint="eastAsia" w:cs="宋体"/>
        </w:rPr>
        <w:t>接到项目验收书面通知后5个日历天内组织验收；验收合格，签署《验收报告单》；验收不合格，</w:t>
      </w:r>
      <w:r>
        <w:rPr>
          <w:rFonts w:hint="eastAsia" w:cs="宋体"/>
          <w:lang w:val="en-US" w:eastAsia="zh-CN"/>
        </w:rPr>
        <w:t>供应商</w:t>
      </w:r>
      <w:r>
        <w:rPr>
          <w:rFonts w:hint="eastAsia" w:cs="宋体"/>
        </w:rPr>
        <w:t>应在10个日历天内整改后重新验收。再次验收不合格则视为</w:t>
      </w:r>
      <w:r>
        <w:rPr>
          <w:rFonts w:hint="eastAsia" w:cs="宋体"/>
          <w:lang w:val="en-US" w:eastAsia="zh-CN"/>
        </w:rPr>
        <w:t>供应商</w:t>
      </w:r>
      <w:r>
        <w:rPr>
          <w:rFonts w:hint="eastAsia" w:cs="宋体"/>
        </w:rPr>
        <w:t>不能按期履约，</w:t>
      </w:r>
      <w:r>
        <w:rPr>
          <w:rFonts w:hint="eastAsia" w:cs="宋体"/>
          <w:lang w:val="en-US" w:eastAsia="zh-CN"/>
        </w:rPr>
        <w:t>供应商</w:t>
      </w:r>
      <w:r>
        <w:rPr>
          <w:rFonts w:hint="eastAsia" w:cs="宋体"/>
        </w:rPr>
        <w:t>应承担相应的违约责任。</w:t>
      </w:r>
    </w:p>
    <w:p>
      <w:pPr>
        <w:spacing w:line="520" w:lineRule="exact"/>
        <w:ind w:firstLine="480" w:firstLineChars="200"/>
        <w:rPr>
          <w:rFonts w:hint="eastAsia" w:cs="宋体"/>
        </w:rPr>
      </w:pPr>
      <w:r>
        <w:rPr>
          <w:rFonts w:hint="eastAsia" w:cs="宋体"/>
        </w:rPr>
        <w:t>6.验收标准：</w:t>
      </w:r>
    </w:p>
    <w:p>
      <w:pPr>
        <w:spacing w:line="520" w:lineRule="exact"/>
        <w:ind w:firstLine="480" w:firstLineChars="200"/>
        <w:rPr>
          <w:rFonts w:hint="eastAsia" w:cs="宋体"/>
        </w:rPr>
      </w:pPr>
      <w:r>
        <w:rPr>
          <w:rFonts w:hint="eastAsia" w:cs="宋体"/>
          <w:lang w:eastAsia="zh-CN"/>
        </w:rPr>
        <w:t>(</w:t>
      </w:r>
      <w:r>
        <w:rPr>
          <w:rFonts w:hint="eastAsia" w:cs="宋体"/>
        </w:rPr>
        <w:t>1</w:t>
      </w:r>
      <w:r>
        <w:rPr>
          <w:rFonts w:hint="eastAsia" w:cs="宋体"/>
          <w:lang w:eastAsia="zh-CN"/>
        </w:rPr>
        <w:t>)</w:t>
      </w:r>
      <w:r>
        <w:rPr>
          <w:rFonts w:hint="eastAsia" w:cs="宋体"/>
        </w:rPr>
        <w:t>按</w:t>
      </w:r>
      <w:r>
        <w:rPr>
          <w:rFonts w:hint="eastAsia" w:cs="宋体"/>
          <w:lang w:val="en-US" w:eastAsia="zh-CN"/>
        </w:rPr>
        <w:t>采购人</w:t>
      </w:r>
      <w:r>
        <w:rPr>
          <w:rFonts w:hint="eastAsia" w:cs="宋体"/>
        </w:rPr>
        <w:t>的竞争性磋商的要求和技术指标、</w:t>
      </w:r>
      <w:r>
        <w:rPr>
          <w:rFonts w:hint="eastAsia" w:cs="宋体"/>
          <w:lang w:val="en-US" w:eastAsia="zh-CN"/>
        </w:rPr>
        <w:t>供应商</w:t>
      </w:r>
      <w:r>
        <w:rPr>
          <w:rFonts w:hint="eastAsia" w:cs="宋体"/>
        </w:rPr>
        <w:t>的响应文件及承诺与本合同约定标准进行验收；</w:t>
      </w:r>
    </w:p>
    <w:p>
      <w:pPr>
        <w:spacing w:line="520" w:lineRule="exact"/>
        <w:ind w:firstLine="480" w:firstLineChars="200"/>
        <w:rPr>
          <w:rFonts w:hint="eastAsia" w:cs="宋体"/>
        </w:rPr>
      </w:pPr>
      <w:r>
        <w:rPr>
          <w:rFonts w:hint="eastAsia" w:cs="宋体"/>
          <w:lang w:eastAsia="zh-CN"/>
        </w:rPr>
        <w:t>(</w:t>
      </w:r>
      <w:r>
        <w:rPr>
          <w:rFonts w:hint="eastAsia" w:cs="宋体"/>
        </w:rPr>
        <w:t>2</w:t>
      </w:r>
      <w:r>
        <w:rPr>
          <w:rFonts w:hint="eastAsia" w:cs="宋体"/>
          <w:lang w:eastAsia="zh-CN"/>
        </w:rPr>
        <w:t>)</w:t>
      </w:r>
      <w:r>
        <w:rPr>
          <w:rFonts w:hint="eastAsia" w:cs="宋体"/>
        </w:rPr>
        <w:t>其他未尽事宜参照《财政部关于进一步加强政府采购需求和履约验收管理的指导意见》(财库〔2016〕205 号)</w:t>
      </w:r>
      <w:r>
        <w:rPr>
          <w:rFonts w:hint="eastAsia" w:cs="宋体"/>
          <w:color w:val="auto"/>
        </w:rPr>
        <w:t>、《政府采购需求管理办法》(财库〔2021〕22号)及采购文件验收相关规定组织验收</w:t>
      </w:r>
      <w:r>
        <w:rPr>
          <w:rFonts w:hint="eastAsia" w:cs="宋体"/>
        </w:rPr>
        <w:t>。</w:t>
      </w:r>
    </w:p>
    <w:p>
      <w:pPr>
        <w:spacing w:line="520" w:lineRule="exact"/>
        <w:ind w:firstLine="480" w:firstLineChars="200"/>
        <w:rPr>
          <w:rFonts w:hint="eastAsia" w:cs="宋体"/>
        </w:rPr>
      </w:pPr>
      <w:r>
        <w:rPr>
          <w:rFonts w:hint="eastAsia" w:cs="宋体"/>
          <w:lang w:eastAsia="zh-CN"/>
        </w:rPr>
        <w:t>(</w:t>
      </w:r>
      <w:r>
        <w:rPr>
          <w:rFonts w:hint="eastAsia" w:cs="宋体"/>
        </w:rPr>
        <w:t>3</w:t>
      </w:r>
      <w:r>
        <w:rPr>
          <w:rFonts w:hint="eastAsia" w:cs="宋体"/>
          <w:lang w:eastAsia="zh-CN"/>
        </w:rPr>
        <w:t>)</w:t>
      </w:r>
      <w:r>
        <w:rPr>
          <w:rFonts w:hint="eastAsia" w:cs="宋体"/>
        </w:rPr>
        <w:t>测评、文档资料经</w:t>
      </w:r>
      <w:r>
        <w:rPr>
          <w:rFonts w:hint="eastAsia" w:cs="宋体"/>
          <w:lang w:val="en-US" w:eastAsia="zh-CN"/>
        </w:rPr>
        <w:t>采购人</w:t>
      </w:r>
      <w:r>
        <w:rPr>
          <w:rFonts w:hint="eastAsia" w:cs="宋体"/>
        </w:rPr>
        <w:t>验收合格后，</w:t>
      </w:r>
      <w:r>
        <w:rPr>
          <w:rFonts w:hint="eastAsia" w:cs="宋体"/>
          <w:lang w:val="en-US" w:eastAsia="zh-CN"/>
        </w:rPr>
        <w:t>供应商</w:t>
      </w:r>
      <w:r>
        <w:rPr>
          <w:rFonts w:hint="eastAsia" w:cs="宋体"/>
        </w:rPr>
        <w:t>将文档资料装订成册移交</w:t>
      </w:r>
      <w:r>
        <w:rPr>
          <w:rFonts w:hint="eastAsia" w:cs="宋体"/>
          <w:lang w:val="en-US" w:eastAsia="zh-CN"/>
        </w:rPr>
        <w:t>采购人</w:t>
      </w:r>
      <w:r>
        <w:rPr>
          <w:rFonts w:hint="eastAsia" w:cs="宋体"/>
        </w:rPr>
        <w:t>视为完成交付。</w:t>
      </w:r>
    </w:p>
    <w:p>
      <w:pPr>
        <w:spacing w:line="520" w:lineRule="exact"/>
        <w:ind w:firstLine="480" w:firstLineChars="200"/>
        <w:rPr>
          <w:rFonts w:hint="eastAsia" w:cs="宋体"/>
        </w:rPr>
      </w:pPr>
      <w:r>
        <w:rPr>
          <w:rFonts w:hint="eastAsia" w:cs="宋体"/>
        </w:rPr>
        <w:t>7.交付标准和方法：</w:t>
      </w:r>
      <w:r>
        <w:rPr>
          <w:rFonts w:hint="eastAsia" w:cs="宋体"/>
          <w:lang w:val="en-US" w:eastAsia="zh-CN"/>
        </w:rPr>
        <w:t>供应商</w:t>
      </w:r>
      <w:r>
        <w:rPr>
          <w:rFonts w:hint="eastAsia" w:cs="宋体"/>
        </w:rPr>
        <w:t>完成成都市技师学院</w:t>
      </w:r>
      <w:r>
        <w:rPr>
          <w:rFonts w:hint="eastAsia" w:cs="宋体"/>
          <w:lang w:eastAsia="zh-CN"/>
        </w:rPr>
        <w:t>(</w:t>
      </w:r>
      <w:r>
        <w:rPr>
          <w:rFonts w:hint="eastAsia" w:cs="宋体"/>
        </w:rPr>
        <w:t>成都工贸职业技术学院</w:t>
      </w:r>
      <w:r>
        <w:rPr>
          <w:rFonts w:hint="eastAsia" w:cs="宋体"/>
          <w:lang w:eastAsia="zh-CN"/>
        </w:rPr>
        <w:t>)</w:t>
      </w:r>
      <w:r>
        <w:rPr>
          <w:rFonts w:hint="eastAsia" w:cs="宋体"/>
        </w:rPr>
        <w:t>私有云平台及</w:t>
      </w:r>
      <w:r>
        <w:rPr>
          <w:rFonts w:hint="eastAsia" w:cs="宋体"/>
          <w:lang w:eastAsia="zh-CN"/>
        </w:rPr>
        <w:t>网站群</w:t>
      </w:r>
      <w:r>
        <w:rPr>
          <w:rFonts w:hint="eastAsia" w:cs="宋体"/>
        </w:rPr>
        <w:t>等保测评服务需提交的文档资料：</w:t>
      </w:r>
    </w:p>
    <w:p>
      <w:pPr>
        <w:spacing w:line="520" w:lineRule="exact"/>
        <w:ind w:firstLine="480" w:firstLineChars="200"/>
        <w:rPr>
          <w:rFonts w:asciiTheme="minorEastAsia" w:hAnsiTheme="minorEastAsia" w:eastAsiaTheme="minorEastAsia" w:cstheme="minorEastAsia"/>
          <w:bCs/>
        </w:rPr>
      </w:pPr>
      <w:r>
        <w:rPr>
          <w:rFonts w:hint="eastAsia" w:cs="宋体"/>
        </w:rPr>
        <w:t>①测评进场前的“测评申请报告”、“测评风险告知书”、“现场测评授权书”、“成都市技师学院</w:t>
      </w:r>
      <w:r>
        <w:rPr>
          <w:rFonts w:hint="eastAsia" w:cs="宋体"/>
          <w:lang w:eastAsia="zh-CN"/>
        </w:rPr>
        <w:t>(</w:t>
      </w:r>
      <w:r>
        <w:rPr>
          <w:rFonts w:hint="eastAsia" w:cs="宋体"/>
        </w:rPr>
        <w:t>成都工贸职业技术学院</w:t>
      </w:r>
      <w:r>
        <w:rPr>
          <w:rFonts w:hint="eastAsia" w:cs="宋体"/>
          <w:lang w:eastAsia="zh-CN"/>
        </w:rPr>
        <w:t>)</w:t>
      </w:r>
      <w:r>
        <w:rPr>
          <w:rFonts w:hint="eastAsia" w:cs="宋体"/>
        </w:rPr>
        <w:t>私有云平台及</w:t>
      </w:r>
      <w:r>
        <w:rPr>
          <w:rFonts w:hint="eastAsia" w:cs="宋体"/>
          <w:lang w:eastAsia="zh-CN"/>
        </w:rPr>
        <w:t>网站群</w:t>
      </w:r>
      <w:r>
        <w:rPr>
          <w:rFonts w:hint="eastAsia" w:cs="宋体"/>
        </w:rPr>
        <w:t>等级保护测评方案”；②测评时的“测评现场记录表”、“私有云平台及</w:t>
      </w:r>
      <w:r>
        <w:rPr>
          <w:rFonts w:hint="eastAsia" w:cs="宋体"/>
          <w:lang w:eastAsia="zh-CN"/>
        </w:rPr>
        <w:t>网站群</w:t>
      </w:r>
      <w:r>
        <w:rPr>
          <w:rFonts w:hint="eastAsia" w:cs="宋体"/>
        </w:rPr>
        <w:t>信息系统安全漏洞扫描和渗透测试报告” ；③测评后的“等级保护测评报告”</w:t>
      </w:r>
      <w:r>
        <w:rPr>
          <w:rFonts w:hint="eastAsia" w:cs="宋体"/>
          <w:lang w:eastAsia="zh-CN"/>
        </w:rPr>
        <w:t>(</w:t>
      </w:r>
      <w:r>
        <w:rPr>
          <w:rFonts w:hint="eastAsia" w:cs="宋体"/>
        </w:rPr>
        <w:t>该报告包括：项目基本收集与分析、测评指导书开发、测评方案编制、安全物理环境测评、安全通信网络测评、安全区域边界测评、安全计算环境测评、安全管理中心测评、安全管理制度测评、安全管理人员测评、安全管理机构测评、安全建设管理测评、安全运维管理测评、漏洞扫描及渗透测试、整体测评、系统安全保障评估、安全问题风险分析等</w:t>
      </w:r>
      <w:r>
        <w:rPr>
          <w:rFonts w:hint="eastAsia" w:cs="宋体"/>
          <w:lang w:eastAsia="zh-CN"/>
        </w:rPr>
        <w:t>)</w:t>
      </w:r>
      <w:r>
        <w:rPr>
          <w:rFonts w:hint="eastAsia" w:cs="宋体"/>
        </w:rPr>
        <w:t>，“成都市技师学院</w:t>
      </w:r>
      <w:r>
        <w:rPr>
          <w:rFonts w:hint="eastAsia" w:cs="宋体"/>
          <w:lang w:eastAsia="zh-CN"/>
        </w:rPr>
        <w:t>(</w:t>
      </w:r>
      <w:r>
        <w:rPr>
          <w:rFonts w:hint="eastAsia" w:cs="宋体"/>
        </w:rPr>
        <w:t>成都工贸职业技术学院</w:t>
      </w:r>
      <w:r>
        <w:rPr>
          <w:rFonts w:hint="eastAsia" w:cs="宋体"/>
          <w:lang w:eastAsia="zh-CN"/>
        </w:rPr>
        <w:t>)</w:t>
      </w:r>
      <w:r>
        <w:rPr>
          <w:rFonts w:hint="eastAsia" w:cs="宋体"/>
        </w:rPr>
        <w:t>私有云平台及</w:t>
      </w:r>
      <w:r>
        <w:rPr>
          <w:rFonts w:hint="eastAsia" w:cs="宋体"/>
          <w:lang w:eastAsia="zh-CN"/>
        </w:rPr>
        <w:t>网站群</w:t>
      </w:r>
      <w:r>
        <w:rPr>
          <w:rFonts w:hint="eastAsia" w:cs="宋体"/>
        </w:rPr>
        <w:t>网络安全等级保护整改建议方案”。</w:t>
      </w:r>
    </w:p>
    <w:p>
      <w:pPr>
        <w:pStyle w:val="35"/>
        <w:spacing w:line="520" w:lineRule="exact"/>
        <w:ind w:firstLine="480"/>
        <w:rPr>
          <w:rFonts w:asciiTheme="minorEastAsia" w:hAnsiTheme="minorEastAsia" w:eastAsiaTheme="minorEastAsia" w:cstheme="minorEastAsia"/>
          <w:bCs/>
        </w:rPr>
      </w:pPr>
      <w:bookmarkStart w:id="439" w:name="_Toc1392"/>
      <w:r>
        <w:rPr>
          <w:rFonts w:hint="eastAsia" w:cs="宋体"/>
          <w:b w:val="0"/>
        </w:rPr>
        <w:t>★</w:t>
      </w:r>
      <w:r>
        <w:rPr>
          <w:rFonts w:hint="eastAsia" w:asciiTheme="minorEastAsia" w:hAnsiTheme="minorEastAsia" w:eastAsiaTheme="minorEastAsia" w:cstheme="minorEastAsia"/>
          <w:bCs/>
        </w:rPr>
        <w:t>履约保证金</w:t>
      </w:r>
      <w:bookmarkEnd w:id="436"/>
      <w:bookmarkEnd w:id="437"/>
      <w:bookmarkEnd w:id="438"/>
      <w:bookmarkEnd w:id="439"/>
    </w:p>
    <w:p>
      <w:pPr>
        <w:pStyle w:val="29"/>
        <w:widowControl w:val="0"/>
        <w:numPr>
          <w:ilvl w:val="0"/>
          <w:numId w:val="28"/>
        </w:numPr>
        <w:spacing w:line="520" w:lineRule="exact"/>
        <w:ind w:firstLine="480" w:firstLineChars="200"/>
        <w:rPr>
          <w:rFonts w:asciiTheme="minorEastAsia" w:hAnsiTheme="minorEastAsia" w:eastAsiaTheme="minorEastAsia" w:cstheme="minorEastAsia"/>
          <w:sz w:val="24"/>
          <w:szCs w:val="24"/>
        </w:rPr>
      </w:pPr>
      <w:bookmarkStart w:id="440" w:name="_Toc1535"/>
      <w:bookmarkStart w:id="441" w:name="_Toc24953"/>
      <w:r>
        <w:rPr>
          <w:rFonts w:hint="eastAsia" w:asciiTheme="minorEastAsia" w:hAnsiTheme="minorEastAsia" w:eastAsiaTheme="minorEastAsia" w:cstheme="minorEastAsia"/>
          <w:sz w:val="24"/>
          <w:szCs w:val="24"/>
        </w:rPr>
        <w:t>履约保证金为成交金额的百分之五，供应商应在成交通知书发出之日起至合同签订前以银行转账、支票、汇票、本票等非现金形式向采购人提交履约保证金。</w:t>
      </w:r>
      <w:bookmarkEnd w:id="440"/>
    </w:p>
    <w:p>
      <w:pPr>
        <w:pStyle w:val="29"/>
        <w:widowControl w:val="0"/>
        <w:numPr>
          <w:ilvl w:val="0"/>
          <w:numId w:val="28"/>
        </w:numPr>
        <w:spacing w:line="5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履行合同约定完毕且不存在任何违约情形的，采购人在收到供应商提交的“履约保证金的收据”、“履约保证金退还申请”等资料并审核通过后，10个日历天内无息退还供应商应退部分履约保证金。因采购人原因逾期退还的，应当以未退还金额为基数，按合同订立时1年期贷款市场报价利率标准向供应商支付相应违约金，但违约金最高不得超过未退还金额的百分之十。若因供应商不及时或未提供“履约保证金的收据”“履约保证金退还申请”的，则采购人不承担逾期退还违约责任。</w:t>
      </w:r>
    </w:p>
    <w:p>
      <w:pPr>
        <w:pStyle w:val="29"/>
        <w:widowControl w:val="0"/>
        <w:numPr>
          <w:ilvl w:val="0"/>
          <w:numId w:val="28"/>
        </w:numPr>
        <w:spacing w:line="520" w:lineRule="exact"/>
        <w:ind w:firstLine="480" w:firstLineChars="200"/>
        <w:rPr>
          <w:rFonts w:asciiTheme="minorEastAsia" w:hAnsiTheme="minorEastAsia" w:eastAsiaTheme="minorEastAsia" w:cstheme="minorEastAsia"/>
          <w:sz w:val="24"/>
          <w:szCs w:val="24"/>
        </w:rPr>
      </w:pPr>
      <w:bookmarkStart w:id="442" w:name="_Toc15789"/>
      <w:r>
        <w:rPr>
          <w:rFonts w:hint="eastAsia" w:asciiTheme="minorEastAsia" w:hAnsiTheme="minorEastAsia" w:eastAsiaTheme="minorEastAsia" w:cstheme="minorEastAsia"/>
          <w:sz w:val="24"/>
          <w:szCs w:val="24"/>
        </w:rPr>
        <w:t>履约保证金汇入的银行及账号：</w:t>
      </w:r>
      <w:bookmarkEnd w:id="442"/>
    </w:p>
    <w:p>
      <w:pPr>
        <w:pStyle w:val="29"/>
        <w:widowControl w:val="0"/>
        <w:spacing w:line="520" w:lineRule="exact"/>
        <w:ind w:left="480" w:leftChars="200"/>
        <w:rPr>
          <w:rFonts w:asciiTheme="minorEastAsia" w:hAnsiTheme="minorEastAsia" w:eastAsiaTheme="minorEastAsia" w:cstheme="minorEastAsia"/>
          <w:sz w:val="24"/>
          <w:szCs w:val="24"/>
        </w:rPr>
      </w:pPr>
      <w:bookmarkStart w:id="443" w:name="_Toc6527"/>
      <w:r>
        <w:rPr>
          <w:rFonts w:hint="eastAsia" w:asciiTheme="minorEastAsia" w:hAnsiTheme="minorEastAsia" w:eastAsiaTheme="minorEastAsia" w:cstheme="minorEastAsia"/>
          <w:sz w:val="24"/>
          <w:szCs w:val="24"/>
        </w:rPr>
        <w:t>户    名：成都市技师学院</w:t>
      </w:r>
      <w:bookmarkEnd w:id="443"/>
    </w:p>
    <w:p>
      <w:pPr>
        <w:pStyle w:val="29"/>
        <w:widowControl w:val="0"/>
        <w:spacing w:line="520" w:lineRule="exact"/>
        <w:ind w:left="480" w:leftChars="200"/>
        <w:rPr>
          <w:rFonts w:asciiTheme="minorEastAsia" w:hAnsiTheme="minorEastAsia" w:eastAsiaTheme="minorEastAsia" w:cstheme="minorEastAsia"/>
          <w:sz w:val="24"/>
          <w:szCs w:val="24"/>
        </w:rPr>
      </w:pPr>
      <w:bookmarkStart w:id="444" w:name="_Toc23978"/>
      <w:r>
        <w:rPr>
          <w:rFonts w:hint="eastAsia" w:asciiTheme="minorEastAsia" w:hAnsiTheme="minorEastAsia" w:eastAsiaTheme="minorEastAsia" w:cstheme="minorEastAsia"/>
          <w:sz w:val="24"/>
          <w:szCs w:val="24"/>
        </w:rPr>
        <w:t>开户银行：工行四川成都分行郫都红光支行</w:t>
      </w:r>
      <w:bookmarkEnd w:id="444"/>
    </w:p>
    <w:p>
      <w:pPr>
        <w:pStyle w:val="29"/>
        <w:widowControl w:val="0"/>
        <w:spacing w:line="520" w:lineRule="exact"/>
        <w:ind w:left="480" w:leftChars="200"/>
        <w:rPr>
          <w:rFonts w:asciiTheme="minorEastAsia" w:hAnsiTheme="minorEastAsia" w:eastAsiaTheme="minorEastAsia" w:cstheme="minorEastAsia"/>
          <w:sz w:val="24"/>
          <w:szCs w:val="24"/>
        </w:rPr>
      </w:pPr>
      <w:bookmarkStart w:id="445" w:name="_Toc10676"/>
      <w:r>
        <w:rPr>
          <w:rFonts w:hint="eastAsia" w:asciiTheme="minorEastAsia" w:hAnsiTheme="minorEastAsia" w:eastAsiaTheme="minorEastAsia" w:cstheme="minorEastAsia"/>
          <w:sz w:val="24"/>
          <w:szCs w:val="24"/>
        </w:rPr>
        <w:t>银行账号：4402054609100031151</w:t>
      </w:r>
      <w:bookmarkEnd w:id="445"/>
    </w:p>
    <w:p>
      <w:pPr>
        <w:pStyle w:val="29"/>
        <w:widowControl w:val="0"/>
        <w:spacing w:line="520" w:lineRule="exact"/>
        <w:ind w:left="480" w:left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eastAsia="zh-CN"/>
        </w:rPr>
        <w:t>成都市技师学院</w:t>
      </w:r>
    </w:p>
    <w:p>
      <w:pPr>
        <w:pStyle w:val="29"/>
        <w:widowControl w:val="0"/>
        <w:numPr>
          <w:ilvl w:val="0"/>
          <w:numId w:val="28"/>
        </w:numPr>
        <w:spacing w:line="520" w:lineRule="exact"/>
        <w:ind w:firstLine="480" w:firstLineChars="200"/>
        <w:rPr>
          <w:rFonts w:asciiTheme="minorEastAsia" w:hAnsiTheme="minorEastAsia" w:eastAsiaTheme="minorEastAsia" w:cstheme="minorEastAsia"/>
          <w:sz w:val="24"/>
          <w:szCs w:val="24"/>
        </w:rPr>
      </w:pPr>
      <w:bookmarkStart w:id="446" w:name="_Toc23968"/>
      <w:r>
        <w:rPr>
          <w:rFonts w:hint="eastAsia" w:asciiTheme="minorEastAsia" w:hAnsiTheme="minorEastAsia" w:eastAsiaTheme="minorEastAsia" w:cstheme="minorEastAsia"/>
          <w:sz w:val="24"/>
          <w:szCs w:val="24"/>
        </w:rPr>
        <w:t>履约保证金不予退还情形：一是供应商未按合同要求履行的，其履约保证金全部扣除。二是供应商缴纳了履约保证金，但因自身原因被取消中标资格或在中标公示期满之日起30个日历天(含法定节假日)内供应商不按招标采购文件确定的事项与采购人签订合同的，其履约保证金不予退还。三是法律法规或合同约定的其他情形。</w:t>
      </w:r>
      <w:bookmarkEnd w:id="446"/>
    </w:p>
    <w:p>
      <w:pPr>
        <w:pStyle w:val="35"/>
        <w:spacing w:line="520" w:lineRule="exact"/>
        <w:ind w:firstLine="482"/>
      </w:pPr>
      <w:bookmarkStart w:id="447" w:name="_Toc29673"/>
      <w:r>
        <w:rPr>
          <w:rFonts w:hint="eastAsia"/>
        </w:rPr>
        <w:t>技术服务水平</w:t>
      </w:r>
      <w:bookmarkEnd w:id="447"/>
    </w:p>
    <w:p>
      <w:pPr>
        <w:pStyle w:val="33"/>
        <w:numPr>
          <w:ilvl w:val="1"/>
          <w:numId w:val="29"/>
        </w:numPr>
        <w:spacing w:line="520" w:lineRule="exact"/>
        <w:ind w:firstLine="482"/>
        <w:rPr>
          <w:rFonts w:cs="宋体"/>
          <w:b/>
          <w:bCs/>
        </w:rPr>
      </w:pPr>
      <w:r>
        <w:rPr>
          <w:rFonts w:hint="eastAsia" w:cs="宋体"/>
          <w:b/>
          <w:bCs/>
        </w:rPr>
        <w:t>测评方案</w:t>
      </w:r>
    </w:p>
    <w:p>
      <w:pPr>
        <w:pStyle w:val="33"/>
        <w:numPr>
          <w:ilvl w:val="1"/>
          <w:numId w:val="0"/>
        </w:numPr>
        <w:spacing w:line="520" w:lineRule="exact"/>
        <w:ind w:firstLine="480" w:firstLineChars="200"/>
        <w:rPr>
          <w:rFonts w:hint="eastAsia" w:cs="宋体"/>
        </w:rPr>
      </w:pPr>
      <w:r>
        <w:rPr>
          <w:rFonts w:hint="eastAsia" w:cs="宋体"/>
        </w:rPr>
        <w:t>包含①人员</w:t>
      </w:r>
      <w:r>
        <w:rPr>
          <w:rFonts w:hint="eastAsia" w:cs="宋体"/>
          <w:lang w:val="en-US" w:eastAsia="zh-CN"/>
        </w:rPr>
        <w:t>配置及</w:t>
      </w:r>
      <w:r>
        <w:rPr>
          <w:rFonts w:hint="eastAsia" w:cs="宋体"/>
        </w:rPr>
        <w:t>分工安排；②测评对象与指标</w:t>
      </w:r>
      <w:r>
        <w:rPr>
          <w:rFonts w:hint="eastAsia" w:cs="宋体"/>
          <w:lang w:val="en-US" w:eastAsia="zh-CN"/>
        </w:rPr>
        <w:t>分析</w:t>
      </w:r>
      <w:r>
        <w:rPr>
          <w:rFonts w:hint="eastAsia" w:cs="宋体"/>
        </w:rPr>
        <w:t>；③测评方法与工具；④测评工作的实施计划等内容。</w:t>
      </w:r>
    </w:p>
    <w:p>
      <w:pPr>
        <w:pStyle w:val="33"/>
        <w:numPr>
          <w:ilvl w:val="1"/>
          <w:numId w:val="0"/>
        </w:numPr>
        <w:spacing w:line="520" w:lineRule="exact"/>
        <w:ind w:firstLine="482" w:firstLineChars="200"/>
        <w:rPr>
          <w:rFonts w:cs="宋体"/>
          <w:b/>
          <w:bCs/>
        </w:rPr>
      </w:pPr>
      <w:r>
        <w:rPr>
          <w:rFonts w:cs="宋体"/>
          <w:b/>
          <w:bCs/>
        </w:rPr>
        <w:t>注：</w:t>
      </w:r>
      <w:r>
        <w:rPr>
          <w:rFonts w:hint="eastAsia" w:cs="宋体"/>
          <w:b/>
          <w:bCs/>
        </w:rPr>
        <w:t>(</w:t>
      </w:r>
      <w:r>
        <w:rPr>
          <w:rFonts w:cs="宋体"/>
          <w:b/>
          <w:bCs/>
        </w:rPr>
        <w:t>1</w:t>
      </w:r>
      <w:r>
        <w:rPr>
          <w:rFonts w:hint="eastAsia" w:cs="宋体"/>
          <w:b/>
          <w:bCs/>
        </w:rPr>
        <w:t>)</w:t>
      </w:r>
      <w:r>
        <w:rPr>
          <w:rFonts w:cs="宋体"/>
          <w:b/>
          <w:bCs/>
        </w:rPr>
        <w:t>以上内容满足要求是指①内容与项目技术服务需求吻合、层次细化，有具体详细的阐述；②阐述从实际出发，切合项目背景、项目需求以及市场供应情况发现问题并提出合理化专业技术建议或者解决方案；③内容符合行业标准、行业惯例以及项目特点。④内容清楚明了、表述规范、含义准确。</w:t>
      </w:r>
    </w:p>
    <w:p>
      <w:pPr>
        <w:pStyle w:val="33"/>
        <w:numPr>
          <w:ilvl w:val="1"/>
          <w:numId w:val="0"/>
        </w:numPr>
        <w:spacing w:line="520" w:lineRule="exact"/>
        <w:ind w:firstLine="482" w:firstLineChars="200"/>
        <w:rPr>
          <w:rFonts w:cs="宋体"/>
          <w:b/>
          <w:bCs/>
        </w:rPr>
      </w:pPr>
      <w:r>
        <w:rPr>
          <w:rFonts w:hint="eastAsia" w:cs="宋体"/>
          <w:b/>
          <w:bCs/>
        </w:rPr>
        <w:t>(</w:t>
      </w:r>
      <w:r>
        <w:rPr>
          <w:rFonts w:cs="宋体"/>
          <w:b/>
          <w:bCs/>
        </w:rPr>
        <w:t>2</w:t>
      </w:r>
      <w:r>
        <w:rPr>
          <w:rFonts w:hint="eastAsia" w:cs="宋体"/>
          <w:b/>
          <w:bCs/>
        </w:rPr>
        <w:t>)</w:t>
      </w:r>
      <w:r>
        <w:rPr>
          <w:rFonts w:cs="宋体"/>
          <w:b/>
          <w:bCs/>
        </w:rPr>
        <w:t>存在不足是指①内容生搬硬造，阐述存在逻辑错误，前后矛盾；②涉及内容无重点，未能体现出本项目的特点或与实际需求不完全相符；③语言错误或存在歧义，项目名称、实施地点、规范标准与本项目不一致等情形。</w:t>
      </w:r>
    </w:p>
    <w:p>
      <w:pPr>
        <w:pStyle w:val="33"/>
        <w:numPr>
          <w:ilvl w:val="1"/>
          <w:numId w:val="29"/>
        </w:numPr>
        <w:spacing w:line="520" w:lineRule="exact"/>
        <w:ind w:firstLine="482"/>
        <w:rPr>
          <w:rFonts w:cs="宋体"/>
          <w:b/>
          <w:bCs/>
        </w:rPr>
      </w:pPr>
      <w:r>
        <w:rPr>
          <w:rFonts w:hint="eastAsia" w:cs="宋体"/>
          <w:b/>
          <w:bCs/>
          <w:lang w:val="en-US" w:eastAsia="zh-CN"/>
        </w:rPr>
        <w:t>履约能力</w:t>
      </w:r>
    </w:p>
    <w:p>
      <w:pPr>
        <w:pStyle w:val="33"/>
        <w:numPr>
          <w:ilvl w:val="1"/>
          <w:numId w:val="0"/>
        </w:numPr>
        <w:spacing w:line="520" w:lineRule="exact"/>
        <w:ind w:leftChars="200"/>
        <w:rPr>
          <w:rFonts w:hint="eastAsia" w:cs="宋体"/>
          <w:lang w:val="en-US" w:eastAsia="zh-CN"/>
        </w:rPr>
      </w:pPr>
      <w:r>
        <w:rPr>
          <w:rFonts w:hint="eastAsia" w:cs="宋体"/>
          <w:lang w:val="en-US" w:eastAsia="zh-CN"/>
        </w:rPr>
        <w:t>1.企业资质</w:t>
      </w:r>
    </w:p>
    <w:p>
      <w:pPr>
        <w:pStyle w:val="33"/>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Chars="0" w:firstLine="480" w:firstLineChars="200"/>
        <w:textAlignment w:val="auto"/>
        <w:rPr>
          <w:rFonts w:hint="default" w:eastAsia="宋体" w:cs="宋体"/>
          <w:lang w:val="en-US" w:eastAsia="zh-CN"/>
        </w:rPr>
      </w:pPr>
      <w:r>
        <w:rPr>
          <w:rFonts w:hint="default" w:eastAsia="宋体" w:cs="宋体"/>
          <w:lang w:val="en-US" w:eastAsia="zh-CN"/>
        </w:rPr>
        <w:t>供应商具有质量管理体系认证证书</w:t>
      </w:r>
      <w:r>
        <w:rPr>
          <w:rFonts w:hint="eastAsia" w:cs="宋体"/>
          <w:lang w:val="en-US" w:eastAsia="zh-CN"/>
        </w:rPr>
        <w:t>(认证范围包含等保测评相关内容)</w:t>
      </w:r>
      <w:r>
        <w:rPr>
          <w:rFonts w:hint="default" w:eastAsia="宋体" w:cs="宋体"/>
          <w:lang w:val="en-US" w:eastAsia="zh-CN"/>
        </w:rPr>
        <w:t>、信息技术服务管理体系认证证书、信息安全管理体系认证证书</w:t>
      </w:r>
      <w:r>
        <w:rPr>
          <w:rFonts w:hint="eastAsia" w:cs="宋体"/>
          <w:lang w:val="en-US" w:eastAsia="zh-CN"/>
        </w:rPr>
        <w:t>；</w:t>
      </w:r>
      <w:r>
        <w:rPr>
          <w:rFonts w:hint="default" w:eastAsia="宋体" w:cs="宋体"/>
          <w:lang w:val="en-US" w:eastAsia="zh-CN"/>
        </w:rPr>
        <w:t>中国网络安全审查技术与认证中心颁发的信息安全风险评估服务资质认证证书</w:t>
      </w:r>
      <w:r>
        <w:rPr>
          <w:rFonts w:hint="eastAsia" w:cs="宋体"/>
          <w:lang w:val="en-US" w:eastAsia="zh-CN"/>
        </w:rPr>
        <w:t>；</w:t>
      </w:r>
      <w:r>
        <w:rPr>
          <w:rFonts w:hint="default" w:eastAsia="宋体" w:cs="宋体"/>
          <w:lang w:val="en-US" w:eastAsia="zh-CN"/>
        </w:rPr>
        <w:t>中国网络安全审查技术与认证中心颁发的信息系统安全运维服务资质认证证书；中国合格评定国家认可委员会</w:t>
      </w:r>
      <w:r>
        <w:rPr>
          <w:rFonts w:hint="eastAsia" w:cs="宋体"/>
          <w:lang w:val="en-US" w:eastAsia="zh-CN"/>
        </w:rPr>
        <w:t>(</w:t>
      </w:r>
      <w:r>
        <w:rPr>
          <w:rFonts w:hint="default" w:eastAsia="宋体" w:cs="宋体"/>
          <w:lang w:val="en-US" w:eastAsia="zh-CN"/>
        </w:rPr>
        <w:t>CNAS</w:t>
      </w:r>
      <w:r>
        <w:rPr>
          <w:rFonts w:hint="eastAsia" w:cs="宋体"/>
          <w:lang w:val="en-US" w:eastAsia="zh-CN"/>
        </w:rPr>
        <w:t>)</w:t>
      </w:r>
      <w:r>
        <w:rPr>
          <w:rFonts w:hint="default" w:eastAsia="宋体" w:cs="宋体"/>
          <w:lang w:val="en-US" w:eastAsia="zh-CN"/>
        </w:rPr>
        <w:t>颁发的检验机构认可证书</w:t>
      </w:r>
      <w:r>
        <w:rPr>
          <w:rFonts w:hint="eastAsia" w:cs="宋体"/>
          <w:lang w:val="en-US" w:eastAsia="zh-CN"/>
        </w:rPr>
        <w:t>(</w:t>
      </w:r>
      <w:r>
        <w:rPr>
          <w:rFonts w:hint="default" w:eastAsia="宋体" w:cs="宋体"/>
          <w:lang w:val="en-US" w:eastAsia="zh-CN"/>
        </w:rPr>
        <w:t>资质认定能力范围包含网络安全等级保护测评相关内容</w:t>
      </w:r>
      <w:r>
        <w:rPr>
          <w:rFonts w:hint="eastAsia" w:cs="宋体"/>
          <w:lang w:val="en-US" w:eastAsia="zh-CN"/>
        </w:rPr>
        <w:t>)；</w:t>
      </w:r>
      <w:r>
        <w:rPr>
          <w:rFonts w:hint="default" w:eastAsia="宋体" w:cs="宋体"/>
          <w:lang w:val="en-US" w:eastAsia="zh-CN"/>
        </w:rPr>
        <w:t>质量监督主管部门颁发的检验检测CMA证书</w:t>
      </w:r>
      <w:r>
        <w:rPr>
          <w:rFonts w:hint="eastAsia" w:cs="宋体"/>
          <w:lang w:val="en-US" w:eastAsia="zh-CN"/>
        </w:rPr>
        <w:t>(</w:t>
      </w:r>
      <w:r>
        <w:rPr>
          <w:rFonts w:hint="default" w:eastAsia="宋体" w:cs="宋体"/>
          <w:lang w:val="en-US" w:eastAsia="zh-CN"/>
        </w:rPr>
        <w:t>资质认定能力范围应包含网络安全等级保护测评相关内容</w:t>
      </w:r>
      <w:r>
        <w:rPr>
          <w:rFonts w:hint="eastAsia" w:cs="宋体"/>
          <w:lang w:val="en-US" w:eastAsia="zh-CN"/>
        </w:rPr>
        <w:t>)</w:t>
      </w:r>
      <w:r>
        <w:rPr>
          <w:rFonts w:hint="default" w:eastAsia="宋体" w:cs="宋体"/>
          <w:lang w:val="en-US" w:eastAsia="zh-CN"/>
        </w:rPr>
        <w:t>。</w:t>
      </w:r>
    </w:p>
    <w:p>
      <w:pPr>
        <w:pStyle w:val="33"/>
        <w:numPr>
          <w:ilvl w:val="1"/>
          <w:numId w:val="0"/>
        </w:numPr>
        <w:spacing w:line="520" w:lineRule="exact"/>
        <w:ind w:leftChars="200"/>
        <w:rPr>
          <w:rFonts w:hint="eastAsia" w:cs="宋体"/>
          <w:lang w:val="en-US" w:eastAsia="zh-CN"/>
        </w:rPr>
      </w:pPr>
      <w:r>
        <w:rPr>
          <w:rFonts w:hint="eastAsia" w:cs="宋体"/>
          <w:lang w:val="en-US" w:eastAsia="zh-CN"/>
        </w:rPr>
        <w:t>2.服务能力</w:t>
      </w:r>
    </w:p>
    <w:p>
      <w:pPr>
        <w:pStyle w:val="33"/>
        <w:numPr>
          <w:ilvl w:val="1"/>
          <w:numId w:val="0"/>
        </w:numPr>
        <w:spacing w:line="520" w:lineRule="exact"/>
        <w:ind w:leftChars="200"/>
        <w:rPr>
          <w:rFonts w:hint="default" w:cs="宋体"/>
          <w:lang w:val="en-US" w:eastAsia="zh-CN"/>
        </w:rPr>
      </w:pPr>
      <w:r>
        <w:rPr>
          <w:rFonts w:hint="default" w:cs="宋体"/>
          <w:lang w:val="en-US" w:eastAsia="zh-CN"/>
        </w:rPr>
        <w:t>供应商或者供应商员工参与制定国家</w:t>
      </w:r>
      <w:r>
        <w:rPr>
          <w:rFonts w:hint="eastAsia" w:cs="宋体"/>
          <w:lang w:val="en-US" w:eastAsia="zh-CN"/>
        </w:rPr>
        <w:t>(</w:t>
      </w:r>
      <w:r>
        <w:rPr>
          <w:rFonts w:hint="default" w:cs="宋体"/>
          <w:lang w:val="en-US" w:eastAsia="zh-CN"/>
        </w:rPr>
        <w:t>GB、GB/T</w:t>
      </w:r>
      <w:r>
        <w:rPr>
          <w:rFonts w:hint="eastAsia" w:cs="宋体"/>
          <w:lang w:val="en-US" w:eastAsia="zh-CN"/>
        </w:rPr>
        <w:t>)</w:t>
      </w:r>
      <w:r>
        <w:rPr>
          <w:rFonts w:hint="default" w:cs="宋体"/>
          <w:lang w:val="en-US" w:eastAsia="zh-CN"/>
        </w:rPr>
        <w:t>等级保护相关标准</w:t>
      </w:r>
      <w:r>
        <w:rPr>
          <w:rFonts w:hint="eastAsia" w:cs="宋体"/>
          <w:lang w:val="en-US" w:eastAsia="zh-CN"/>
        </w:rPr>
        <w:t>。</w:t>
      </w:r>
    </w:p>
    <w:p>
      <w:pPr>
        <w:pStyle w:val="33"/>
        <w:numPr>
          <w:ilvl w:val="1"/>
          <w:numId w:val="0"/>
        </w:numPr>
        <w:spacing w:line="520" w:lineRule="exact"/>
        <w:ind w:leftChars="200"/>
        <w:rPr>
          <w:rFonts w:hint="eastAsia" w:cs="宋体"/>
          <w:lang w:val="en-US" w:eastAsia="zh-CN"/>
        </w:rPr>
      </w:pPr>
      <w:r>
        <w:rPr>
          <w:rFonts w:hint="eastAsia" w:cs="宋体"/>
          <w:lang w:val="en-US" w:eastAsia="zh-CN"/>
        </w:rPr>
        <w:t>3.履约经验</w:t>
      </w:r>
    </w:p>
    <w:p>
      <w:pPr>
        <w:pStyle w:val="33"/>
        <w:numPr>
          <w:ilvl w:val="1"/>
          <w:numId w:val="0"/>
        </w:numPr>
        <w:spacing w:line="520" w:lineRule="exact"/>
        <w:ind w:leftChars="200"/>
        <w:rPr>
          <w:rFonts w:hint="eastAsia" w:cs="宋体"/>
          <w:lang w:val="en-US" w:eastAsia="zh-CN"/>
        </w:rPr>
      </w:pPr>
      <w:r>
        <w:rPr>
          <w:rFonts w:hint="default" w:cs="宋体"/>
          <w:lang w:val="en-US" w:eastAsia="zh-CN"/>
        </w:rPr>
        <w:t>自2020年1月1日以来，承担过信息系统安全等级三级</w:t>
      </w:r>
      <w:r>
        <w:rPr>
          <w:rFonts w:hint="eastAsia" w:cs="宋体"/>
          <w:lang w:val="en-US" w:eastAsia="zh-CN"/>
        </w:rPr>
        <w:t>(</w:t>
      </w:r>
      <w:r>
        <w:rPr>
          <w:rFonts w:hint="default" w:cs="宋体"/>
          <w:lang w:val="en-US" w:eastAsia="zh-CN"/>
        </w:rPr>
        <w:t>含三级</w:t>
      </w:r>
      <w:r>
        <w:rPr>
          <w:rFonts w:hint="eastAsia" w:cs="宋体"/>
          <w:lang w:val="en-US" w:eastAsia="zh-CN"/>
        </w:rPr>
        <w:t>)</w:t>
      </w:r>
      <w:r>
        <w:rPr>
          <w:rFonts w:hint="default" w:cs="宋体"/>
          <w:lang w:val="en-US" w:eastAsia="zh-CN"/>
        </w:rPr>
        <w:t>以上测评案例</w:t>
      </w:r>
      <w:r>
        <w:rPr>
          <w:rFonts w:hint="eastAsia" w:cs="宋体"/>
          <w:lang w:val="en-US" w:eastAsia="zh-CN"/>
        </w:rPr>
        <w:t>。</w:t>
      </w:r>
    </w:p>
    <w:p>
      <w:pPr>
        <w:pStyle w:val="33"/>
        <w:numPr>
          <w:ilvl w:val="1"/>
          <w:numId w:val="0"/>
        </w:numPr>
        <w:spacing w:line="520" w:lineRule="exact"/>
        <w:ind w:leftChars="200"/>
        <w:rPr>
          <w:rFonts w:hint="eastAsia" w:cs="宋体"/>
          <w:lang w:val="en-US" w:eastAsia="zh-CN"/>
        </w:rPr>
      </w:pPr>
      <w:r>
        <w:rPr>
          <w:rFonts w:hint="eastAsia" w:cs="宋体"/>
          <w:lang w:val="en-US" w:eastAsia="zh-CN"/>
        </w:rPr>
        <w:t>4.人员资质</w:t>
      </w:r>
    </w:p>
    <w:p>
      <w:pPr>
        <w:pStyle w:val="33"/>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Chars="0" w:firstLine="480" w:firstLineChars="200"/>
        <w:textAlignment w:val="auto"/>
        <w:rPr>
          <w:rFonts w:hint="default" w:cs="宋体"/>
          <w:lang w:val="en-US" w:eastAsia="zh-CN"/>
        </w:rPr>
      </w:pPr>
      <w:r>
        <w:rPr>
          <w:rFonts w:hint="eastAsia" w:cs="宋体"/>
          <w:lang w:val="en-US" w:eastAsia="zh-CN"/>
        </w:rPr>
        <w:t>4.1</w:t>
      </w:r>
      <w:r>
        <w:rPr>
          <w:rFonts w:hint="default" w:cs="宋体"/>
          <w:lang w:val="en-US" w:eastAsia="zh-CN"/>
        </w:rPr>
        <w:t>项目经理：具备网络安全等级测评师证书</w:t>
      </w:r>
      <w:r>
        <w:rPr>
          <w:rFonts w:hint="eastAsia" w:cs="宋体"/>
          <w:lang w:val="en-US" w:eastAsia="zh-CN"/>
        </w:rPr>
        <w:t>(</w:t>
      </w:r>
      <w:r>
        <w:rPr>
          <w:rFonts w:hint="default" w:cs="宋体"/>
          <w:lang w:val="en-US" w:eastAsia="zh-CN"/>
        </w:rPr>
        <w:t>高级</w:t>
      </w:r>
      <w:r>
        <w:rPr>
          <w:rFonts w:hint="eastAsia" w:cs="宋体"/>
          <w:lang w:val="en-US" w:eastAsia="zh-CN"/>
        </w:rPr>
        <w:t>)</w:t>
      </w:r>
      <w:r>
        <w:rPr>
          <w:rFonts w:hint="default" w:cs="宋体"/>
          <w:lang w:val="en-US" w:eastAsia="zh-CN"/>
        </w:rPr>
        <w:t>或信息安全等级测评师证书</w:t>
      </w:r>
      <w:r>
        <w:rPr>
          <w:rFonts w:hint="eastAsia" w:cs="宋体"/>
          <w:lang w:val="en-US" w:eastAsia="zh-CN"/>
        </w:rPr>
        <w:t>(</w:t>
      </w:r>
      <w:r>
        <w:rPr>
          <w:rFonts w:hint="default" w:cs="宋体"/>
          <w:lang w:val="en-US" w:eastAsia="zh-CN"/>
        </w:rPr>
        <w:t>高级</w:t>
      </w:r>
      <w:r>
        <w:rPr>
          <w:rFonts w:hint="eastAsia" w:cs="宋体"/>
          <w:lang w:val="en-US" w:eastAsia="zh-CN"/>
        </w:rPr>
        <w:t>)</w:t>
      </w:r>
      <w:r>
        <w:rPr>
          <w:rFonts w:hint="default" w:cs="宋体"/>
          <w:lang w:val="en-US" w:eastAsia="zh-CN"/>
        </w:rPr>
        <w:t>；具备信息系统项目管理师</w:t>
      </w:r>
      <w:r>
        <w:rPr>
          <w:rFonts w:hint="eastAsia" w:cs="宋体"/>
          <w:lang w:val="en-US" w:eastAsia="zh-CN"/>
        </w:rPr>
        <w:t>(</w:t>
      </w:r>
      <w:r>
        <w:rPr>
          <w:rFonts w:hint="default" w:cs="宋体"/>
          <w:lang w:val="en-US" w:eastAsia="zh-CN"/>
        </w:rPr>
        <w:t>高级</w:t>
      </w:r>
      <w:r>
        <w:rPr>
          <w:rFonts w:hint="eastAsia" w:cs="宋体"/>
          <w:lang w:val="en-US" w:eastAsia="zh-CN"/>
        </w:rPr>
        <w:t>)</w:t>
      </w:r>
      <w:r>
        <w:rPr>
          <w:rFonts w:hint="default" w:cs="宋体"/>
          <w:lang w:val="en-US" w:eastAsia="zh-CN"/>
        </w:rPr>
        <w:t>证书；具备注册信息安全专业人员</w:t>
      </w:r>
      <w:r>
        <w:rPr>
          <w:rFonts w:hint="eastAsia" w:cs="宋体"/>
          <w:lang w:val="en-US" w:eastAsia="zh-CN"/>
        </w:rPr>
        <w:t>(</w:t>
      </w:r>
      <w:r>
        <w:rPr>
          <w:rFonts w:hint="default" w:cs="宋体"/>
          <w:lang w:val="en-US" w:eastAsia="zh-CN"/>
        </w:rPr>
        <w:t>CISP</w:t>
      </w:r>
      <w:r>
        <w:rPr>
          <w:rFonts w:hint="eastAsia" w:cs="宋体"/>
          <w:lang w:val="en-US" w:eastAsia="zh-CN"/>
        </w:rPr>
        <w:t>)</w:t>
      </w:r>
      <w:r>
        <w:rPr>
          <w:rFonts w:hint="default" w:cs="宋体"/>
          <w:lang w:val="en-US" w:eastAsia="zh-CN"/>
        </w:rPr>
        <w:t>证书；具备信息系统监理师证书的</w:t>
      </w:r>
      <w:r>
        <w:rPr>
          <w:rFonts w:hint="eastAsia" w:cs="宋体"/>
          <w:lang w:val="en-US" w:eastAsia="zh-CN"/>
        </w:rPr>
        <w:t>；</w:t>
      </w:r>
      <w:r>
        <w:rPr>
          <w:rFonts w:hint="default" w:cs="宋体"/>
          <w:lang w:val="en-US" w:eastAsia="zh-CN"/>
        </w:rPr>
        <w:t>具备商用密码应用安全性评估人员测评能力证书。</w:t>
      </w:r>
    </w:p>
    <w:p>
      <w:pPr>
        <w:pStyle w:val="33"/>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Chars="0" w:firstLine="480" w:firstLineChars="200"/>
        <w:textAlignment w:val="auto"/>
        <w:rPr>
          <w:rFonts w:hint="default" w:cs="宋体"/>
          <w:lang w:val="en-US" w:eastAsia="zh-CN"/>
        </w:rPr>
      </w:pPr>
      <w:r>
        <w:rPr>
          <w:rFonts w:hint="eastAsia" w:cs="宋体"/>
          <w:lang w:val="en-US" w:eastAsia="zh-CN"/>
        </w:rPr>
        <w:t>4.2技术负责人</w:t>
      </w:r>
      <w:r>
        <w:rPr>
          <w:rFonts w:hint="default" w:cs="宋体"/>
          <w:lang w:val="en-US" w:eastAsia="zh-CN"/>
        </w:rPr>
        <w:t>：具备网络安全等级测评师证书</w:t>
      </w:r>
      <w:r>
        <w:rPr>
          <w:rFonts w:hint="eastAsia" w:cs="宋体"/>
          <w:lang w:val="en-US" w:eastAsia="zh-CN"/>
        </w:rPr>
        <w:t>(</w:t>
      </w:r>
      <w:r>
        <w:rPr>
          <w:rFonts w:hint="default" w:cs="宋体"/>
          <w:lang w:val="en-US" w:eastAsia="zh-CN"/>
        </w:rPr>
        <w:t>高级</w:t>
      </w:r>
      <w:r>
        <w:rPr>
          <w:rFonts w:hint="eastAsia" w:cs="宋体"/>
          <w:lang w:val="en-US" w:eastAsia="zh-CN"/>
        </w:rPr>
        <w:t>)</w:t>
      </w:r>
      <w:r>
        <w:rPr>
          <w:rFonts w:hint="default" w:cs="宋体"/>
          <w:lang w:val="en-US" w:eastAsia="zh-CN"/>
        </w:rPr>
        <w:t>或信息安全等级测评师证书</w:t>
      </w:r>
      <w:r>
        <w:rPr>
          <w:rFonts w:hint="eastAsia" w:cs="宋体"/>
          <w:lang w:val="en-US" w:eastAsia="zh-CN"/>
        </w:rPr>
        <w:t>(</w:t>
      </w:r>
      <w:r>
        <w:rPr>
          <w:rFonts w:hint="default" w:cs="宋体"/>
          <w:lang w:val="en-US" w:eastAsia="zh-CN"/>
        </w:rPr>
        <w:t>高级</w:t>
      </w:r>
      <w:r>
        <w:rPr>
          <w:rFonts w:hint="eastAsia" w:cs="宋体"/>
          <w:lang w:val="en-US" w:eastAsia="zh-CN"/>
        </w:rPr>
        <w:t>)</w:t>
      </w:r>
      <w:r>
        <w:rPr>
          <w:rFonts w:hint="default" w:cs="宋体"/>
          <w:lang w:val="en-US" w:eastAsia="zh-CN"/>
        </w:rPr>
        <w:t>；具备商用密码应用安全性评估人员测评能力证书；具备由中国信息安全测评中心颁发的注册渗透测试工程师</w:t>
      </w:r>
      <w:r>
        <w:rPr>
          <w:rFonts w:hint="eastAsia" w:cs="宋体"/>
          <w:lang w:val="en-US" w:eastAsia="zh-CN"/>
        </w:rPr>
        <w:t>(</w:t>
      </w:r>
      <w:r>
        <w:rPr>
          <w:rFonts w:hint="default" w:cs="宋体"/>
          <w:lang w:val="en-US" w:eastAsia="zh-CN"/>
        </w:rPr>
        <w:t>CISP-PTE</w:t>
      </w:r>
      <w:r>
        <w:rPr>
          <w:rFonts w:hint="eastAsia" w:cs="宋体"/>
          <w:lang w:val="en-US" w:eastAsia="zh-CN"/>
        </w:rPr>
        <w:t>)</w:t>
      </w:r>
      <w:r>
        <w:rPr>
          <w:rFonts w:hint="default" w:cs="宋体"/>
          <w:lang w:val="en-US" w:eastAsia="zh-CN"/>
        </w:rPr>
        <w:t>证书。</w:t>
      </w:r>
    </w:p>
    <w:p>
      <w:pPr>
        <w:pStyle w:val="33"/>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Chars="0" w:firstLine="480" w:firstLineChars="200"/>
        <w:textAlignment w:val="auto"/>
        <w:rPr>
          <w:rFonts w:hint="default" w:cs="宋体"/>
          <w:lang w:val="en-US" w:eastAsia="zh-CN"/>
        </w:rPr>
      </w:pPr>
      <w:r>
        <w:rPr>
          <w:rFonts w:hint="eastAsia" w:cs="宋体"/>
          <w:lang w:val="en-US" w:eastAsia="zh-CN"/>
        </w:rPr>
        <w:t>4.3</w:t>
      </w:r>
      <w:r>
        <w:rPr>
          <w:rFonts w:hint="default" w:cs="宋体"/>
          <w:lang w:val="en-US" w:eastAsia="zh-CN"/>
        </w:rPr>
        <w:t>其他成员：具备网络安全等级测评师证书；具备注册信息安全专业人员</w:t>
      </w:r>
      <w:r>
        <w:rPr>
          <w:rFonts w:hint="eastAsia" w:cs="宋体"/>
          <w:lang w:val="en-US" w:eastAsia="zh-CN"/>
        </w:rPr>
        <w:t>(</w:t>
      </w:r>
      <w:r>
        <w:rPr>
          <w:rFonts w:hint="default" w:cs="宋体"/>
          <w:lang w:val="en-US" w:eastAsia="zh-CN"/>
        </w:rPr>
        <w:t>CISP</w:t>
      </w:r>
      <w:r>
        <w:rPr>
          <w:rFonts w:hint="eastAsia" w:cs="宋体"/>
          <w:lang w:val="en-US" w:eastAsia="zh-CN"/>
        </w:rPr>
        <w:t>)</w:t>
      </w:r>
      <w:r>
        <w:rPr>
          <w:rFonts w:hint="default" w:cs="宋体"/>
          <w:lang w:val="en-US" w:eastAsia="zh-CN"/>
        </w:rPr>
        <w:t>证书；具备信息安全保障人员认证</w:t>
      </w:r>
      <w:r>
        <w:rPr>
          <w:rFonts w:hint="eastAsia" w:cs="宋体"/>
          <w:lang w:val="en-US" w:eastAsia="zh-CN"/>
        </w:rPr>
        <w:t>(</w:t>
      </w:r>
      <w:r>
        <w:rPr>
          <w:rFonts w:hint="default" w:cs="宋体"/>
          <w:lang w:val="en-US" w:eastAsia="zh-CN"/>
        </w:rPr>
        <w:t>CISAW</w:t>
      </w:r>
      <w:r>
        <w:rPr>
          <w:rFonts w:hint="eastAsia" w:cs="宋体"/>
          <w:lang w:val="en-US" w:eastAsia="zh-CN"/>
        </w:rPr>
        <w:t>)</w:t>
      </w:r>
      <w:r>
        <w:rPr>
          <w:rFonts w:hint="default" w:cs="宋体"/>
          <w:lang w:val="en-US" w:eastAsia="zh-CN"/>
        </w:rPr>
        <w:t>证书；具备信息安全等级保护安全建设专业技术人员证书。</w:t>
      </w:r>
    </w:p>
    <w:p>
      <w:pPr>
        <w:pStyle w:val="47"/>
        <w:spacing w:line="520" w:lineRule="exact"/>
        <w:ind w:firstLine="482"/>
      </w:pPr>
      <w:r>
        <w:rPr>
          <w:rFonts w:hint="eastAsia"/>
        </w:rPr>
        <w:t>注：</w:t>
      </w:r>
      <w:r>
        <w:t>①</w:t>
      </w:r>
      <w:r>
        <w:rPr>
          <w:rFonts w:hint="eastAsia"/>
        </w:rPr>
        <w:t>供应商应当根据本项目实际情况提供真实、客观的证明材料。</w:t>
      </w:r>
    </w:p>
    <w:p>
      <w:pPr>
        <w:pStyle w:val="47"/>
        <w:spacing w:line="520" w:lineRule="exact"/>
        <w:ind w:firstLine="482"/>
      </w:pPr>
      <w:r>
        <w:t>②</w:t>
      </w:r>
      <w:r>
        <w:rPr>
          <w:rFonts w:hint="eastAsia"/>
        </w:rPr>
        <w:t>供应商应当保证所提交的所有材料的真实性，若提交虚假材料谋取成交的，应上报同级监管部门依法处理。</w:t>
      </w:r>
    </w:p>
    <w:p>
      <w:pPr>
        <w:pStyle w:val="11"/>
        <w:adjustRightInd/>
        <w:snapToGrid/>
        <w:spacing w:after="0" w:line="520" w:lineRule="exact"/>
        <w:ind w:firstLine="482" w:firstLineChars="200"/>
        <w:rPr>
          <w:rFonts w:asciiTheme="minorEastAsia" w:hAnsiTheme="minorEastAsia" w:eastAsiaTheme="minorEastAsia" w:cstheme="minorEastAsia"/>
          <w:b/>
          <w:bCs/>
        </w:rPr>
      </w:pPr>
      <w:r>
        <w:rPr>
          <w:b/>
          <w:bCs/>
        </w:rPr>
        <w:t>③</w:t>
      </w:r>
      <w:r>
        <w:rPr>
          <w:rFonts w:hint="eastAsia"/>
          <w:b/>
          <w:bCs/>
        </w:rPr>
        <w:t>供应商根据项目的实际需求和具体情况实事求是地编制响应文件，能具体量化，具有可行性及便于监督考核，不得违反法律、法规规定，不得夸大其词和空口许诺。</w:t>
      </w:r>
    </w:p>
    <w:bookmarkEnd w:id="434"/>
    <w:bookmarkEnd w:id="435"/>
    <w:bookmarkEnd w:id="441"/>
    <w:p/>
    <w:p>
      <w:pPr>
        <w:pStyle w:val="47"/>
        <w:spacing w:line="520" w:lineRule="exact"/>
        <w:ind w:firstLine="482"/>
      </w:pPr>
      <w:r>
        <w:rPr>
          <w:rFonts w:hint="eastAsia"/>
        </w:rPr>
        <w:t>注意：本章带“★”号条款为实质性要求，供应商须根据磋商文件具体要求提供相应证明材料，若磋商文件未要求提供具体证明材料的以供应商提供的“实质性要求承诺”响应为准，否则将被视为无效响应。</w:t>
      </w:r>
    </w:p>
    <w:p>
      <w:pPr>
        <w:pStyle w:val="43"/>
      </w:pPr>
      <w:r>
        <w:rPr>
          <w:rFonts w:hint="eastAsia"/>
        </w:rPr>
        <w:br w:type="page"/>
      </w:r>
    </w:p>
    <w:bookmarkEnd w:id="391"/>
    <w:bookmarkEnd w:id="392"/>
    <w:bookmarkEnd w:id="393"/>
    <w:p>
      <w:pPr>
        <w:pStyle w:val="48"/>
        <w:spacing w:before="120" w:after="120"/>
      </w:pPr>
      <w:bookmarkStart w:id="448" w:name="_Hlt101846155"/>
      <w:bookmarkEnd w:id="448"/>
      <w:bookmarkStart w:id="449" w:name="_Toc19779"/>
      <w:bookmarkStart w:id="450" w:name="_Toc12577"/>
      <w:bookmarkStart w:id="451" w:name="_Toc509579145"/>
      <w:bookmarkStart w:id="452" w:name="_Toc25791"/>
      <w:bookmarkStart w:id="453" w:name="_Toc41037907"/>
      <w:bookmarkStart w:id="454" w:name="_Toc2232"/>
      <w:bookmarkStart w:id="455" w:name="_Toc4553"/>
      <w:bookmarkStart w:id="456" w:name="_Toc307564896"/>
      <w:bookmarkStart w:id="457" w:name="_Toc183682415"/>
      <w:bookmarkStart w:id="458" w:name="_Toc25435"/>
      <w:bookmarkStart w:id="459" w:name="_Toc3881"/>
      <w:bookmarkStart w:id="460" w:name="_Toc25959"/>
      <w:bookmarkStart w:id="461" w:name="_Toc319439946"/>
      <w:bookmarkStart w:id="462" w:name="_Toc307501154"/>
      <w:bookmarkStart w:id="463" w:name="_Toc26923"/>
      <w:bookmarkStart w:id="464" w:name="_Toc308084645"/>
      <w:bookmarkStart w:id="465" w:name="_Toc308188198"/>
      <w:bookmarkStart w:id="466" w:name="_Toc483"/>
      <w:bookmarkStart w:id="467" w:name="_Toc1543"/>
      <w:bookmarkStart w:id="468" w:name="_Toc21302"/>
      <w:bookmarkStart w:id="469" w:name="_Toc327196339"/>
      <w:bookmarkStart w:id="470" w:name="_Toc217446097"/>
      <w:bookmarkStart w:id="471" w:name="_Toc11039"/>
      <w:bookmarkStart w:id="472" w:name="_Toc208849007"/>
      <w:bookmarkStart w:id="473" w:name="_Toc183582280"/>
      <w:bookmarkStart w:id="474" w:name="_Toc319440188"/>
      <w:bookmarkStart w:id="475" w:name="_Toc309897563"/>
      <w:r>
        <w:rPr>
          <w:rFonts w:hint="eastAsia"/>
        </w:rPr>
        <w:t>磋商内容、磋商过程中可实质性变动的内容</w:t>
      </w:r>
      <w:bookmarkEnd w:id="449"/>
      <w:bookmarkEnd w:id="450"/>
      <w:bookmarkEnd w:id="451"/>
      <w:bookmarkEnd w:id="452"/>
      <w:bookmarkEnd w:id="453"/>
    </w:p>
    <w:p>
      <w:pPr>
        <w:pStyle w:val="46"/>
        <w:spacing w:line="520" w:lineRule="exact"/>
      </w:pPr>
      <w:r>
        <w:rPr>
          <w:rFonts w:hint="eastAsia"/>
        </w:rPr>
        <w:t>针对本项目采购文件第五章、第八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spacing w:line="520" w:lineRule="exact"/>
      </w:pPr>
      <w:r>
        <w:rPr>
          <w:rFonts w:hint="eastAsia"/>
        </w:rPr>
        <w:br w:type="page"/>
      </w:r>
    </w:p>
    <w:p>
      <w:pPr>
        <w:pStyle w:val="48"/>
        <w:numPr>
          <w:ilvl w:val="0"/>
          <w:numId w:val="24"/>
        </w:numPr>
        <w:spacing w:before="120" w:after="120"/>
      </w:pPr>
      <w:bookmarkStart w:id="476" w:name="_Toc3883"/>
      <w:bookmarkStart w:id="477" w:name="_Toc12716"/>
      <w:r>
        <w:rPr>
          <w:rFonts w:hint="eastAsia"/>
        </w:rPr>
        <w:t>磋商程序</w:t>
      </w:r>
      <w:bookmarkEnd w:id="476"/>
      <w:bookmarkEnd w:id="477"/>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Pr>
        <w:pStyle w:val="46"/>
        <w:spacing w:line="520" w:lineRule="exact"/>
      </w:pPr>
      <w:bookmarkStart w:id="478" w:name="_Toc28956"/>
      <w:r>
        <w:rPr>
          <w:rFonts w:hint="eastAsia"/>
        </w:rPr>
        <w:t>参照《中华人民共和国政府采购法》《中华人民共和国政府采购法实施条例》及《政府采购竞争性磋商采购方式管理暂行办法》等法律法规并结合本次采购项目的特点制定本评审程序、评审方法、评审标准。</w:t>
      </w:r>
    </w:p>
    <w:p>
      <w:pPr>
        <w:pStyle w:val="35"/>
        <w:spacing w:line="520" w:lineRule="exact"/>
        <w:ind w:firstLine="482"/>
      </w:pPr>
      <w:bookmarkStart w:id="479" w:name="_Toc7941"/>
      <w:bookmarkStart w:id="480" w:name="_Toc24832"/>
      <w:bookmarkStart w:id="481" w:name="_Toc17421"/>
      <w:r>
        <w:rPr>
          <w:rFonts w:hint="eastAsia"/>
        </w:rPr>
        <w:t>磋商小组及专家组成</w:t>
      </w:r>
      <w:bookmarkEnd w:id="479"/>
      <w:bookmarkEnd w:id="480"/>
      <w:bookmarkEnd w:id="481"/>
    </w:p>
    <w:p>
      <w:pPr>
        <w:pStyle w:val="46"/>
        <w:spacing w:line="520" w:lineRule="exact"/>
      </w:pPr>
      <w:r>
        <w:rPr>
          <w:rFonts w:hint="eastAsia"/>
        </w:rPr>
        <w:t>参照《政府采购竞争性磋商采购方式管理暂行办法》等规定，结合本次采购项目的实际情况依法组建磋商小组，负责本次采购项目的竞争性磋商和评审工作。磋商小组由采购人代表和评审专家共3人以上单数组成，达到公开招标数额标准的服务采购项目，评审委员会应当由5人以上单数组成，其中评审专家人数不得少于成员总数的2/3。采购人代表不得以评审专家的身份参加本部门或本单位采购项目的评审。采购代理机构人员不得参加本机构代理的采购项目的评审。</w:t>
      </w:r>
    </w:p>
    <w:p>
      <w:pPr>
        <w:pStyle w:val="35"/>
        <w:spacing w:line="520" w:lineRule="exact"/>
        <w:ind w:firstLine="482"/>
      </w:pPr>
      <w:bookmarkStart w:id="482" w:name="_Toc15700"/>
      <w:bookmarkStart w:id="483" w:name="_Toc2442"/>
      <w:bookmarkStart w:id="484" w:name="_Toc10809"/>
      <w:bookmarkStart w:id="485" w:name="_Toc15935"/>
      <w:bookmarkStart w:id="486" w:name="_Toc6662"/>
      <w:bookmarkStart w:id="487" w:name="_Toc18468"/>
      <w:r>
        <w:rPr>
          <w:rFonts w:hint="eastAsia"/>
        </w:rPr>
        <w:t>磋商组织</w:t>
      </w:r>
      <w:bookmarkEnd w:id="482"/>
      <w:bookmarkEnd w:id="483"/>
      <w:bookmarkEnd w:id="484"/>
      <w:bookmarkEnd w:id="485"/>
      <w:bookmarkEnd w:id="486"/>
      <w:bookmarkEnd w:id="487"/>
    </w:p>
    <w:p>
      <w:pPr>
        <w:pStyle w:val="46"/>
        <w:spacing w:line="520" w:lineRule="exact"/>
        <w:rPr>
          <w:lang w:val="zh-CN"/>
        </w:rPr>
      </w:pPr>
      <w:r>
        <w:rPr>
          <w:rFonts w:hint="eastAsia"/>
        </w:rPr>
        <w:t>(一)</w:t>
      </w:r>
      <w:r>
        <w:rPr>
          <w:rFonts w:hint="eastAsia"/>
          <w:lang w:val="zh-CN"/>
        </w:rPr>
        <w:t>磋商工作由采购代理机构组织，具体磋商事务由依法组建的磋商小组负责。</w:t>
      </w:r>
    </w:p>
    <w:p>
      <w:pPr>
        <w:pStyle w:val="46"/>
        <w:spacing w:line="520" w:lineRule="exact"/>
      </w:pPr>
      <w:r>
        <w:rPr>
          <w:rFonts w:hint="eastAsia"/>
        </w:rPr>
        <w:t>(二)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46"/>
        <w:spacing w:line="520" w:lineRule="exact"/>
      </w:pPr>
      <w:r>
        <w:rPr>
          <w:rFonts w:hint="eastAsia"/>
        </w:rPr>
        <w:t>(三)磋商文件内容违反国家有关强制性规定的，磋商小组应当停止评审并向采购人或者采购代理机构说明情况(注明法律法规依据)。</w:t>
      </w:r>
    </w:p>
    <w:p>
      <w:pPr>
        <w:pStyle w:val="46"/>
        <w:spacing w:line="520" w:lineRule="exact"/>
      </w:pPr>
      <w:r>
        <w:rPr>
          <w:rFonts w:hint="eastAsia"/>
        </w:rPr>
        <w:t>(四)磋商小组按照磋商文件规定的评审程序、评审方法和评审标准进行独立评审，并履行下列职责：</w:t>
      </w:r>
    </w:p>
    <w:p>
      <w:pPr>
        <w:pStyle w:val="46"/>
        <w:spacing w:line="520" w:lineRule="exact"/>
      </w:pPr>
      <w:r>
        <w:rPr>
          <w:rFonts w:hint="eastAsia"/>
        </w:rPr>
        <w:t>1.熟悉和理解磋商文件，确定磋商文件内容是否违反国家有关强制性规定或者磋商文件存在歧义、重大缺陷，根据需要书面要求采购人、采购代理机构对磋商文件作出解释。采购代理机构的解释不得改变磋商文件的原义或者影响公平、公正，解释事项如果涉及供应商权益的以有利于供应商的原则进行解释。</w:t>
      </w:r>
    </w:p>
    <w:p>
      <w:pPr>
        <w:pStyle w:val="46"/>
        <w:spacing w:line="520" w:lineRule="exact"/>
      </w:pPr>
      <w:r>
        <w:rPr>
          <w:rFonts w:hint="eastAsia"/>
        </w:rPr>
        <w:t>2.审查供应商响应文件是否满足磋商文件要求，并作出公正评价；</w:t>
      </w:r>
    </w:p>
    <w:p>
      <w:pPr>
        <w:pStyle w:val="46"/>
        <w:spacing w:line="520" w:lineRule="exact"/>
      </w:pPr>
      <w:r>
        <w:rPr>
          <w:rFonts w:hint="eastAsia"/>
        </w:rPr>
        <w:t>3.根据需要书面要求供应商对响应文件中含义不明确、同类问题表述不一致或者有明显文字和计算错误的内容等作出必要的澄清、说明或者更正，并给予供应商必要的反馈时间；</w:t>
      </w:r>
    </w:p>
    <w:p>
      <w:pPr>
        <w:pStyle w:val="46"/>
        <w:spacing w:line="520" w:lineRule="exact"/>
      </w:pPr>
      <w:r>
        <w:rPr>
          <w:rFonts w:hint="eastAsia"/>
        </w:rPr>
        <w:t>4.推荐成交供应商，或者受采购人委托确定成交供应商；</w:t>
      </w:r>
    </w:p>
    <w:p>
      <w:pPr>
        <w:pStyle w:val="46"/>
        <w:spacing w:line="520" w:lineRule="exact"/>
      </w:pPr>
      <w:r>
        <w:rPr>
          <w:rFonts w:hint="eastAsia"/>
        </w:rPr>
        <w:t>5.起草评审报告并进行签署；</w:t>
      </w:r>
    </w:p>
    <w:p>
      <w:pPr>
        <w:pStyle w:val="46"/>
        <w:spacing w:line="520" w:lineRule="exact"/>
      </w:pPr>
      <w:r>
        <w:rPr>
          <w:rFonts w:hint="eastAsia"/>
        </w:rPr>
        <w:t>6.向采购人、采购代理机构或者其他监督部门报告非法干预评审工作的行为；</w:t>
      </w:r>
    </w:p>
    <w:p>
      <w:pPr>
        <w:pStyle w:val="46"/>
        <w:spacing w:line="520" w:lineRule="exact"/>
      </w:pPr>
      <w:r>
        <w:rPr>
          <w:rFonts w:hint="eastAsia"/>
        </w:rPr>
        <w:t>7.法律、法规和规章规定的其他职责。</w:t>
      </w:r>
    </w:p>
    <w:p>
      <w:pPr>
        <w:pStyle w:val="35"/>
        <w:spacing w:line="520" w:lineRule="exact"/>
        <w:ind w:firstLine="482"/>
      </w:pPr>
      <w:bookmarkStart w:id="488" w:name="_Toc17376"/>
      <w:bookmarkStart w:id="489" w:name="_Toc25873"/>
      <w:bookmarkStart w:id="490" w:name="_Toc30112"/>
      <w:bookmarkStart w:id="491" w:name="_Toc22039"/>
      <w:bookmarkStart w:id="492" w:name="_Toc19418"/>
      <w:bookmarkStart w:id="493" w:name="_Toc10940"/>
      <w:r>
        <w:rPr>
          <w:rFonts w:hint="eastAsia"/>
        </w:rPr>
        <w:t>评审程序</w:t>
      </w:r>
      <w:bookmarkEnd w:id="488"/>
      <w:bookmarkEnd w:id="489"/>
      <w:bookmarkEnd w:id="490"/>
      <w:bookmarkEnd w:id="491"/>
      <w:bookmarkEnd w:id="492"/>
      <w:bookmarkEnd w:id="493"/>
    </w:p>
    <w:p>
      <w:pPr>
        <w:pStyle w:val="49"/>
        <w:spacing w:line="520" w:lineRule="exact"/>
        <w:ind w:firstLine="482"/>
      </w:pPr>
      <w:bookmarkStart w:id="494" w:name="_Toc27588"/>
      <w:bookmarkStart w:id="495" w:name="_Toc2499"/>
      <w:bookmarkStart w:id="496" w:name="_Toc3958"/>
      <w:bookmarkStart w:id="497" w:name="_Toc24712"/>
      <w:bookmarkStart w:id="498" w:name="_Toc5706"/>
      <w:r>
        <w:rPr>
          <w:rFonts w:hint="eastAsia"/>
        </w:rPr>
        <w:t>供应商资格审查</w:t>
      </w:r>
      <w:bookmarkEnd w:id="494"/>
      <w:bookmarkEnd w:id="495"/>
      <w:bookmarkEnd w:id="496"/>
      <w:bookmarkEnd w:id="497"/>
      <w:bookmarkEnd w:id="498"/>
    </w:p>
    <w:p>
      <w:pPr>
        <w:pStyle w:val="63"/>
        <w:spacing w:line="520" w:lineRule="exact"/>
        <w:ind w:firstLine="480"/>
        <w:rPr>
          <w:lang w:val="zh-CN"/>
        </w:rPr>
      </w:pPr>
      <w:r>
        <w:rPr>
          <w:rFonts w:hint="eastAsia"/>
          <w:lang w:val="zh-CN"/>
        </w:rPr>
        <w:t>在</w:t>
      </w:r>
      <w:r>
        <w:rPr>
          <w:rFonts w:hint="eastAsia"/>
        </w:rPr>
        <w:t>开启时间</w:t>
      </w:r>
      <w:r>
        <w:rPr>
          <w:rFonts w:hint="eastAsia"/>
          <w:lang w:val="zh-CN"/>
        </w:rPr>
        <w:t>后，采购代理机构组织磋商小组对递交响应文件的供应商进行资格审查，确定参加磋商的供应商名单。</w:t>
      </w:r>
    </w:p>
    <w:p>
      <w:pPr>
        <w:pStyle w:val="63"/>
        <w:spacing w:line="520" w:lineRule="exact"/>
        <w:ind w:firstLine="480"/>
        <w:rPr>
          <w:lang w:val="zh-CN"/>
        </w:rPr>
      </w:pPr>
      <w:r>
        <w:rPr>
          <w:rFonts w:hint="eastAsia"/>
          <w:lang w:val="zh-CN"/>
        </w:rPr>
        <w:t>确定参加磋商的供应商数量采用合格制，即磋商小组对各供应商资格审查后，凡符合本竞争性磋商文件规定资格条件的，均进入参加磋商的供应商名单。</w:t>
      </w:r>
    </w:p>
    <w:p>
      <w:pPr>
        <w:pStyle w:val="63"/>
        <w:spacing w:line="520" w:lineRule="exact"/>
        <w:ind w:firstLine="480"/>
        <w:rPr>
          <w:lang w:val="zh-CN"/>
        </w:rPr>
      </w:pPr>
      <w:r>
        <w:rPr>
          <w:rFonts w:hint="eastAsia"/>
          <w:lang w:val="zh-CN"/>
        </w:rPr>
        <w:t>评审委员会资格审查结束后，应当向采购人、采购代理机构出具资格审查报告，确定参加磋商的供应商名单，并说明未通过资格审查的供应商未通过的原因。</w:t>
      </w:r>
    </w:p>
    <w:p>
      <w:pPr>
        <w:pStyle w:val="63"/>
        <w:spacing w:line="520" w:lineRule="exact"/>
        <w:ind w:firstLine="480"/>
        <w:rPr>
          <w:lang w:val="zh-CN"/>
        </w:rPr>
      </w:pPr>
      <w:r>
        <w:rPr>
          <w:rFonts w:hint="eastAsia"/>
          <w:lang w:val="zh-CN"/>
        </w:rPr>
        <w:t>资格审查报告应当由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pStyle w:val="63"/>
        <w:spacing w:line="520" w:lineRule="exact"/>
        <w:ind w:firstLine="480"/>
        <w:rPr>
          <w:lang w:val="zh-CN"/>
        </w:rPr>
      </w:pPr>
      <w:r>
        <w:rPr>
          <w:rFonts w:hint="eastAsia"/>
          <w:lang w:val="zh-CN"/>
        </w:rPr>
        <w:t>评审委员会出具资格审查报告后，采购人、采购代理机构应当将通过资格审查和未通过资格审查的供应商名单向所有递交响应文件的供应商当场宣布，并告知未通过资格审查的供应商未通过资格审查的原因，但涉及商业秘密的除外。</w:t>
      </w:r>
      <w:r>
        <w:rPr>
          <w:rFonts w:hint="eastAsia"/>
        </w:rPr>
        <w:t>同时在磋商结果公示中向社会公开。</w:t>
      </w:r>
    </w:p>
    <w:p>
      <w:pPr>
        <w:pStyle w:val="49"/>
        <w:spacing w:line="520" w:lineRule="exact"/>
        <w:ind w:firstLine="482"/>
      </w:pPr>
      <w:bookmarkStart w:id="499" w:name="_Toc26427"/>
      <w:bookmarkStart w:id="500" w:name="_Toc11643"/>
      <w:bookmarkStart w:id="501" w:name="_Toc17799"/>
      <w:bookmarkStart w:id="502" w:name="_Toc2214"/>
      <w:bookmarkStart w:id="503" w:name="_Toc13835"/>
      <w:r>
        <w:rPr>
          <w:rFonts w:hint="eastAsia"/>
        </w:rPr>
        <w:t>磋商</w:t>
      </w:r>
      <w:bookmarkEnd w:id="499"/>
      <w:bookmarkEnd w:id="500"/>
      <w:bookmarkEnd w:id="501"/>
      <w:bookmarkEnd w:id="502"/>
      <w:bookmarkEnd w:id="503"/>
    </w:p>
    <w:p>
      <w:pPr>
        <w:pStyle w:val="63"/>
        <w:spacing w:line="520" w:lineRule="exact"/>
        <w:ind w:firstLine="480"/>
      </w:pPr>
      <w:r>
        <w:rPr>
          <w:rFonts w:hint="eastAsia"/>
        </w:rPr>
        <w:t>供应商资格审查结束后，采购人、采购代理机构应当组织评审委员会按照磋商文件的规定与通过资格审查的供应商分别进行磋商。磋商顺序以现场抽签的方式确定。磋商过程中，磋商小组可以根据磋商情况调整磋商轮次。每轮磋商开始前，磋商小组应根据磋商文件的规定，并结合各供应商的响应文件拟定磋商内容。</w:t>
      </w:r>
    </w:p>
    <w:p>
      <w:pPr>
        <w:pStyle w:val="63"/>
        <w:spacing w:line="520" w:lineRule="exact"/>
        <w:ind w:firstLine="480"/>
        <w:rPr>
          <w:lang w:val="zh-CN"/>
        </w:rPr>
      </w:pPr>
      <w:r>
        <w:t>磋商过程中，</w:t>
      </w:r>
      <w:r>
        <w:rPr>
          <w:lang w:val="zh-CN"/>
        </w:rPr>
        <w:t>磋商小组对响应文件的有效性、完整性和响应程度进行审查，审查中发现供应商响应文件属于下列情况之一的，应按照无效响应文件处理：</w:t>
      </w:r>
    </w:p>
    <w:p>
      <w:pPr>
        <w:pStyle w:val="64"/>
        <w:spacing w:line="520" w:lineRule="exact"/>
        <w:ind w:firstLine="480"/>
        <w:rPr>
          <w:lang w:val="zh-CN"/>
        </w:rPr>
      </w:pPr>
      <w:r>
        <w:rPr>
          <w:lang w:val="zh-CN"/>
        </w:rPr>
        <w:t>响应文件的语言、计量单位、</w:t>
      </w:r>
      <w:r>
        <w:rPr>
          <w:rFonts w:hint="eastAsia"/>
          <w:lang w:val="zh-CN"/>
        </w:rPr>
        <w:t>知识产权、磋商有效期</w:t>
      </w:r>
      <w:r>
        <w:rPr>
          <w:lang w:val="zh-CN"/>
        </w:rPr>
        <w:t>等不符合</w:t>
      </w:r>
      <w:r>
        <w:rPr>
          <w:rFonts w:hint="eastAsia"/>
          <w:lang w:val="zh-CN"/>
        </w:rPr>
        <w:t>磋商文件</w:t>
      </w:r>
      <w:r>
        <w:rPr>
          <w:lang w:val="zh-CN"/>
        </w:rPr>
        <w:t>的规定，影响磋商小组评判的；</w:t>
      </w:r>
    </w:p>
    <w:p>
      <w:pPr>
        <w:pStyle w:val="63"/>
        <w:spacing w:line="520" w:lineRule="exact"/>
        <w:ind w:firstLine="480"/>
        <w:rPr>
          <w:lang w:val="zh-CN"/>
        </w:rPr>
      </w:pPr>
      <w:r>
        <w:rPr>
          <w:lang w:val="zh-CN"/>
        </w:rPr>
        <w:t>但磋商小组对响应文件签署、盖章等进行审查过程中，有下列情形的，磋商小组应当评定为不影响整个响应文件有效性和采购活动公平竞争，并通过响应文件的有效性审查：</w:t>
      </w:r>
    </w:p>
    <w:p>
      <w:pPr>
        <w:pStyle w:val="64"/>
        <w:spacing w:line="520" w:lineRule="exact"/>
        <w:ind w:firstLine="480"/>
        <w:rPr>
          <w:lang w:val="zh-CN"/>
        </w:rPr>
      </w:pPr>
      <w:r>
        <w:rPr>
          <w:lang w:val="zh-CN"/>
        </w:rPr>
        <w:t>响应文件未按照</w:t>
      </w:r>
      <w:r>
        <w:rPr>
          <w:rFonts w:hint="eastAsia"/>
          <w:lang w:val="zh-CN"/>
        </w:rPr>
        <w:t>磋商文件</w:t>
      </w:r>
      <w:r>
        <w:rPr>
          <w:lang w:val="zh-CN"/>
        </w:rPr>
        <w:t>要求进行分装或者统装的；</w:t>
      </w:r>
    </w:p>
    <w:p>
      <w:pPr>
        <w:pStyle w:val="64"/>
        <w:spacing w:line="520" w:lineRule="exact"/>
        <w:ind w:firstLine="480"/>
        <w:rPr>
          <w:lang w:val="zh-CN"/>
        </w:rPr>
      </w:pPr>
      <w:r>
        <w:rPr>
          <w:lang w:val="zh-CN"/>
        </w:rPr>
        <w:t>响应文件存在个别地方</w:t>
      </w:r>
      <w:r>
        <w:rPr>
          <w:rFonts w:hint="eastAsia"/>
          <w:lang w:val="zh-CN"/>
        </w:rPr>
        <w:t>(</w:t>
      </w:r>
      <w:r>
        <w:rPr>
          <w:lang w:val="zh-CN"/>
        </w:rPr>
        <w:t>总数不能超过2个</w:t>
      </w:r>
      <w:r>
        <w:rPr>
          <w:rFonts w:hint="eastAsia"/>
          <w:lang w:val="zh-CN"/>
        </w:rPr>
        <w:t>)</w:t>
      </w:r>
      <w:r>
        <w:rPr>
          <w:lang w:val="zh-CN"/>
        </w:rPr>
        <w:t>没有法定代表人/单位负责人签字，但有法定代表人/单位负责人的私人印章或者有效授权代理人签字的；</w:t>
      </w:r>
    </w:p>
    <w:p>
      <w:pPr>
        <w:pStyle w:val="64"/>
        <w:spacing w:line="520" w:lineRule="exact"/>
        <w:ind w:firstLine="480"/>
        <w:rPr>
          <w:lang w:val="zh-CN"/>
        </w:rPr>
      </w:pPr>
      <w:r>
        <w:rPr>
          <w:lang w:val="zh-CN"/>
        </w:rPr>
        <w:t>响应文件除</w:t>
      </w:r>
      <w:r>
        <w:rPr>
          <w:rFonts w:hint="eastAsia"/>
          <w:lang w:val="zh-CN"/>
        </w:rPr>
        <w:t>磋商文件</w:t>
      </w:r>
      <w:r>
        <w:rPr>
          <w:lang w:val="zh-CN"/>
        </w:rPr>
        <w:t>明确要求加盖单位(法人)公章的以外，其他地方以相关专用章加盖的；</w:t>
      </w:r>
    </w:p>
    <w:p>
      <w:pPr>
        <w:pStyle w:val="64"/>
        <w:spacing w:line="520" w:lineRule="exact"/>
        <w:ind w:firstLine="480"/>
        <w:rPr>
          <w:lang w:val="zh-CN"/>
        </w:rPr>
      </w:pPr>
      <w:r>
        <w:rPr>
          <w:lang w:val="zh-CN"/>
        </w:rPr>
        <w:t>以骑缝章的形式代替响应文件内容逐页盖章的</w:t>
      </w:r>
      <w:r>
        <w:rPr>
          <w:rFonts w:hint="eastAsia"/>
          <w:lang w:val="zh-CN"/>
        </w:rPr>
        <w:t>(</w:t>
      </w:r>
      <w:r>
        <w:rPr>
          <w:lang w:val="zh-CN"/>
        </w:rPr>
        <w:t>但是骑缝章模糊不清，印章名称无法辨认的除外</w:t>
      </w:r>
      <w:r>
        <w:rPr>
          <w:rFonts w:hint="eastAsia"/>
          <w:lang w:val="zh-CN"/>
        </w:rPr>
        <w:t>)</w:t>
      </w:r>
      <w:r>
        <w:rPr>
          <w:lang w:val="zh-CN"/>
        </w:rPr>
        <w:t>。</w:t>
      </w:r>
    </w:p>
    <w:p>
      <w:pPr>
        <w:pStyle w:val="46"/>
        <w:spacing w:line="520" w:lineRule="exact"/>
      </w:pPr>
      <w:r>
        <w:rPr>
          <w:lang w:val="zh-CN"/>
        </w:rPr>
        <w:t>磋商小组对所有响应文件的有效性、完整性和响应程度进行审查后，向采购代理机构出具有效性、完整性和响应程度审查</w:t>
      </w:r>
      <w:r>
        <w:rPr>
          <w:rFonts w:hint="eastAsia"/>
        </w:rPr>
        <w:t>意见</w:t>
      </w:r>
      <w:r>
        <w:rPr>
          <w:lang w:val="zh-CN"/>
        </w:rPr>
        <w:t>，确定继续磋商的供应商名单。没有通过有效性、完整性和响应程度审查的供应商，磋商小组应在有效性、完整性和响应程度审查</w:t>
      </w:r>
      <w:r>
        <w:rPr>
          <w:rFonts w:hint="eastAsia"/>
        </w:rPr>
        <w:t>意见</w:t>
      </w:r>
      <w:r>
        <w:rPr>
          <w:lang w:val="zh-CN"/>
        </w:rPr>
        <w:t>中说明原因。</w:t>
      </w:r>
    </w:p>
    <w:p>
      <w:pPr>
        <w:pStyle w:val="63"/>
        <w:spacing w:line="520" w:lineRule="exact"/>
        <w:ind w:firstLine="480"/>
      </w:pPr>
      <w:r>
        <w:rPr>
          <w:rFonts w:hint="eastAsia"/>
        </w:rPr>
        <w:t>本项目可能实质性变动的内容：采购需求中的技术、服务要求以及合同草案条款。</w:t>
      </w:r>
    </w:p>
    <w:p>
      <w:pPr>
        <w:pStyle w:val="63"/>
        <w:spacing w:line="520" w:lineRule="exact"/>
        <w:ind w:firstLine="480"/>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pPr>
        <w:pStyle w:val="63"/>
        <w:spacing w:line="520" w:lineRule="exact"/>
        <w:ind w:firstLine="480"/>
      </w:pPr>
      <w:r>
        <w:rPr>
          <w:rFonts w:hint="eastAsia"/>
        </w:rPr>
        <w:t>对磋商文件作出的实质性变动是磋商文件的有效组成部分，评审委员会应当将变动的内容书面通知所有参加磋商的供应商，做好书面记录。</w:t>
      </w:r>
    </w:p>
    <w:p>
      <w:pPr>
        <w:pStyle w:val="63"/>
        <w:spacing w:line="520" w:lineRule="exact"/>
        <w:ind w:firstLine="480"/>
      </w:pPr>
      <w:r>
        <w:rPr>
          <w:rFonts w:hint="eastAsia"/>
        </w:rPr>
        <w:t>评审委员会变动磋商文件的，应当要求供应商就变动的部分重新提交响应文件，并给予供应商重新提交响应文件的合理时间。供应商变更其响应文件，应当以有利于满足磋商文件要求为原则，不得变更为不利于满足磋商文件规定，否则，其响应文件作为无效处理。</w:t>
      </w:r>
    </w:p>
    <w:p>
      <w:pPr>
        <w:pStyle w:val="63"/>
        <w:spacing w:line="520" w:lineRule="exact"/>
        <w:ind w:firstLine="480"/>
      </w:pPr>
      <w:r>
        <w:rPr>
          <w:rFonts w:hint="eastAsia"/>
        </w:rPr>
        <w:t>磋商过程中，磋商的任何一方不得透露与磋商有关的其他供应商的技术资料、价格和其他信息。</w:t>
      </w:r>
    </w:p>
    <w:p>
      <w:pPr>
        <w:pStyle w:val="63"/>
        <w:spacing w:line="520" w:lineRule="exact"/>
        <w:ind w:firstLine="480"/>
      </w:pPr>
      <w:r>
        <w:rPr>
          <w:rFonts w:hint="eastAsia"/>
        </w:rPr>
        <w:t>磋商过程中，供应商可以根据磋商情况变更其响应文件，并将变更内容形成书面材料送评审委员会。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pPr>
        <w:pStyle w:val="63"/>
        <w:spacing w:line="520" w:lineRule="exact"/>
        <w:ind w:firstLine="480"/>
      </w:pPr>
      <w:r>
        <w:rPr>
          <w:rFonts w:hint="eastAsia"/>
        </w:rPr>
        <w:t>供应商重新提交响应文件的，响应文件应当按照前款规定签字确认或者加盖公章，否则无效。</w:t>
      </w:r>
    </w:p>
    <w:p>
      <w:pPr>
        <w:pStyle w:val="63"/>
        <w:spacing w:line="520" w:lineRule="exact"/>
        <w:ind w:firstLine="480"/>
      </w:pPr>
      <w:r>
        <w:rPr>
          <w:rFonts w:hint="eastAsia"/>
        </w:rPr>
        <w:t>评审委员会经与供应商磋商和对供应商响应文件审查后，供应商响应文件未实质性响应磋商文件的，评审委员会应当对其响应文件按无效处理，并书面告知供应商，说明理由。</w:t>
      </w:r>
    </w:p>
    <w:p>
      <w:pPr>
        <w:pStyle w:val="63"/>
        <w:spacing w:line="520" w:lineRule="exact"/>
        <w:ind w:firstLine="480"/>
      </w:pPr>
      <w:r>
        <w:rPr>
          <w:rFonts w:hint="eastAsia"/>
        </w:rPr>
        <w:t>磋商过程中，评审专家应当遵守评审工作纪律，不得泄露评审情况和评审中获悉的商业秘密。磋商小组在评审过程中发现供应商有行贿、提供虚假材料或者串通等违法行为的，应当及时向相关部门报告。</w:t>
      </w:r>
    </w:p>
    <w:p>
      <w:pPr>
        <w:pStyle w:val="49"/>
        <w:spacing w:line="520" w:lineRule="exact"/>
        <w:ind w:firstLine="482"/>
      </w:pPr>
      <w:bookmarkStart w:id="504" w:name="_Toc5408"/>
      <w:bookmarkStart w:id="505" w:name="_Toc29690"/>
      <w:bookmarkStart w:id="506" w:name="_Toc24251"/>
      <w:bookmarkStart w:id="507" w:name="_Toc29996"/>
      <w:bookmarkStart w:id="508" w:name="_Toc2047"/>
      <w:r>
        <w:rPr>
          <w:rFonts w:hint="eastAsia"/>
        </w:rPr>
        <w:t>采购活动终止</w:t>
      </w:r>
      <w:bookmarkEnd w:id="504"/>
      <w:bookmarkEnd w:id="505"/>
      <w:bookmarkEnd w:id="506"/>
      <w:bookmarkEnd w:id="507"/>
      <w:bookmarkEnd w:id="508"/>
    </w:p>
    <w:p>
      <w:pPr>
        <w:pStyle w:val="46"/>
        <w:spacing w:line="520" w:lineRule="exact"/>
      </w:pPr>
      <w:r>
        <w:rPr>
          <w:rFonts w:hint="eastAsia"/>
        </w:rPr>
        <w:t>出现下列情形之一的，采购人或者采购代理机构应当终止竞争性磋商采购活动，发布项目终止公告并说明原因，重新开展采购活动：</w:t>
      </w:r>
    </w:p>
    <w:p>
      <w:pPr>
        <w:pStyle w:val="63"/>
        <w:spacing w:line="520" w:lineRule="exact"/>
        <w:ind w:firstLine="480"/>
      </w:pPr>
      <w:r>
        <w:rPr>
          <w:rFonts w:hint="eastAsia"/>
        </w:rPr>
        <w:t>因情况变化，不再符合规定的竞争性磋商采购方式适用情形的；</w:t>
      </w:r>
    </w:p>
    <w:p>
      <w:pPr>
        <w:pStyle w:val="63"/>
        <w:spacing w:line="520" w:lineRule="exact"/>
        <w:ind w:firstLine="480"/>
      </w:pPr>
      <w:r>
        <w:rPr>
          <w:rFonts w:hint="eastAsia"/>
        </w:rPr>
        <w:t>在采购过程中符合要求的供应商或者最后报价未超过采购预算或采购最高限价的供应商不足三家的；</w:t>
      </w:r>
    </w:p>
    <w:p>
      <w:pPr>
        <w:pStyle w:val="63"/>
        <w:spacing w:line="520" w:lineRule="exact"/>
        <w:ind w:firstLine="480"/>
      </w:pPr>
      <w:r>
        <w:rPr>
          <w:rFonts w:hint="eastAsia"/>
        </w:rPr>
        <w:t>出现影响采购公正的违法、违规行为的；</w:t>
      </w:r>
    </w:p>
    <w:p>
      <w:pPr>
        <w:pStyle w:val="63"/>
        <w:spacing w:line="520" w:lineRule="exact"/>
        <w:ind w:firstLine="480"/>
      </w:pPr>
      <w:r>
        <w:rPr>
          <w:rFonts w:hint="eastAsia"/>
        </w:rPr>
        <w:t>其他无法继续开展磋商或者无法成交的情形。</w:t>
      </w:r>
    </w:p>
    <w:p>
      <w:pPr>
        <w:pStyle w:val="47"/>
        <w:spacing w:line="520" w:lineRule="exact"/>
        <w:ind w:firstLine="482"/>
      </w:pPr>
      <w:r>
        <w:rPr>
          <w:rFonts w:hint="eastAsia"/>
        </w:rPr>
        <w:t>注：终止后，采购代理机构应在</w:t>
      </w:r>
      <w:r>
        <w:rPr>
          <w:rFonts w:hint="eastAsia"/>
          <w:lang w:eastAsia="zh-CN"/>
        </w:rPr>
        <w:t>“中国招标投标公共服务平台”</w:t>
      </w:r>
      <w:r>
        <w:rPr>
          <w:rFonts w:hint="eastAsia"/>
        </w:rPr>
        <w:t>公告，并公告终止的情形。</w:t>
      </w:r>
    </w:p>
    <w:p>
      <w:pPr>
        <w:pStyle w:val="49"/>
        <w:spacing w:line="520" w:lineRule="exact"/>
        <w:ind w:firstLine="482"/>
      </w:pPr>
      <w:bookmarkStart w:id="509" w:name="_Toc31944"/>
      <w:bookmarkStart w:id="510" w:name="_Toc11252"/>
      <w:bookmarkStart w:id="511" w:name="_Toc20224"/>
      <w:bookmarkStart w:id="512" w:name="_Toc3450"/>
      <w:bookmarkStart w:id="513" w:name="_Toc32123"/>
      <w:r>
        <w:rPr>
          <w:rFonts w:hint="eastAsia"/>
        </w:rPr>
        <w:t>报价</w:t>
      </w:r>
      <w:bookmarkEnd w:id="509"/>
      <w:bookmarkEnd w:id="510"/>
      <w:bookmarkEnd w:id="511"/>
      <w:bookmarkEnd w:id="512"/>
      <w:bookmarkEnd w:id="513"/>
    </w:p>
    <w:p>
      <w:pPr>
        <w:pStyle w:val="63"/>
        <w:spacing w:line="520" w:lineRule="exact"/>
        <w:ind w:firstLine="480"/>
      </w:pPr>
      <w:r>
        <w:rPr>
          <w:rFonts w:hint="eastAsia"/>
        </w:rPr>
        <w:t>磋商文件能够详细列明采购标的的技术、服务要求的，磋商结束后，磋商小组应当要求所有实质性响应的供应商在规定时间内提交最后报价(格式由采购代理机构现场提供)，提交最后报价的供应商不得少于3家。已提交响应文件的供应商，在提交最后报价之前，可以根据磋商情况退出磋商。</w:t>
      </w:r>
    </w:p>
    <w:p>
      <w:pPr>
        <w:pStyle w:val="63"/>
        <w:spacing w:line="520" w:lineRule="exact"/>
        <w:ind w:firstLine="480"/>
      </w:pPr>
      <w:r>
        <w:rPr>
          <w:rFonts w:hint="eastAsia"/>
        </w:rPr>
        <w:t>供应商进行现场报价，应当在评审室外填写报价单，密封递交采购人、采购代理机构工作人员，由采购人、采购代理机构工作人员收齐后集中递交评审委员会。采购人、采购代理机构工作人员不能拆封供应商报价单。</w:t>
      </w:r>
    </w:p>
    <w:p>
      <w:pPr>
        <w:pStyle w:val="63"/>
        <w:spacing w:line="520" w:lineRule="exact"/>
        <w:ind w:firstLine="480"/>
      </w:pPr>
      <w:r>
        <w:rPr>
          <w:rFonts w:hint="eastAsia"/>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pStyle w:val="63"/>
        <w:spacing w:line="520" w:lineRule="exact"/>
        <w:ind w:firstLine="480"/>
      </w:pPr>
      <w:r>
        <w:rPr>
          <w:rFonts w:hint="eastAsia"/>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63"/>
        <w:spacing w:line="520" w:lineRule="exact"/>
        <w:ind w:firstLine="480"/>
      </w:pPr>
      <w:r>
        <w:rPr>
          <w:rFonts w:hint="eastAsia"/>
        </w:rPr>
        <w:t>最后报价中的算术错误将按以下方法修正：响应文件大写金额和小写金额不一致的，以大写金额为准，但大写金额文字存在错误的，应当先对大写金额的文字错误进行澄清、说明或者更正，再行修正；</w:t>
      </w:r>
    </w:p>
    <w:p>
      <w:pPr>
        <w:pStyle w:val="46"/>
        <w:spacing w:line="520" w:lineRule="exact"/>
      </w:pPr>
      <w:r>
        <w:rPr>
          <w:rFonts w:hint="eastAsia"/>
        </w:rPr>
        <w:t>总价金额与按单价汇总金额不一致的，以单价金额计算结果为准，但单价或者单价汇总金额存在数字或者文字错误的，应当先对数字或者文字错误进行澄清、说明或者更正，再行修正；</w:t>
      </w:r>
    </w:p>
    <w:p>
      <w:pPr>
        <w:pStyle w:val="46"/>
        <w:spacing w:line="520" w:lineRule="exact"/>
      </w:pPr>
      <w:r>
        <w:rPr>
          <w:rFonts w:hint="eastAsia"/>
        </w:rPr>
        <w:t>单价金额小数点或者百分比有明显错位的，以总价为准，修正单价。</w:t>
      </w:r>
    </w:p>
    <w:p>
      <w:pPr>
        <w:pStyle w:val="46"/>
        <w:spacing w:line="520" w:lineRule="exact"/>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49"/>
        <w:spacing w:line="520" w:lineRule="exact"/>
        <w:ind w:firstLine="482"/>
      </w:pPr>
      <w:bookmarkStart w:id="514" w:name="_Toc20156"/>
      <w:bookmarkStart w:id="515" w:name="_Toc4368"/>
      <w:bookmarkStart w:id="516" w:name="_Toc15902"/>
      <w:bookmarkStart w:id="517" w:name="_Toc8686"/>
      <w:bookmarkStart w:id="518" w:name="_Toc24441"/>
      <w:r>
        <w:rPr>
          <w:rFonts w:hint="eastAsia"/>
        </w:rPr>
        <w:t>评审方法</w:t>
      </w:r>
      <w:bookmarkEnd w:id="514"/>
      <w:bookmarkEnd w:id="515"/>
      <w:bookmarkEnd w:id="516"/>
      <w:bookmarkEnd w:id="517"/>
      <w:bookmarkEnd w:id="518"/>
    </w:p>
    <w:p>
      <w:pPr>
        <w:pStyle w:val="46"/>
        <w:spacing w:line="520" w:lineRule="exact"/>
      </w:pPr>
      <w:r>
        <w:rPr>
          <w:rFonts w:hint="eastAsia"/>
        </w:rPr>
        <w:t>本项目采用综合评分法</w:t>
      </w:r>
    </w:p>
    <w:p>
      <w:pPr>
        <w:pStyle w:val="63"/>
        <w:numPr>
          <w:ilvl w:val="3"/>
          <w:numId w:val="0"/>
        </w:numPr>
        <w:spacing w:line="520" w:lineRule="exact"/>
        <w:ind w:firstLine="480" w:firstLineChars="200"/>
      </w:pPr>
      <w:r>
        <w:rPr>
          <w:rFonts w:hint="eastAsia"/>
        </w:rPr>
        <w:t>经磋商确定最终采购需求和提交最后报价的供应商后，由磋商小组采用综合评分法对提交最后报价的供应商的响应文件和最后报价进行综合评分。磋商文件中没有规定的评审标准不得作为评审依据。</w:t>
      </w:r>
    </w:p>
    <w:p>
      <w:pPr>
        <w:pStyle w:val="49"/>
        <w:spacing w:line="520" w:lineRule="exact"/>
        <w:ind w:firstLine="482"/>
      </w:pPr>
      <w:bookmarkStart w:id="519" w:name="_Toc21694"/>
      <w:bookmarkStart w:id="520" w:name="_Toc27734"/>
      <w:bookmarkStart w:id="521" w:name="_Toc4427"/>
      <w:bookmarkStart w:id="522" w:name="_Toc29323"/>
      <w:bookmarkStart w:id="523" w:name="_Toc28947"/>
      <w:r>
        <w:rPr>
          <w:rFonts w:hint="eastAsia"/>
        </w:rPr>
        <w:t>评审标准</w:t>
      </w:r>
      <w:bookmarkEnd w:id="519"/>
      <w:bookmarkEnd w:id="520"/>
      <w:bookmarkEnd w:id="521"/>
      <w:bookmarkEnd w:id="522"/>
      <w:bookmarkEnd w:id="523"/>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88"/>
        <w:gridCol w:w="876"/>
        <w:gridCol w:w="603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73" w:type="pct"/>
            <w:vAlign w:val="center"/>
          </w:tcPr>
          <w:p>
            <w:pPr>
              <w:autoSpaceDN w:val="0"/>
              <w:spacing w:line="360" w:lineRule="exact"/>
              <w:jc w:val="center"/>
              <w:rPr>
                <w:rFonts w:cs="宋体"/>
                <w:b/>
                <w:sz w:val="21"/>
                <w:szCs w:val="21"/>
              </w:rPr>
            </w:pPr>
            <w:bookmarkStart w:id="524" w:name="_Toc7651"/>
            <w:bookmarkStart w:id="525" w:name="_Toc10537"/>
            <w:r>
              <w:rPr>
                <w:rFonts w:hint="eastAsia" w:cs="宋体"/>
                <w:b/>
                <w:sz w:val="21"/>
                <w:szCs w:val="21"/>
              </w:rPr>
              <w:t>序号</w:t>
            </w:r>
          </w:p>
        </w:tc>
        <w:tc>
          <w:tcPr>
            <w:tcW w:w="647" w:type="pct"/>
            <w:vAlign w:val="center"/>
          </w:tcPr>
          <w:p>
            <w:pPr>
              <w:autoSpaceDN w:val="0"/>
              <w:spacing w:line="360" w:lineRule="exact"/>
              <w:jc w:val="center"/>
              <w:rPr>
                <w:rFonts w:cs="宋体"/>
                <w:b/>
                <w:sz w:val="21"/>
                <w:szCs w:val="21"/>
              </w:rPr>
            </w:pPr>
            <w:r>
              <w:rPr>
                <w:rFonts w:hint="eastAsia" w:cs="宋体"/>
                <w:b/>
                <w:sz w:val="21"/>
                <w:szCs w:val="21"/>
              </w:rPr>
              <w:t>评分因素及权重</w:t>
            </w:r>
          </w:p>
        </w:tc>
        <w:tc>
          <w:tcPr>
            <w:tcW w:w="440" w:type="pct"/>
            <w:vAlign w:val="center"/>
          </w:tcPr>
          <w:p>
            <w:pPr>
              <w:autoSpaceDN w:val="0"/>
              <w:spacing w:line="360" w:lineRule="exact"/>
              <w:jc w:val="center"/>
              <w:rPr>
                <w:rFonts w:cs="宋体"/>
                <w:b/>
                <w:sz w:val="21"/>
                <w:szCs w:val="21"/>
              </w:rPr>
            </w:pPr>
            <w:r>
              <w:rPr>
                <w:rFonts w:hint="eastAsia" w:cs="宋体"/>
                <w:b/>
                <w:sz w:val="21"/>
                <w:szCs w:val="21"/>
              </w:rPr>
              <w:t>分值</w:t>
            </w:r>
          </w:p>
        </w:tc>
        <w:tc>
          <w:tcPr>
            <w:tcW w:w="3032" w:type="pct"/>
            <w:vAlign w:val="center"/>
          </w:tcPr>
          <w:p>
            <w:pPr>
              <w:autoSpaceDN w:val="0"/>
              <w:spacing w:line="360" w:lineRule="exact"/>
              <w:jc w:val="center"/>
              <w:rPr>
                <w:rFonts w:cs="宋体"/>
                <w:b/>
                <w:sz w:val="21"/>
                <w:szCs w:val="21"/>
              </w:rPr>
            </w:pPr>
            <w:r>
              <w:rPr>
                <w:rFonts w:hint="eastAsia" w:cs="宋体"/>
                <w:b/>
                <w:sz w:val="21"/>
                <w:szCs w:val="21"/>
              </w:rPr>
              <w:t>评分标准</w:t>
            </w:r>
          </w:p>
        </w:tc>
        <w:tc>
          <w:tcPr>
            <w:tcW w:w="506" w:type="pct"/>
            <w:vAlign w:val="center"/>
          </w:tcPr>
          <w:p>
            <w:pPr>
              <w:autoSpaceDN w:val="0"/>
              <w:spacing w:line="360" w:lineRule="exact"/>
              <w:jc w:val="center"/>
              <w:rPr>
                <w:rFonts w:cs="宋体"/>
                <w:b/>
                <w:sz w:val="21"/>
                <w:szCs w:val="21"/>
              </w:rPr>
            </w:pPr>
            <w:r>
              <w:rPr>
                <w:rFonts w:hint="eastAsia" w:cs="宋体"/>
                <w:b/>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vAlign w:val="center"/>
          </w:tcPr>
          <w:p>
            <w:pPr>
              <w:spacing w:line="360" w:lineRule="exact"/>
              <w:jc w:val="center"/>
              <w:textAlignment w:val="baseline"/>
              <w:rPr>
                <w:rFonts w:cs="宋体"/>
                <w:sz w:val="21"/>
                <w:szCs w:val="21"/>
              </w:rPr>
            </w:pPr>
            <w:r>
              <w:rPr>
                <w:rFonts w:hint="eastAsia" w:cs="宋体"/>
                <w:sz w:val="21"/>
                <w:szCs w:val="21"/>
              </w:rPr>
              <w:t>一</w:t>
            </w:r>
          </w:p>
        </w:tc>
        <w:tc>
          <w:tcPr>
            <w:tcW w:w="647" w:type="pct"/>
            <w:vAlign w:val="center"/>
          </w:tcPr>
          <w:p>
            <w:pPr>
              <w:spacing w:line="360" w:lineRule="exact"/>
              <w:jc w:val="center"/>
              <w:textAlignment w:val="baseline"/>
              <w:rPr>
                <w:rFonts w:cs="宋体"/>
                <w:sz w:val="21"/>
                <w:szCs w:val="21"/>
              </w:rPr>
            </w:pPr>
            <w:r>
              <w:rPr>
                <w:rFonts w:hint="eastAsia" w:cs="宋体"/>
                <w:sz w:val="21"/>
                <w:szCs w:val="21"/>
              </w:rPr>
              <w:t>报价</w:t>
            </w:r>
          </w:p>
          <w:p>
            <w:pPr>
              <w:spacing w:line="360" w:lineRule="exact"/>
              <w:jc w:val="center"/>
              <w:textAlignment w:val="baseline"/>
              <w:rPr>
                <w:rFonts w:cs="宋体"/>
                <w:sz w:val="21"/>
                <w:szCs w:val="21"/>
              </w:rPr>
            </w:pPr>
            <w:r>
              <w:rPr>
                <w:rFonts w:hint="eastAsia" w:cs="宋体"/>
                <w:sz w:val="21"/>
                <w:szCs w:val="21"/>
              </w:rPr>
              <w:t>1</w:t>
            </w:r>
            <w:r>
              <w:rPr>
                <w:rFonts w:hint="eastAsia" w:cs="宋体"/>
                <w:sz w:val="21"/>
                <w:szCs w:val="21"/>
                <w:lang w:val="en-US" w:eastAsia="zh-CN"/>
              </w:rPr>
              <w:t>0</w:t>
            </w:r>
            <w:r>
              <w:rPr>
                <w:rFonts w:hint="eastAsia" w:cs="宋体"/>
                <w:sz w:val="21"/>
                <w:szCs w:val="21"/>
              </w:rPr>
              <w:t>%</w:t>
            </w:r>
          </w:p>
        </w:tc>
        <w:tc>
          <w:tcPr>
            <w:tcW w:w="440" w:type="pct"/>
            <w:vAlign w:val="center"/>
          </w:tcPr>
          <w:p>
            <w:pPr>
              <w:spacing w:line="360" w:lineRule="exact"/>
              <w:jc w:val="center"/>
              <w:textAlignment w:val="baseline"/>
              <w:rPr>
                <w:rFonts w:cs="宋体"/>
                <w:sz w:val="21"/>
                <w:szCs w:val="21"/>
              </w:rPr>
            </w:pPr>
            <w:r>
              <w:rPr>
                <w:rFonts w:hint="eastAsia" w:cs="宋体"/>
                <w:sz w:val="21"/>
                <w:szCs w:val="21"/>
              </w:rPr>
              <w:t>1</w:t>
            </w:r>
            <w:r>
              <w:rPr>
                <w:rFonts w:hint="eastAsia" w:cs="宋体"/>
                <w:sz w:val="21"/>
                <w:szCs w:val="21"/>
                <w:lang w:val="en-US" w:eastAsia="zh-CN"/>
              </w:rPr>
              <w:t>0</w:t>
            </w:r>
            <w:r>
              <w:rPr>
                <w:rFonts w:hint="eastAsia" w:cs="宋体"/>
                <w:sz w:val="21"/>
                <w:szCs w:val="21"/>
              </w:rPr>
              <w:t>分</w:t>
            </w:r>
          </w:p>
        </w:tc>
        <w:tc>
          <w:tcPr>
            <w:tcW w:w="3032" w:type="pct"/>
            <w:vAlign w:val="center"/>
          </w:tcPr>
          <w:p>
            <w:pPr>
              <w:spacing w:line="360" w:lineRule="exact"/>
              <w:textAlignment w:val="baseline"/>
              <w:rPr>
                <w:rFonts w:cs="宋体"/>
                <w:sz w:val="21"/>
                <w:szCs w:val="21"/>
              </w:rPr>
            </w:pPr>
            <w:r>
              <w:rPr>
                <w:rFonts w:hint="eastAsia" w:cs="宋体"/>
                <w:sz w:val="21"/>
                <w:szCs w:val="21"/>
              </w:rPr>
              <w:t>满足磋商文件要求且最后报价最低的供应商的价格为磋商基准价，其价格分为满分。其他供应商的价格分统一按照下列公式计算：</w:t>
            </w:r>
          </w:p>
          <w:p>
            <w:pPr>
              <w:spacing w:line="360" w:lineRule="exact"/>
              <w:textAlignment w:val="baseline"/>
              <w:rPr>
                <w:rFonts w:cs="宋体"/>
                <w:sz w:val="21"/>
                <w:szCs w:val="21"/>
              </w:rPr>
            </w:pPr>
            <w:r>
              <w:rPr>
                <w:rFonts w:hint="eastAsia" w:cs="宋体"/>
                <w:sz w:val="21"/>
                <w:szCs w:val="21"/>
              </w:rPr>
              <w:t>磋商报价得分=(磋商基准价/最后磋商报价)×1</w:t>
            </w:r>
            <w:r>
              <w:rPr>
                <w:rFonts w:hint="eastAsia" w:cs="宋体"/>
                <w:sz w:val="21"/>
                <w:szCs w:val="21"/>
                <w:lang w:val="en-US" w:eastAsia="zh-CN"/>
              </w:rPr>
              <w:t>0</w:t>
            </w:r>
            <w:r>
              <w:rPr>
                <w:rFonts w:hint="eastAsia" w:cs="宋体"/>
                <w:sz w:val="21"/>
                <w:szCs w:val="21"/>
              </w:rPr>
              <w:t>%×100；</w:t>
            </w:r>
          </w:p>
          <w:p>
            <w:pPr>
              <w:spacing w:line="360" w:lineRule="exact"/>
              <w:textAlignment w:val="baseline"/>
              <w:rPr>
                <w:rFonts w:cs="宋体"/>
                <w:b/>
                <w:bCs/>
                <w:sz w:val="21"/>
                <w:szCs w:val="21"/>
              </w:rPr>
            </w:pPr>
            <w:r>
              <w:rPr>
                <w:rFonts w:hint="eastAsia" w:cs="宋体"/>
                <w:b/>
                <w:bCs/>
                <w:sz w:val="21"/>
                <w:szCs w:val="21"/>
              </w:rPr>
              <w:t>注：1.项目评审过程中，不得去掉最后报价中的最高报价和最低报价。</w:t>
            </w:r>
          </w:p>
          <w:p>
            <w:pPr>
              <w:spacing w:line="360" w:lineRule="exact"/>
              <w:textAlignment w:val="baseline"/>
              <w:rPr>
                <w:rFonts w:cs="宋体"/>
                <w:b/>
                <w:bCs/>
                <w:sz w:val="21"/>
                <w:szCs w:val="21"/>
              </w:rPr>
            </w:pPr>
            <w:r>
              <w:rPr>
                <w:rFonts w:hint="eastAsia" w:cs="宋体"/>
                <w:b/>
                <w:bCs/>
                <w:sz w:val="21"/>
                <w:szCs w:val="21"/>
              </w:rPr>
              <w:t>2.因落实政策进行价格调整的，以调整后的价格计算磋商基准价和最后报价。</w:t>
            </w:r>
          </w:p>
          <w:p>
            <w:pPr>
              <w:spacing w:line="360" w:lineRule="exact"/>
              <w:textAlignment w:val="baseline"/>
              <w:rPr>
                <w:rFonts w:cs="宋体"/>
                <w:sz w:val="21"/>
                <w:szCs w:val="21"/>
              </w:rPr>
            </w:pPr>
            <w:r>
              <w:rPr>
                <w:rFonts w:hint="eastAsia" w:cs="宋体"/>
                <w:b/>
                <w:bCs/>
                <w:sz w:val="21"/>
                <w:szCs w:val="21"/>
              </w:rPr>
              <w:t>3.小微企业(和残疾人福利性单位、监狱企业视同小微企业)价格扣除按照磋商须知表的相关要求执行。</w:t>
            </w:r>
          </w:p>
        </w:tc>
        <w:tc>
          <w:tcPr>
            <w:tcW w:w="506" w:type="pct"/>
            <w:vAlign w:val="center"/>
          </w:tcPr>
          <w:p>
            <w:pPr>
              <w:spacing w:line="360" w:lineRule="exact"/>
              <w:jc w:val="center"/>
              <w:textAlignment w:val="baseline"/>
              <w:rPr>
                <w:rFonts w:cs="宋体"/>
                <w:sz w:val="21"/>
                <w:szCs w:val="21"/>
              </w:rPr>
            </w:pPr>
            <w:r>
              <w:rPr>
                <w:rFonts w:hint="eastAsia" w:cs="宋体"/>
                <w:sz w:val="21"/>
                <w:szCs w:val="21"/>
              </w:rPr>
              <w:t>共同评</w:t>
            </w:r>
          </w:p>
          <w:p>
            <w:pPr>
              <w:spacing w:line="360" w:lineRule="exact"/>
              <w:jc w:val="center"/>
              <w:textAlignment w:val="baseline"/>
              <w:rPr>
                <w:rFonts w:cs="宋体"/>
                <w:sz w:val="21"/>
                <w:szCs w:val="21"/>
              </w:rPr>
            </w:pPr>
            <w:r>
              <w:rPr>
                <w:rFonts w:hint="eastAsia" w:cs="宋体"/>
                <w:sz w:val="21"/>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vAlign w:val="center"/>
          </w:tcPr>
          <w:p>
            <w:pPr>
              <w:spacing w:line="360" w:lineRule="exact"/>
              <w:jc w:val="center"/>
              <w:textAlignment w:val="baseline"/>
              <w:rPr>
                <w:rFonts w:cs="宋体"/>
                <w:sz w:val="21"/>
                <w:szCs w:val="21"/>
              </w:rPr>
            </w:pPr>
            <w:r>
              <w:rPr>
                <w:rFonts w:hint="eastAsia" w:cs="宋体"/>
                <w:sz w:val="21"/>
                <w:szCs w:val="21"/>
              </w:rPr>
              <w:t>二</w:t>
            </w:r>
          </w:p>
        </w:tc>
        <w:tc>
          <w:tcPr>
            <w:tcW w:w="647" w:type="pct"/>
            <w:vAlign w:val="center"/>
          </w:tcPr>
          <w:p>
            <w:pPr>
              <w:spacing w:line="360" w:lineRule="exact"/>
              <w:jc w:val="center"/>
              <w:textAlignment w:val="baseline"/>
              <w:rPr>
                <w:rFonts w:cs="宋体"/>
                <w:sz w:val="21"/>
                <w:szCs w:val="21"/>
              </w:rPr>
            </w:pPr>
            <w:r>
              <w:rPr>
                <w:rFonts w:hint="eastAsia" w:cs="宋体"/>
                <w:sz w:val="21"/>
                <w:szCs w:val="21"/>
              </w:rPr>
              <w:t>企业资质</w:t>
            </w:r>
            <w:r>
              <w:rPr>
                <w:rFonts w:hint="eastAsia" w:cs="宋体"/>
                <w:sz w:val="21"/>
                <w:szCs w:val="21"/>
                <w:lang w:val="en-US" w:eastAsia="zh-CN"/>
              </w:rPr>
              <w:t>26</w:t>
            </w:r>
            <w:r>
              <w:rPr>
                <w:rFonts w:hint="eastAsia" w:cs="宋体"/>
                <w:sz w:val="21"/>
                <w:szCs w:val="21"/>
              </w:rPr>
              <w:t>%</w:t>
            </w:r>
          </w:p>
        </w:tc>
        <w:tc>
          <w:tcPr>
            <w:tcW w:w="440" w:type="pct"/>
            <w:vAlign w:val="center"/>
          </w:tcPr>
          <w:p>
            <w:pPr>
              <w:spacing w:line="360" w:lineRule="exact"/>
              <w:jc w:val="center"/>
              <w:textAlignment w:val="baseline"/>
              <w:rPr>
                <w:rFonts w:cs="宋体"/>
                <w:sz w:val="21"/>
                <w:szCs w:val="21"/>
              </w:rPr>
            </w:pPr>
            <w:r>
              <w:rPr>
                <w:rFonts w:hint="eastAsia" w:cs="宋体"/>
                <w:sz w:val="21"/>
                <w:szCs w:val="21"/>
                <w:lang w:val="en-US" w:eastAsia="zh-CN"/>
              </w:rPr>
              <w:t>26</w:t>
            </w:r>
            <w:r>
              <w:rPr>
                <w:rFonts w:hint="eastAsia" w:cs="宋体"/>
                <w:sz w:val="21"/>
                <w:szCs w:val="21"/>
              </w:rPr>
              <w:t>分</w:t>
            </w:r>
          </w:p>
        </w:tc>
        <w:tc>
          <w:tcPr>
            <w:tcW w:w="3032" w:type="pct"/>
            <w:vAlign w:val="center"/>
          </w:tcPr>
          <w:p>
            <w:pPr>
              <w:spacing w:line="360" w:lineRule="exact"/>
              <w:textAlignment w:val="baseline"/>
              <w:rPr>
                <w:rFonts w:hint="eastAsia" w:cs="宋体"/>
                <w:sz w:val="21"/>
                <w:szCs w:val="21"/>
              </w:rPr>
            </w:pPr>
            <w:r>
              <w:rPr>
                <w:rFonts w:hint="eastAsia" w:cs="宋体"/>
                <w:sz w:val="21"/>
                <w:szCs w:val="21"/>
              </w:rPr>
              <w:t>1</w:t>
            </w:r>
            <w:r>
              <w:rPr>
                <w:rFonts w:hint="eastAsia" w:cs="宋体"/>
                <w:sz w:val="21"/>
                <w:szCs w:val="21"/>
                <w:lang w:eastAsia="zh-CN"/>
              </w:rPr>
              <w:t>.供应商</w:t>
            </w:r>
            <w:r>
              <w:rPr>
                <w:rFonts w:hint="eastAsia" w:cs="宋体"/>
                <w:sz w:val="21"/>
                <w:szCs w:val="21"/>
              </w:rPr>
              <w:t>具有质量管理体系认证证书</w:t>
            </w:r>
            <w:r>
              <w:rPr>
                <w:rFonts w:hint="eastAsia" w:cs="宋体"/>
                <w:sz w:val="21"/>
                <w:szCs w:val="21"/>
                <w:lang w:val="en-US" w:eastAsia="zh-CN"/>
              </w:rPr>
              <w:t>(认证范围包含等保测评相关内容)</w:t>
            </w:r>
            <w:r>
              <w:rPr>
                <w:rFonts w:hint="eastAsia" w:cs="宋体"/>
                <w:sz w:val="21"/>
                <w:szCs w:val="21"/>
              </w:rPr>
              <w:t>、信息技术服务管理体系认证证书、信息安全管理体系认证证书，每</w:t>
            </w:r>
            <w:r>
              <w:rPr>
                <w:rFonts w:hint="eastAsia" w:cs="宋体"/>
                <w:sz w:val="21"/>
                <w:szCs w:val="21"/>
                <w:lang w:val="en-US" w:eastAsia="zh-CN"/>
              </w:rPr>
              <w:t>具有1</w:t>
            </w:r>
            <w:r>
              <w:rPr>
                <w:rFonts w:hint="eastAsia" w:cs="宋体"/>
                <w:sz w:val="21"/>
                <w:szCs w:val="21"/>
              </w:rPr>
              <w:t>个得2分，</w:t>
            </w:r>
            <w:r>
              <w:rPr>
                <w:rFonts w:hint="eastAsia" w:cs="宋体"/>
                <w:sz w:val="21"/>
                <w:szCs w:val="21"/>
                <w:lang w:val="en-US" w:eastAsia="zh-CN"/>
              </w:rPr>
              <w:t>最多得</w:t>
            </w:r>
            <w:r>
              <w:rPr>
                <w:rFonts w:hint="eastAsia" w:cs="宋体"/>
                <w:sz w:val="21"/>
                <w:szCs w:val="21"/>
              </w:rPr>
              <w:t>6分；</w:t>
            </w:r>
          </w:p>
          <w:p>
            <w:pPr>
              <w:spacing w:line="360" w:lineRule="exact"/>
              <w:textAlignment w:val="baseline"/>
              <w:rPr>
                <w:rFonts w:hint="eastAsia" w:cs="宋体"/>
                <w:sz w:val="21"/>
                <w:szCs w:val="21"/>
              </w:rPr>
            </w:pPr>
            <w:r>
              <w:rPr>
                <w:rFonts w:hint="eastAsia" w:cs="宋体"/>
                <w:sz w:val="21"/>
                <w:szCs w:val="21"/>
              </w:rPr>
              <w:t>2</w:t>
            </w:r>
            <w:r>
              <w:rPr>
                <w:rFonts w:hint="eastAsia" w:cs="宋体"/>
                <w:sz w:val="21"/>
                <w:szCs w:val="21"/>
                <w:lang w:eastAsia="zh-CN"/>
              </w:rPr>
              <w:t>.供应商</w:t>
            </w:r>
            <w:r>
              <w:rPr>
                <w:rFonts w:hint="eastAsia" w:cs="宋体"/>
                <w:sz w:val="21"/>
                <w:szCs w:val="21"/>
              </w:rPr>
              <w:t>具有中国网络安全审查技术与认证中心颁发的信息安全风险评估服务资质认证证书，一级服务资质得5分，二级服务资质得3分，三级服务资质得1分；</w:t>
            </w:r>
          </w:p>
          <w:p>
            <w:pPr>
              <w:spacing w:line="360" w:lineRule="exact"/>
              <w:textAlignment w:val="baseline"/>
              <w:rPr>
                <w:rFonts w:hint="eastAsia" w:cs="宋体"/>
                <w:sz w:val="21"/>
                <w:szCs w:val="21"/>
              </w:rPr>
            </w:pPr>
            <w:r>
              <w:rPr>
                <w:rFonts w:hint="eastAsia" w:cs="宋体"/>
                <w:sz w:val="21"/>
                <w:szCs w:val="21"/>
              </w:rPr>
              <w:t>3</w:t>
            </w:r>
            <w:r>
              <w:rPr>
                <w:rFonts w:hint="eastAsia" w:cs="宋体"/>
                <w:sz w:val="21"/>
                <w:szCs w:val="21"/>
                <w:lang w:eastAsia="zh-CN"/>
              </w:rPr>
              <w:t>.供应商</w:t>
            </w:r>
            <w:r>
              <w:rPr>
                <w:rFonts w:hint="eastAsia" w:cs="宋体"/>
                <w:sz w:val="21"/>
                <w:szCs w:val="21"/>
              </w:rPr>
              <w:t>具有中国网络安全审查技术与认证中心颁发的信息系统安全运维服务资质认证证书，一级服务资质得5分，二级服务资质得3分，三级服务资质得1分；</w:t>
            </w:r>
          </w:p>
          <w:p>
            <w:pPr>
              <w:spacing w:line="360" w:lineRule="exact"/>
              <w:textAlignment w:val="baseline"/>
              <w:rPr>
                <w:rFonts w:hint="eastAsia" w:eastAsia="宋体" w:cs="宋体"/>
                <w:sz w:val="21"/>
                <w:szCs w:val="21"/>
                <w:lang w:eastAsia="zh-CN"/>
              </w:rPr>
            </w:pPr>
            <w:r>
              <w:rPr>
                <w:rFonts w:hint="eastAsia" w:cs="宋体"/>
                <w:sz w:val="21"/>
                <w:szCs w:val="21"/>
              </w:rPr>
              <w:t>4</w:t>
            </w:r>
            <w:r>
              <w:rPr>
                <w:rFonts w:hint="eastAsia" w:cs="宋体"/>
                <w:sz w:val="21"/>
                <w:szCs w:val="21"/>
                <w:lang w:eastAsia="zh-CN"/>
              </w:rPr>
              <w:t>.供应商</w:t>
            </w:r>
            <w:r>
              <w:rPr>
                <w:rFonts w:hint="eastAsia" w:cs="宋体"/>
                <w:sz w:val="21"/>
                <w:szCs w:val="21"/>
              </w:rPr>
              <w:t>具有中国合格评定国家认可委员会</w:t>
            </w:r>
            <w:r>
              <w:rPr>
                <w:rFonts w:hint="eastAsia" w:cs="宋体"/>
                <w:sz w:val="21"/>
                <w:szCs w:val="21"/>
                <w:lang w:eastAsia="zh-CN"/>
              </w:rPr>
              <w:t>(</w:t>
            </w:r>
            <w:r>
              <w:rPr>
                <w:rFonts w:hint="eastAsia" w:cs="宋体"/>
                <w:sz w:val="21"/>
                <w:szCs w:val="21"/>
              </w:rPr>
              <w:t>CNAS</w:t>
            </w:r>
            <w:r>
              <w:rPr>
                <w:rFonts w:hint="eastAsia" w:cs="宋体"/>
                <w:sz w:val="21"/>
                <w:szCs w:val="21"/>
                <w:lang w:eastAsia="zh-CN"/>
              </w:rPr>
              <w:t>)</w:t>
            </w:r>
            <w:r>
              <w:rPr>
                <w:rFonts w:hint="eastAsia" w:cs="宋体"/>
                <w:sz w:val="21"/>
                <w:szCs w:val="21"/>
              </w:rPr>
              <w:t>颁发的检验机构认可证书</w:t>
            </w:r>
            <w:r>
              <w:rPr>
                <w:rFonts w:hint="eastAsia" w:cs="宋体"/>
                <w:sz w:val="21"/>
                <w:szCs w:val="21"/>
                <w:lang w:val="en-US" w:eastAsia="zh-CN"/>
              </w:rPr>
              <w:t>(</w:t>
            </w:r>
            <w:r>
              <w:rPr>
                <w:rFonts w:hint="eastAsia" w:cs="宋体"/>
                <w:sz w:val="21"/>
                <w:szCs w:val="21"/>
              </w:rPr>
              <w:t>资质认定能力范围包含网络安全等级保护测评相关内容</w:t>
            </w:r>
            <w:r>
              <w:rPr>
                <w:rFonts w:hint="eastAsia" w:cs="宋体"/>
                <w:sz w:val="21"/>
                <w:szCs w:val="21"/>
                <w:lang w:val="en-US" w:eastAsia="zh-CN"/>
              </w:rPr>
              <w:t>)</w:t>
            </w:r>
            <w:r>
              <w:rPr>
                <w:rFonts w:hint="eastAsia" w:cs="宋体"/>
                <w:sz w:val="21"/>
                <w:szCs w:val="21"/>
              </w:rPr>
              <w:t>的得5分</w:t>
            </w:r>
            <w:r>
              <w:rPr>
                <w:rFonts w:hint="eastAsia" w:cs="宋体"/>
                <w:sz w:val="21"/>
                <w:szCs w:val="21"/>
                <w:lang w:eastAsia="zh-CN"/>
              </w:rPr>
              <w:t>；</w:t>
            </w:r>
          </w:p>
          <w:p>
            <w:pPr>
              <w:spacing w:line="360" w:lineRule="exact"/>
              <w:textAlignment w:val="baseline"/>
              <w:rPr>
                <w:rFonts w:hint="eastAsia" w:cs="宋体"/>
                <w:sz w:val="21"/>
                <w:szCs w:val="21"/>
              </w:rPr>
            </w:pPr>
            <w:r>
              <w:rPr>
                <w:rFonts w:hint="eastAsia" w:cs="宋体"/>
                <w:sz w:val="21"/>
                <w:szCs w:val="21"/>
              </w:rPr>
              <w:t>5</w:t>
            </w:r>
            <w:r>
              <w:rPr>
                <w:rFonts w:hint="eastAsia" w:cs="宋体"/>
                <w:sz w:val="21"/>
                <w:szCs w:val="21"/>
                <w:lang w:eastAsia="zh-CN"/>
              </w:rPr>
              <w:t>.供应商</w:t>
            </w:r>
            <w:r>
              <w:rPr>
                <w:rFonts w:hint="eastAsia" w:cs="宋体"/>
                <w:sz w:val="21"/>
                <w:szCs w:val="21"/>
              </w:rPr>
              <w:t>具有质量监督主管部门颁发的检验检测CMA证书</w:t>
            </w:r>
            <w:r>
              <w:rPr>
                <w:rFonts w:hint="eastAsia" w:cs="宋体"/>
                <w:sz w:val="21"/>
                <w:szCs w:val="21"/>
                <w:lang w:val="en-US" w:eastAsia="zh-CN"/>
              </w:rPr>
              <w:t>(</w:t>
            </w:r>
            <w:r>
              <w:rPr>
                <w:rFonts w:hint="eastAsia" w:cs="宋体"/>
                <w:sz w:val="21"/>
                <w:szCs w:val="21"/>
              </w:rPr>
              <w:t>资质认定能力范围应包含网络安全等级保护测评相关内容</w:t>
            </w:r>
            <w:r>
              <w:rPr>
                <w:rFonts w:hint="eastAsia" w:cs="宋体"/>
                <w:sz w:val="21"/>
                <w:szCs w:val="21"/>
                <w:lang w:val="en-US" w:eastAsia="zh-CN"/>
              </w:rPr>
              <w:t>)</w:t>
            </w:r>
            <w:r>
              <w:rPr>
                <w:rFonts w:hint="eastAsia" w:cs="宋体"/>
                <w:sz w:val="21"/>
                <w:szCs w:val="21"/>
              </w:rPr>
              <w:t>的得5分。</w:t>
            </w:r>
          </w:p>
          <w:p>
            <w:pPr>
              <w:spacing w:line="360" w:lineRule="exact"/>
              <w:textAlignment w:val="baseline"/>
              <w:rPr>
                <w:rFonts w:cs="宋体"/>
                <w:sz w:val="21"/>
                <w:szCs w:val="21"/>
              </w:rPr>
            </w:pPr>
            <w:r>
              <w:rPr>
                <w:rFonts w:hint="eastAsia" w:cs="宋体"/>
                <w:b/>
                <w:bCs/>
                <w:sz w:val="21"/>
                <w:szCs w:val="21"/>
              </w:rPr>
              <w:t>注：提供证书或相关证明文件</w:t>
            </w:r>
            <w:r>
              <w:rPr>
                <w:rFonts w:hint="eastAsia" w:cs="宋体"/>
                <w:b/>
                <w:bCs/>
                <w:sz w:val="21"/>
                <w:szCs w:val="21"/>
                <w:lang w:val="en-US" w:eastAsia="zh-CN"/>
              </w:rPr>
              <w:t>复印件并加盖供应商公章</w:t>
            </w:r>
            <w:r>
              <w:rPr>
                <w:rFonts w:hint="eastAsia" w:cs="宋体"/>
                <w:b/>
                <w:bCs/>
                <w:sz w:val="21"/>
                <w:szCs w:val="21"/>
              </w:rPr>
              <w:t>。</w:t>
            </w:r>
          </w:p>
        </w:tc>
        <w:tc>
          <w:tcPr>
            <w:tcW w:w="506" w:type="pct"/>
            <w:vAlign w:val="center"/>
          </w:tcPr>
          <w:p>
            <w:pPr>
              <w:spacing w:line="360" w:lineRule="exact"/>
              <w:jc w:val="center"/>
              <w:textAlignment w:val="baseline"/>
              <w:rPr>
                <w:rFonts w:cs="宋体"/>
                <w:sz w:val="21"/>
                <w:szCs w:val="21"/>
              </w:rPr>
            </w:pPr>
            <w:r>
              <w:rPr>
                <w:rFonts w:hint="eastAsia" w:cs="宋体"/>
                <w:sz w:val="21"/>
                <w:szCs w:val="21"/>
              </w:rPr>
              <w:t>共同评</w:t>
            </w:r>
          </w:p>
          <w:p>
            <w:pPr>
              <w:spacing w:line="360" w:lineRule="exact"/>
              <w:jc w:val="center"/>
              <w:textAlignment w:val="baseline"/>
              <w:rPr>
                <w:rFonts w:cs="宋体"/>
                <w:sz w:val="21"/>
                <w:szCs w:val="21"/>
              </w:rPr>
            </w:pPr>
            <w:r>
              <w:rPr>
                <w:rFonts w:hint="eastAsia" w:cs="宋体"/>
                <w:sz w:val="21"/>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vAlign w:val="center"/>
          </w:tcPr>
          <w:p>
            <w:pPr>
              <w:spacing w:line="360" w:lineRule="exact"/>
              <w:jc w:val="center"/>
              <w:textAlignment w:val="baseline"/>
              <w:rPr>
                <w:rFonts w:cs="宋体"/>
                <w:sz w:val="21"/>
                <w:szCs w:val="21"/>
              </w:rPr>
            </w:pPr>
            <w:r>
              <w:rPr>
                <w:rFonts w:hint="eastAsia" w:cs="宋体"/>
                <w:sz w:val="21"/>
                <w:szCs w:val="21"/>
              </w:rPr>
              <w:t>三</w:t>
            </w:r>
          </w:p>
        </w:tc>
        <w:tc>
          <w:tcPr>
            <w:tcW w:w="647" w:type="pct"/>
            <w:vAlign w:val="center"/>
          </w:tcPr>
          <w:p>
            <w:pPr>
              <w:spacing w:line="360" w:lineRule="exact"/>
              <w:jc w:val="center"/>
              <w:textAlignment w:val="baseline"/>
              <w:rPr>
                <w:rFonts w:cs="宋体"/>
                <w:sz w:val="21"/>
                <w:szCs w:val="21"/>
              </w:rPr>
            </w:pPr>
            <w:r>
              <w:rPr>
                <w:rFonts w:hint="eastAsia" w:cs="宋体"/>
                <w:sz w:val="21"/>
                <w:szCs w:val="21"/>
                <w:lang w:val="en-US" w:eastAsia="zh-CN"/>
              </w:rPr>
              <w:t>测评</w:t>
            </w:r>
            <w:r>
              <w:rPr>
                <w:rFonts w:hint="eastAsia" w:cs="宋体"/>
                <w:sz w:val="21"/>
                <w:szCs w:val="21"/>
              </w:rPr>
              <w:t>方案1</w:t>
            </w:r>
            <w:r>
              <w:rPr>
                <w:rFonts w:hint="eastAsia" w:cs="宋体"/>
                <w:sz w:val="21"/>
                <w:szCs w:val="21"/>
                <w:lang w:val="en-US" w:eastAsia="zh-CN"/>
              </w:rPr>
              <w:t>0</w:t>
            </w:r>
            <w:r>
              <w:rPr>
                <w:rFonts w:hint="eastAsia" w:cs="宋体"/>
                <w:sz w:val="21"/>
                <w:szCs w:val="21"/>
              </w:rPr>
              <w:t>%</w:t>
            </w:r>
          </w:p>
        </w:tc>
        <w:tc>
          <w:tcPr>
            <w:tcW w:w="440" w:type="pct"/>
            <w:vAlign w:val="center"/>
          </w:tcPr>
          <w:p>
            <w:pPr>
              <w:spacing w:line="360" w:lineRule="exact"/>
              <w:jc w:val="center"/>
              <w:textAlignment w:val="baseline"/>
              <w:rPr>
                <w:rFonts w:cs="宋体"/>
                <w:sz w:val="21"/>
                <w:szCs w:val="21"/>
              </w:rPr>
            </w:pPr>
            <w:r>
              <w:rPr>
                <w:rFonts w:hint="eastAsia" w:cs="宋体"/>
                <w:sz w:val="21"/>
                <w:szCs w:val="21"/>
              </w:rPr>
              <w:t>1</w:t>
            </w:r>
            <w:r>
              <w:rPr>
                <w:rFonts w:hint="eastAsia" w:cs="宋体"/>
                <w:sz w:val="21"/>
                <w:szCs w:val="21"/>
                <w:lang w:val="en-US" w:eastAsia="zh-CN"/>
              </w:rPr>
              <w:t>0</w:t>
            </w:r>
            <w:r>
              <w:rPr>
                <w:rFonts w:hint="eastAsia" w:cs="宋体"/>
                <w:sz w:val="21"/>
                <w:szCs w:val="21"/>
              </w:rPr>
              <w:t>分</w:t>
            </w:r>
          </w:p>
        </w:tc>
        <w:tc>
          <w:tcPr>
            <w:tcW w:w="3032" w:type="pct"/>
            <w:tcBorders>
              <w:bottom w:val="single" w:color="auto" w:sz="4" w:space="0"/>
            </w:tcBorders>
            <w:vAlign w:val="center"/>
          </w:tcPr>
          <w:p>
            <w:pPr>
              <w:spacing w:line="360" w:lineRule="exact"/>
              <w:textAlignment w:val="baseline"/>
              <w:rPr>
                <w:rFonts w:cs="宋体"/>
                <w:sz w:val="21"/>
                <w:szCs w:val="21"/>
              </w:rPr>
            </w:pPr>
            <w:r>
              <w:rPr>
                <w:rFonts w:hint="eastAsia" w:cs="宋体"/>
                <w:sz w:val="21"/>
                <w:szCs w:val="21"/>
              </w:rPr>
              <w:t>供应商针对本项目提供的</w:t>
            </w:r>
            <w:r>
              <w:rPr>
                <w:rFonts w:hint="eastAsia" w:cs="宋体"/>
                <w:sz w:val="21"/>
                <w:szCs w:val="21"/>
                <w:lang w:val="en-US" w:eastAsia="zh-CN"/>
              </w:rPr>
              <w:t>测评</w:t>
            </w:r>
            <w:r>
              <w:rPr>
                <w:rFonts w:hint="eastAsia" w:cs="宋体"/>
                <w:sz w:val="21"/>
                <w:szCs w:val="21"/>
              </w:rPr>
              <w:t>方案包含①人员</w:t>
            </w:r>
            <w:r>
              <w:rPr>
                <w:rFonts w:hint="eastAsia" w:cs="宋体"/>
                <w:sz w:val="21"/>
                <w:szCs w:val="21"/>
                <w:lang w:val="en-US" w:eastAsia="zh-CN"/>
              </w:rPr>
              <w:t>配置及</w:t>
            </w:r>
            <w:r>
              <w:rPr>
                <w:rFonts w:hint="eastAsia" w:cs="宋体"/>
                <w:sz w:val="21"/>
                <w:szCs w:val="21"/>
              </w:rPr>
              <w:t>分工安排；②测评对象与指标</w:t>
            </w:r>
            <w:r>
              <w:rPr>
                <w:rFonts w:hint="eastAsia" w:cs="宋体"/>
                <w:sz w:val="21"/>
                <w:szCs w:val="21"/>
                <w:lang w:val="en-US" w:eastAsia="zh-CN"/>
              </w:rPr>
              <w:t>分析</w:t>
            </w:r>
            <w:r>
              <w:rPr>
                <w:rFonts w:hint="eastAsia" w:cs="宋体"/>
                <w:sz w:val="21"/>
                <w:szCs w:val="21"/>
              </w:rPr>
              <w:t>；③测评方法与工具；④测评工作的实施计划等四个方面的内容。</w:t>
            </w:r>
          </w:p>
          <w:p>
            <w:pPr>
              <w:spacing w:line="360" w:lineRule="exact"/>
              <w:textAlignment w:val="baseline"/>
              <w:rPr>
                <w:rFonts w:cs="宋体"/>
                <w:sz w:val="21"/>
                <w:szCs w:val="21"/>
              </w:rPr>
            </w:pPr>
            <w:r>
              <w:rPr>
                <w:rFonts w:hint="eastAsia" w:cs="宋体"/>
                <w:sz w:val="21"/>
                <w:szCs w:val="21"/>
              </w:rPr>
              <w:t>根据供应商针对上诉四个方面内容在响应文件中的响应情况进行综合评审：其中每有一方面内容满足要求的得</w:t>
            </w:r>
            <w:r>
              <w:rPr>
                <w:rFonts w:hint="eastAsia" w:cs="宋体"/>
                <w:sz w:val="21"/>
                <w:szCs w:val="21"/>
                <w:lang w:val="en-US" w:eastAsia="zh-CN"/>
              </w:rPr>
              <w:t>2.5</w:t>
            </w:r>
            <w:r>
              <w:rPr>
                <w:rFonts w:hint="eastAsia" w:cs="宋体"/>
                <w:sz w:val="21"/>
                <w:szCs w:val="21"/>
              </w:rPr>
              <w:t>分，该方面中每有一处存在不足的扣1.</w:t>
            </w:r>
            <w:r>
              <w:rPr>
                <w:rFonts w:hint="eastAsia" w:cs="宋体"/>
                <w:sz w:val="21"/>
                <w:szCs w:val="21"/>
                <w:lang w:val="en-US" w:eastAsia="zh-CN"/>
              </w:rPr>
              <w:t>25</w:t>
            </w:r>
            <w:r>
              <w:rPr>
                <w:rFonts w:hint="eastAsia" w:cs="宋体"/>
                <w:sz w:val="21"/>
                <w:szCs w:val="21"/>
              </w:rPr>
              <w:t>分，最多扣</w:t>
            </w:r>
            <w:r>
              <w:rPr>
                <w:rFonts w:hint="eastAsia" w:cs="宋体"/>
                <w:sz w:val="21"/>
                <w:szCs w:val="21"/>
                <w:lang w:val="en-US" w:eastAsia="zh-CN"/>
              </w:rPr>
              <w:t>2.5</w:t>
            </w:r>
            <w:r>
              <w:rPr>
                <w:rFonts w:hint="eastAsia" w:cs="宋体"/>
                <w:sz w:val="21"/>
                <w:szCs w:val="21"/>
              </w:rPr>
              <w:t>分；每有一方面内容缺失或不满足要求的该方面内容不得分；本项最多得1</w:t>
            </w:r>
            <w:r>
              <w:rPr>
                <w:rFonts w:hint="eastAsia" w:cs="宋体"/>
                <w:sz w:val="21"/>
                <w:szCs w:val="21"/>
                <w:lang w:val="en-US" w:eastAsia="zh-CN"/>
              </w:rPr>
              <w:t>0</w:t>
            </w:r>
            <w:r>
              <w:rPr>
                <w:rFonts w:hint="eastAsia" w:cs="宋体"/>
                <w:sz w:val="21"/>
                <w:szCs w:val="21"/>
              </w:rPr>
              <w:t>分。</w:t>
            </w:r>
          </w:p>
          <w:p>
            <w:pPr>
              <w:spacing w:line="360" w:lineRule="exact"/>
              <w:textAlignment w:val="baseline"/>
              <w:rPr>
                <w:rFonts w:cs="宋体"/>
                <w:b/>
                <w:bCs/>
                <w:sz w:val="21"/>
                <w:szCs w:val="21"/>
              </w:rPr>
            </w:pPr>
            <w:r>
              <w:rPr>
                <w:rFonts w:hint="eastAsia" w:cs="宋体"/>
                <w:b/>
                <w:bCs/>
                <w:sz w:val="21"/>
                <w:szCs w:val="21"/>
              </w:rPr>
              <w:t>注：(1)以上内容满足要求是指①内容与项目技术服务需求吻合、层次细化，有具体详细的阐述；②阐述从实际出发，切合项目背景、项目需求以及市场供应情况发现问题并提出合理化专业技术建议或者解决方案；③内容符合行业标准、行业惯例以及项目特点。④内容清楚明了、表述规范、含义准确。</w:t>
            </w:r>
          </w:p>
          <w:p>
            <w:pPr>
              <w:spacing w:line="360" w:lineRule="exact"/>
              <w:textAlignment w:val="baseline"/>
              <w:rPr>
                <w:rFonts w:cs="宋体"/>
                <w:sz w:val="21"/>
                <w:szCs w:val="21"/>
              </w:rPr>
            </w:pPr>
            <w:r>
              <w:rPr>
                <w:rFonts w:hint="eastAsia" w:cs="宋体"/>
                <w:b/>
                <w:bCs/>
                <w:sz w:val="21"/>
                <w:szCs w:val="21"/>
              </w:rPr>
              <w:t>(2)存在不足是指①内容生搬硬造，阐述存在逻辑错误，前后矛盾；②涉及内容无重点，未能体现出本项目的特点或与实际需求不完全相符；③语言错误或存在歧义，项目名称、实施地点、规范标准与本项目不一致等情形。</w:t>
            </w:r>
          </w:p>
        </w:tc>
        <w:tc>
          <w:tcPr>
            <w:tcW w:w="506" w:type="pct"/>
            <w:tcBorders>
              <w:bottom w:val="single" w:color="auto" w:sz="4" w:space="0"/>
            </w:tcBorders>
            <w:vAlign w:val="center"/>
          </w:tcPr>
          <w:p>
            <w:pPr>
              <w:spacing w:line="360" w:lineRule="exact"/>
              <w:jc w:val="center"/>
              <w:textAlignment w:val="baseline"/>
              <w:rPr>
                <w:rFonts w:cs="宋体"/>
                <w:sz w:val="21"/>
                <w:szCs w:val="21"/>
              </w:rPr>
            </w:pPr>
            <w:r>
              <w:rPr>
                <w:rFonts w:hint="eastAsia" w:cs="宋体"/>
                <w:sz w:val="21"/>
                <w:szCs w:val="21"/>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vAlign w:val="center"/>
          </w:tcPr>
          <w:p>
            <w:pPr>
              <w:spacing w:line="360" w:lineRule="exact"/>
              <w:jc w:val="center"/>
              <w:textAlignment w:val="baseline"/>
              <w:rPr>
                <w:rFonts w:cs="宋体"/>
                <w:sz w:val="21"/>
                <w:szCs w:val="21"/>
              </w:rPr>
            </w:pPr>
            <w:r>
              <w:rPr>
                <w:rFonts w:hint="eastAsia" w:cs="宋体"/>
                <w:sz w:val="21"/>
                <w:szCs w:val="21"/>
              </w:rPr>
              <w:t>四</w:t>
            </w:r>
          </w:p>
        </w:tc>
        <w:tc>
          <w:tcPr>
            <w:tcW w:w="647" w:type="pct"/>
            <w:vAlign w:val="center"/>
          </w:tcPr>
          <w:p>
            <w:pPr>
              <w:spacing w:line="360" w:lineRule="exact"/>
              <w:jc w:val="center"/>
              <w:textAlignment w:val="baseline"/>
              <w:rPr>
                <w:rFonts w:cs="宋体"/>
                <w:sz w:val="21"/>
                <w:szCs w:val="21"/>
              </w:rPr>
            </w:pPr>
            <w:r>
              <w:rPr>
                <w:rFonts w:hint="eastAsia" w:cs="宋体"/>
                <w:sz w:val="21"/>
                <w:szCs w:val="21"/>
                <w:lang w:val="en-US" w:eastAsia="zh-CN"/>
              </w:rPr>
              <w:t>履约经验19</w:t>
            </w:r>
            <w:r>
              <w:rPr>
                <w:rFonts w:hint="eastAsia" w:cs="宋体"/>
                <w:sz w:val="21"/>
                <w:szCs w:val="21"/>
              </w:rPr>
              <w:t>%</w:t>
            </w:r>
          </w:p>
        </w:tc>
        <w:tc>
          <w:tcPr>
            <w:tcW w:w="440" w:type="pct"/>
            <w:vAlign w:val="center"/>
          </w:tcPr>
          <w:p>
            <w:pPr>
              <w:spacing w:line="360" w:lineRule="exact"/>
              <w:jc w:val="center"/>
              <w:textAlignment w:val="baseline"/>
              <w:rPr>
                <w:rFonts w:hint="eastAsia" w:cs="宋体"/>
                <w:sz w:val="21"/>
                <w:szCs w:val="21"/>
              </w:rPr>
            </w:pPr>
            <w:r>
              <w:rPr>
                <w:rFonts w:hint="eastAsia" w:cs="宋体"/>
                <w:sz w:val="21"/>
                <w:szCs w:val="21"/>
                <w:lang w:val="en-US" w:eastAsia="zh-CN"/>
              </w:rPr>
              <w:t>19</w:t>
            </w:r>
            <w:r>
              <w:rPr>
                <w:rFonts w:hint="eastAsia" w:cs="宋体"/>
                <w:sz w:val="21"/>
                <w:szCs w:val="21"/>
              </w:rPr>
              <w:t>分</w:t>
            </w:r>
          </w:p>
        </w:tc>
        <w:tc>
          <w:tcPr>
            <w:tcW w:w="3032" w:type="pct"/>
            <w:vAlign w:val="center"/>
          </w:tcPr>
          <w:p>
            <w:pPr>
              <w:spacing w:line="360" w:lineRule="exact"/>
              <w:textAlignment w:val="baseline"/>
              <w:rPr>
                <w:rFonts w:hint="eastAsia" w:cs="宋体"/>
                <w:sz w:val="21"/>
                <w:szCs w:val="21"/>
              </w:rPr>
            </w:pPr>
            <w:r>
              <w:rPr>
                <w:rFonts w:hint="eastAsia" w:cs="宋体"/>
                <w:sz w:val="21"/>
                <w:szCs w:val="21"/>
                <w:lang w:val="en-US" w:eastAsia="zh-CN"/>
              </w:rPr>
              <w:t>1.</w:t>
            </w:r>
            <w:r>
              <w:rPr>
                <w:rFonts w:hint="eastAsia" w:cs="宋体"/>
                <w:sz w:val="21"/>
                <w:szCs w:val="21"/>
                <w:lang w:eastAsia="zh-CN"/>
              </w:rPr>
              <w:t>供应商</w:t>
            </w:r>
            <w:r>
              <w:rPr>
                <w:rFonts w:hint="eastAsia" w:cs="宋体"/>
                <w:sz w:val="21"/>
                <w:szCs w:val="21"/>
              </w:rPr>
              <w:t>或者</w:t>
            </w:r>
            <w:r>
              <w:rPr>
                <w:rFonts w:hint="eastAsia" w:cs="宋体"/>
                <w:sz w:val="21"/>
                <w:szCs w:val="21"/>
                <w:lang w:eastAsia="zh-CN"/>
              </w:rPr>
              <w:t>供应商</w:t>
            </w:r>
            <w:r>
              <w:rPr>
                <w:rFonts w:hint="eastAsia" w:cs="宋体"/>
                <w:sz w:val="21"/>
                <w:szCs w:val="21"/>
              </w:rPr>
              <w:t>员工参与</w:t>
            </w:r>
            <w:r>
              <w:rPr>
                <w:rFonts w:hint="eastAsia" w:cs="宋体"/>
                <w:sz w:val="21"/>
                <w:szCs w:val="21"/>
                <w:lang w:val="en-US" w:eastAsia="zh-CN"/>
              </w:rPr>
              <w:t>过</w:t>
            </w:r>
            <w:r>
              <w:rPr>
                <w:rFonts w:hint="eastAsia" w:cs="宋体"/>
                <w:sz w:val="21"/>
                <w:szCs w:val="21"/>
              </w:rPr>
              <w:t>制定国家</w:t>
            </w:r>
            <w:r>
              <w:rPr>
                <w:rFonts w:hint="eastAsia" w:cs="宋体"/>
                <w:sz w:val="21"/>
                <w:szCs w:val="21"/>
                <w:lang w:eastAsia="zh-CN"/>
              </w:rPr>
              <w:t>(</w:t>
            </w:r>
            <w:r>
              <w:rPr>
                <w:rFonts w:hint="eastAsia" w:cs="宋体"/>
                <w:sz w:val="21"/>
                <w:szCs w:val="21"/>
              </w:rPr>
              <w:t>GB、GB/T</w:t>
            </w:r>
            <w:r>
              <w:rPr>
                <w:rFonts w:hint="eastAsia" w:cs="宋体"/>
                <w:sz w:val="21"/>
                <w:szCs w:val="21"/>
                <w:lang w:eastAsia="zh-CN"/>
              </w:rPr>
              <w:t>)</w:t>
            </w:r>
            <w:r>
              <w:rPr>
                <w:rFonts w:hint="eastAsia" w:cs="宋体"/>
                <w:sz w:val="21"/>
                <w:szCs w:val="21"/>
              </w:rPr>
              <w:t>等级保护相关标准的，每参与一项标准得3分，最</w:t>
            </w:r>
            <w:r>
              <w:rPr>
                <w:rFonts w:hint="eastAsia" w:cs="宋体"/>
                <w:sz w:val="21"/>
                <w:szCs w:val="21"/>
                <w:lang w:val="en-US" w:eastAsia="zh-CN"/>
              </w:rPr>
              <w:t>多得</w:t>
            </w:r>
            <w:r>
              <w:rPr>
                <w:rFonts w:hint="eastAsia" w:cs="宋体"/>
                <w:sz w:val="21"/>
                <w:szCs w:val="21"/>
              </w:rPr>
              <w:t>9分。</w:t>
            </w:r>
          </w:p>
          <w:p>
            <w:pPr>
              <w:spacing w:line="360" w:lineRule="exact"/>
              <w:textAlignment w:val="baseline"/>
              <w:rPr>
                <w:rFonts w:hint="eastAsia" w:cs="宋体"/>
                <w:b/>
                <w:bCs/>
                <w:sz w:val="21"/>
                <w:szCs w:val="21"/>
              </w:rPr>
            </w:pPr>
            <w:r>
              <w:rPr>
                <w:rFonts w:hint="eastAsia" w:cs="宋体"/>
                <w:b/>
                <w:bCs/>
                <w:sz w:val="21"/>
                <w:szCs w:val="21"/>
              </w:rPr>
              <w:t>注：如果是</w:t>
            </w:r>
            <w:r>
              <w:rPr>
                <w:rFonts w:hint="eastAsia" w:cs="宋体"/>
                <w:b/>
                <w:bCs/>
                <w:sz w:val="21"/>
                <w:szCs w:val="21"/>
                <w:lang w:eastAsia="zh-CN"/>
              </w:rPr>
              <w:t>供应商</w:t>
            </w:r>
            <w:r>
              <w:rPr>
                <w:rFonts w:hint="eastAsia" w:cs="宋体"/>
                <w:b/>
                <w:bCs/>
                <w:sz w:val="21"/>
                <w:szCs w:val="21"/>
              </w:rPr>
              <w:t>参与编制的请提供网站查询截图，如果是</w:t>
            </w:r>
            <w:r>
              <w:rPr>
                <w:rFonts w:hint="eastAsia" w:cs="宋体"/>
                <w:b/>
                <w:bCs/>
                <w:sz w:val="21"/>
                <w:szCs w:val="21"/>
                <w:lang w:eastAsia="zh-CN"/>
              </w:rPr>
              <w:t>供应商</w:t>
            </w:r>
            <w:r>
              <w:rPr>
                <w:rFonts w:hint="eastAsia" w:cs="宋体"/>
                <w:b/>
                <w:bCs/>
                <w:sz w:val="21"/>
                <w:szCs w:val="21"/>
              </w:rPr>
              <w:t>员工参与编制的请提供相关证明材料及该员工</w:t>
            </w:r>
            <w:r>
              <w:rPr>
                <w:rFonts w:hint="eastAsia" w:cs="宋体"/>
                <w:b/>
                <w:bCs/>
                <w:sz w:val="21"/>
                <w:szCs w:val="21"/>
                <w:lang w:val="en-US" w:eastAsia="zh-CN"/>
              </w:rPr>
              <w:t>在职证明材料</w:t>
            </w:r>
            <w:r>
              <w:rPr>
                <w:rFonts w:hint="eastAsia" w:cs="宋体"/>
                <w:b/>
                <w:bCs/>
                <w:sz w:val="21"/>
                <w:szCs w:val="21"/>
              </w:rPr>
              <w:t>。</w:t>
            </w:r>
          </w:p>
          <w:p>
            <w:pPr>
              <w:spacing w:line="360" w:lineRule="exact"/>
              <w:textAlignment w:val="baseline"/>
              <w:rPr>
                <w:rFonts w:hint="eastAsia" w:cs="宋体"/>
                <w:sz w:val="21"/>
                <w:szCs w:val="21"/>
              </w:rPr>
            </w:pPr>
            <w:r>
              <w:rPr>
                <w:rFonts w:hint="eastAsia" w:cs="宋体"/>
                <w:sz w:val="21"/>
                <w:szCs w:val="21"/>
                <w:lang w:val="en-US" w:eastAsia="zh-CN"/>
              </w:rPr>
              <w:t>2.供应商</w:t>
            </w:r>
            <w:r>
              <w:rPr>
                <w:rFonts w:hint="eastAsia" w:cs="宋体"/>
                <w:sz w:val="21"/>
                <w:szCs w:val="21"/>
              </w:rPr>
              <w:t>自2020年1月1日以来，承担过信息系统安全等级三级</w:t>
            </w:r>
            <w:r>
              <w:rPr>
                <w:rFonts w:hint="eastAsia" w:cs="宋体"/>
                <w:sz w:val="21"/>
                <w:szCs w:val="21"/>
                <w:lang w:eastAsia="zh-CN"/>
              </w:rPr>
              <w:t>(</w:t>
            </w:r>
            <w:r>
              <w:rPr>
                <w:rFonts w:hint="eastAsia" w:cs="宋体"/>
                <w:sz w:val="21"/>
                <w:szCs w:val="21"/>
              </w:rPr>
              <w:t>含三级</w:t>
            </w:r>
            <w:r>
              <w:rPr>
                <w:rFonts w:hint="eastAsia" w:cs="宋体"/>
                <w:sz w:val="21"/>
                <w:szCs w:val="21"/>
                <w:lang w:eastAsia="zh-CN"/>
              </w:rPr>
              <w:t>)</w:t>
            </w:r>
            <w:r>
              <w:rPr>
                <w:rFonts w:hint="eastAsia" w:cs="宋体"/>
                <w:sz w:val="21"/>
                <w:szCs w:val="21"/>
              </w:rPr>
              <w:t>以上测评案例的，</w:t>
            </w:r>
            <w:r>
              <w:rPr>
                <w:rFonts w:hint="eastAsia" w:cs="宋体"/>
                <w:sz w:val="21"/>
                <w:szCs w:val="21"/>
                <w:lang w:val="en-US" w:eastAsia="zh-CN"/>
              </w:rPr>
              <w:t>每提供</w:t>
            </w:r>
            <w:r>
              <w:rPr>
                <w:rFonts w:hint="eastAsia" w:cs="宋体"/>
                <w:sz w:val="21"/>
                <w:szCs w:val="21"/>
              </w:rPr>
              <w:t>1个得2分，</w:t>
            </w:r>
            <w:r>
              <w:rPr>
                <w:rFonts w:hint="eastAsia" w:cs="宋体"/>
                <w:sz w:val="21"/>
                <w:szCs w:val="21"/>
                <w:lang w:val="en-US" w:eastAsia="zh-CN"/>
              </w:rPr>
              <w:t>对多得</w:t>
            </w:r>
            <w:r>
              <w:rPr>
                <w:rFonts w:hint="eastAsia" w:cs="宋体"/>
                <w:sz w:val="21"/>
                <w:szCs w:val="21"/>
              </w:rPr>
              <w:t>10分。</w:t>
            </w:r>
          </w:p>
          <w:p>
            <w:pPr>
              <w:spacing w:line="360" w:lineRule="exact"/>
              <w:textAlignment w:val="baseline"/>
              <w:rPr>
                <w:rFonts w:hint="default" w:cs="宋体"/>
                <w:sz w:val="21"/>
                <w:szCs w:val="21"/>
                <w:lang w:val="en-US" w:eastAsia="zh-CN"/>
              </w:rPr>
            </w:pPr>
            <w:r>
              <w:rPr>
                <w:rFonts w:hint="eastAsia" w:cs="宋体"/>
                <w:b/>
                <w:bCs/>
                <w:sz w:val="21"/>
                <w:szCs w:val="21"/>
              </w:rPr>
              <w:t>注：提供业绩合同复印件,合同扫描件至少提供封面、服务内容和签字盖章页</w:t>
            </w:r>
            <w:r>
              <w:rPr>
                <w:rFonts w:hint="eastAsia" w:cs="宋体"/>
                <w:b/>
                <w:bCs/>
                <w:sz w:val="21"/>
                <w:szCs w:val="21"/>
                <w:lang w:eastAsia="zh-CN"/>
              </w:rPr>
              <w:t>，</w:t>
            </w:r>
            <w:r>
              <w:rPr>
                <w:rFonts w:hint="eastAsia" w:cs="宋体"/>
                <w:b/>
                <w:bCs/>
                <w:sz w:val="21"/>
                <w:szCs w:val="21"/>
                <w:lang w:val="en-US" w:eastAsia="zh-CN"/>
              </w:rPr>
              <w:t>时间以合同签订时间为准</w:t>
            </w:r>
            <w:r>
              <w:rPr>
                <w:rFonts w:hint="eastAsia" w:cs="宋体"/>
                <w:b/>
                <w:bCs/>
                <w:sz w:val="21"/>
                <w:szCs w:val="21"/>
              </w:rPr>
              <w:t>。</w:t>
            </w:r>
          </w:p>
        </w:tc>
        <w:tc>
          <w:tcPr>
            <w:tcW w:w="506" w:type="pct"/>
            <w:vAlign w:val="center"/>
          </w:tcPr>
          <w:p>
            <w:pPr>
              <w:spacing w:line="360" w:lineRule="exact"/>
              <w:jc w:val="center"/>
              <w:textAlignment w:val="baseline"/>
              <w:rPr>
                <w:rFonts w:cs="宋体"/>
                <w:sz w:val="21"/>
                <w:szCs w:val="21"/>
              </w:rPr>
            </w:pPr>
            <w:r>
              <w:rPr>
                <w:rFonts w:hint="eastAsia" w:cs="宋体"/>
                <w:sz w:val="21"/>
                <w:szCs w:val="21"/>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373" w:type="pct"/>
            <w:vAlign w:val="center"/>
          </w:tcPr>
          <w:p>
            <w:pPr>
              <w:spacing w:line="360" w:lineRule="exact"/>
              <w:jc w:val="center"/>
              <w:textAlignment w:val="baseline"/>
              <w:rPr>
                <w:rFonts w:cs="宋体"/>
                <w:sz w:val="21"/>
                <w:szCs w:val="21"/>
              </w:rPr>
            </w:pPr>
            <w:r>
              <w:rPr>
                <w:rFonts w:hint="eastAsia" w:cs="宋体"/>
                <w:sz w:val="21"/>
                <w:szCs w:val="21"/>
              </w:rPr>
              <w:t>五</w:t>
            </w:r>
          </w:p>
        </w:tc>
        <w:tc>
          <w:tcPr>
            <w:tcW w:w="647" w:type="pct"/>
            <w:vAlign w:val="center"/>
          </w:tcPr>
          <w:p>
            <w:pPr>
              <w:spacing w:line="360" w:lineRule="exact"/>
              <w:jc w:val="center"/>
              <w:textAlignment w:val="baseline"/>
              <w:rPr>
                <w:rFonts w:cs="宋体"/>
                <w:sz w:val="21"/>
                <w:szCs w:val="21"/>
              </w:rPr>
            </w:pPr>
            <w:r>
              <w:rPr>
                <w:rFonts w:hint="eastAsia" w:cs="宋体"/>
                <w:sz w:val="21"/>
                <w:szCs w:val="21"/>
                <w:lang w:val="en-US" w:eastAsia="zh-CN"/>
              </w:rPr>
              <w:t>人员资质</w:t>
            </w:r>
          </w:p>
          <w:p>
            <w:pPr>
              <w:spacing w:line="360" w:lineRule="exact"/>
              <w:jc w:val="center"/>
              <w:textAlignment w:val="baseline"/>
              <w:rPr>
                <w:rFonts w:cs="宋体"/>
                <w:sz w:val="21"/>
                <w:szCs w:val="21"/>
              </w:rPr>
            </w:pPr>
            <w:r>
              <w:rPr>
                <w:rFonts w:hint="eastAsia" w:cs="宋体"/>
                <w:sz w:val="21"/>
                <w:szCs w:val="21"/>
                <w:lang w:val="en-US" w:eastAsia="zh-CN"/>
              </w:rPr>
              <w:t>35</w:t>
            </w:r>
            <w:r>
              <w:rPr>
                <w:rFonts w:hint="eastAsia" w:cs="宋体"/>
                <w:sz w:val="21"/>
                <w:szCs w:val="21"/>
              </w:rPr>
              <w:t>%</w:t>
            </w:r>
          </w:p>
        </w:tc>
        <w:tc>
          <w:tcPr>
            <w:tcW w:w="440" w:type="pct"/>
            <w:vAlign w:val="center"/>
          </w:tcPr>
          <w:p>
            <w:pPr>
              <w:spacing w:line="360" w:lineRule="exact"/>
              <w:jc w:val="center"/>
              <w:textAlignment w:val="baseline"/>
              <w:rPr>
                <w:rFonts w:cs="宋体"/>
                <w:sz w:val="21"/>
                <w:szCs w:val="21"/>
              </w:rPr>
            </w:pPr>
            <w:r>
              <w:rPr>
                <w:rFonts w:hint="eastAsia" w:cs="宋体"/>
                <w:sz w:val="21"/>
                <w:szCs w:val="21"/>
                <w:lang w:val="en-US" w:eastAsia="zh-CN"/>
              </w:rPr>
              <w:t>35</w:t>
            </w:r>
            <w:r>
              <w:rPr>
                <w:rFonts w:hint="eastAsia" w:cs="宋体"/>
                <w:sz w:val="21"/>
                <w:szCs w:val="21"/>
              </w:rPr>
              <w:t>分</w:t>
            </w:r>
          </w:p>
        </w:tc>
        <w:tc>
          <w:tcPr>
            <w:tcW w:w="3032" w:type="pct"/>
            <w:vAlign w:val="center"/>
          </w:tcPr>
          <w:p>
            <w:pPr>
              <w:spacing w:line="360" w:lineRule="exact"/>
              <w:textAlignment w:val="baseline"/>
              <w:rPr>
                <w:rFonts w:hint="eastAsia" w:cs="宋体"/>
                <w:sz w:val="21"/>
                <w:szCs w:val="21"/>
              </w:rPr>
            </w:pPr>
            <w:r>
              <w:rPr>
                <w:rFonts w:hint="eastAsia" w:cs="宋体"/>
                <w:sz w:val="21"/>
                <w:szCs w:val="21"/>
                <w:lang w:val="en-US" w:eastAsia="zh-CN"/>
              </w:rPr>
              <w:t>1.</w:t>
            </w:r>
            <w:r>
              <w:rPr>
                <w:rFonts w:hint="eastAsia" w:cs="宋体"/>
                <w:sz w:val="21"/>
                <w:szCs w:val="21"/>
              </w:rPr>
              <w:t>项目经理</w:t>
            </w:r>
            <w:r>
              <w:rPr>
                <w:rFonts w:hint="eastAsia" w:cs="宋体"/>
                <w:sz w:val="21"/>
                <w:szCs w:val="21"/>
                <w:lang w:val="en-US" w:eastAsia="zh-CN"/>
              </w:rPr>
              <w:t>(11分)</w:t>
            </w:r>
            <w:r>
              <w:rPr>
                <w:rFonts w:hint="eastAsia" w:cs="宋体"/>
                <w:sz w:val="21"/>
                <w:szCs w:val="21"/>
              </w:rPr>
              <w:t>：</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rPr>
              <w:t>1</w:t>
            </w:r>
            <w:r>
              <w:rPr>
                <w:rFonts w:hint="eastAsia" w:cs="宋体"/>
                <w:sz w:val="21"/>
                <w:szCs w:val="21"/>
                <w:lang w:eastAsia="zh-CN"/>
              </w:rPr>
              <w:t>)</w:t>
            </w:r>
            <w:r>
              <w:rPr>
                <w:rFonts w:hint="eastAsia" w:cs="宋体"/>
                <w:sz w:val="21"/>
                <w:szCs w:val="21"/>
              </w:rPr>
              <w:t>具备网络安全等级测评师证书</w:t>
            </w:r>
            <w:r>
              <w:rPr>
                <w:rFonts w:hint="eastAsia" w:cs="宋体"/>
                <w:sz w:val="21"/>
                <w:szCs w:val="21"/>
                <w:lang w:eastAsia="zh-CN"/>
              </w:rPr>
              <w:t>(</w:t>
            </w:r>
            <w:r>
              <w:rPr>
                <w:rFonts w:hint="eastAsia" w:cs="宋体"/>
                <w:sz w:val="21"/>
                <w:szCs w:val="21"/>
              </w:rPr>
              <w:t>高级</w:t>
            </w:r>
            <w:r>
              <w:rPr>
                <w:rFonts w:hint="eastAsia" w:cs="宋体"/>
                <w:sz w:val="21"/>
                <w:szCs w:val="21"/>
                <w:lang w:eastAsia="zh-CN"/>
              </w:rPr>
              <w:t>)</w:t>
            </w:r>
            <w:r>
              <w:rPr>
                <w:rFonts w:hint="eastAsia" w:cs="宋体"/>
                <w:sz w:val="21"/>
                <w:szCs w:val="21"/>
              </w:rPr>
              <w:t>或信息安全等级测评师证书</w:t>
            </w:r>
            <w:r>
              <w:rPr>
                <w:rFonts w:hint="eastAsia" w:cs="宋体"/>
                <w:sz w:val="21"/>
                <w:szCs w:val="21"/>
                <w:lang w:eastAsia="zh-CN"/>
              </w:rPr>
              <w:t>(</w:t>
            </w:r>
            <w:r>
              <w:rPr>
                <w:rFonts w:hint="eastAsia" w:cs="宋体"/>
                <w:sz w:val="21"/>
                <w:szCs w:val="21"/>
              </w:rPr>
              <w:t>高级</w:t>
            </w:r>
            <w:r>
              <w:rPr>
                <w:rFonts w:hint="eastAsia" w:cs="宋体"/>
                <w:sz w:val="21"/>
                <w:szCs w:val="21"/>
                <w:lang w:eastAsia="zh-CN"/>
              </w:rPr>
              <w:t>)</w:t>
            </w:r>
            <w:r>
              <w:rPr>
                <w:rFonts w:hint="eastAsia" w:cs="宋体"/>
                <w:sz w:val="21"/>
                <w:szCs w:val="21"/>
              </w:rPr>
              <w:t>的得3分；</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rPr>
              <w:t>2</w:t>
            </w:r>
            <w:r>
              <w:rPr>
                <w:rFonts w:hint="eastAsia" w:cs="宋体"/>
                <w:sz w:val="21"/>
                <w:szCs w:val="21"/>
                <w:lang w:eastAsia="zh-CN"/>
              </w:rPr>
              <w:t>)</w:t>
            </w:r>
            <w:r>
              <w:rPr>
                <w:rFonts w:hint="eastAsia" w:cs="宋体"/>
                <w:sz w:val="21"/>
                <w:szCs w:val="21"/>
              </w:rPr>
              <w:t>具备信息系统项目管理师</w:t>
            </w:r>
            <w:r>
              <w:rPr>
                <w:rFonts w:hint="eastAsia" w:cs="宋体"/>
                <w:sz w:val="21"/>
                <w:szCs w:val="21"/>
                <w:lang w:eastAsia="zh-CN"/>
              </w:rPr>
              <w:t>(</w:t>
            </w:r>
            <w:r>
              <w:rPr>
                <w:rFonts w:hint="eastAsia" w:cs="宋体"/>
                <w:sz w:val="21"/>
                <w:szCs w:val="21"/>
              </w:rPr>
              <w:t>高级</w:t>
            </w:r>
            <w:r>
              <w:rPr>
                <w:rFonts w:hint="eastAsia" w:cs="宋体"/>
                <w:sz w:val="21"/>
                <w:szCs w:val="21"/>
                <w:lang w:eastAsia="zh-CN"/>
              </w:rPr>
              <w:t>)</w:t>
            </w:r>
            <w:r>
              <w:rPr>
                <w:rFonts w:hint="eastAsia" w:cs="宋体"/>
                <w:sz w:val="21"/>
                <w:szCs w:val="21"/>
              </w:rPr>
              <w:t>证书的得2分；</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rPr>
              <w:t>3</w:t>
            </w:r>
            <w:r>
              <w:rPr>
                <w:rFonts w:hint="eastAsia" w:cs="宋体"/>
                <w:sz w:val="21"/>
                <w:szCs w:val="21"/>
                <w:lang w:eastAsia="zh-CN"/>
              </w:rPr>
              <w:t>)</w:t>
            </w:r>
            <w:r>
              <w:rPr>
                <w:rFonts w:hint="eastAsia" w:cs="宋体"/>
                <w:sz w:val="21"/>
                <w:szCs w:val="21"/>
              </w:rPr>
              <w:t>具备注册信息安全专业人员</w:t>
            </w:r>
            <w:r>
              <w:rPr>
                <w:rFonts w:hint="eastAsia" w:cs="宋体"/>
                <w:sz w:val="21"/>
                <w:szCs w:val="21"/>
                <w:lang w:eastAsia="zh-CN"/>
              </w:rPr>
              <w:t>(</w:t>
            </w:r>
            <w:r>
              <w:rPr>
                <w:rFonts w:hint="eastAsia" w:cs="宋体"/>
                <w:sz w:val="21"/>
                <w:szCs w:val="21"/>
              </w:rPr>
              <w:t>CISP</w:t>
            </w:r>
            <w:r>
              <w:rPr>
                <w:rFonts w:hint="eastAsia" w:cs="宋体"/>
                <w:sz w:val="21"/>
                <w:szCs w:val="21"/>
                <w:lang w:eastAsia="zh-CN"/>
              </w:rPr>
              <w:t>)</w:t>
            </w:r>
            <w:r>
              <w:rPr>
                <w:rFonts w:hint="eastAsia" w:cs="宋体"/>
                <w:sz w:val="21"/>
                <w:szCs w:val="21"/>
              </w:rPr>
              <w:t>证书的得2分；</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rPr>
              <w:t>4</w:t>
            </w:r>
            <w:r>
              <w:rPr>
                <w:rFonts w:hint="eastAsia" w:cs="宋体"/>
                <w:sz w:val="21"/>
                <w:szCs w:val="21"/>
                <w:lang w:eastAsia="zh-CN"/>
              </w:rPr>
              <w:t>)</w:t>
            </w:r>
            <w:r>
              <w:rPr>
                <w:rFonts w:hint="eastAsia" w:cs="宋体"/>
                <w:sz w:val="21"/>
                <w:szCs w:val="21"/>
              </w:rPr>
              <w:t>具备信息系统监理师证书的得2分。</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rPr>
              <w:t>5</w:t>
            </w:r>
            <w:r>
              <w:rPr>
                <w:rFonts w:hint="eastAsia" w:cs="宋体"/>
                <w:sz w:val="21"/>
                <w:szCs w:val="21"/>
                <w:lang w:eastAsia="zh-CN"/>
              </w:rPr>
              <w:t>)</w:t>
            </w:r>
            <w:r>
              <w:rPr>
                <w:rFonts w:hint="eastAsia" w:cs="宋体"/>
                <w:sz w:val="21"/>
                <w:szCs w:val="21"/>
              </w:rPr>
              <w:t>具备商用密码应用安全性评估人员测评能力证书的得2分。</w:t>
            </w:r>
          </w:p>
          <w:p>
            <w:pPr>
              <w:spacing w:line="360" w:lineRule="exact"/>
              <w:textAlignment w:val="baseline"/>
              <w:rPr>
                <w:rFonts w:hint="eastAsia" w:cs="宋体"/>
                <w:sz w:val="21"/>
                <w:szCs w:val="21"/>
              </w:rPr>
            </w:pPr>
            <w:r>
              <w:rPr>
                <w:rFonts w:hint="eastAsia" w:cs="宋体"/>
                <w:sz w:val="21"/>
                <w:szCs w:val="21"/>
                <w:lang w:val="en-US" w:eastAsia="zh-CN"/>
              </w:rPr>
              <w:t>2.技术负责人</w:t>
            </w:r>
            <w:r>
              <w:rPr>
                <w:rFonts w:hint="eastAsia" w:cs="宋体"/>
                <w:sz w:val="21"/>
                <w:szCs w:val="21"/>
                <w:lang w:eastAsia="zh-CN"/>
              </w:rPr>
              <w:t>(</w:t>
            </w:r>
            <w:r>
              <w:rPr>
                <w:rFonts w:hint="eastAsia" w:cs="宋体"/>
                <w:sz w:val="21"/>
                <w:szCs w:val="21"/>
              </w:rPr>
              <w:t>6分</w:t>
            </w:r>
            <w:r>
              <w:rPr>
                <w:rFonts w:hint="eastAsia" w:cs="宋体"/>
                <w:sz w:val="21"/>
                <w:szCs w:val="21"/>
                <w:lang w:eastAsia="zh-CN"/>
              </w:rPr>
              <w:t>)</w:t>
            </w:r>
            <w:r>
              <w:rPr>
                <w:rFonts w:hint="eastAsia" w:cs="宋体"/>
                <w:sz w:val="21"/>
                <w:szCs w:val="21"/>
              </w:rPr>
              <w:t>：</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rPr>
              <w:t>1</w:t>
            </w:r>
            <w:r>
              <w:rPr>
                <w:rFonts w:hint="eastAsia" w:cs="宋体"/>
                <w:sz w:val="21"/>
                <w:szCs w:val="21"/>
                <w:lang w:eastAsia="zh-CN"/>
              </w:rPr>
              <w:t>)</w:t>
            </w:r>
            <w:r>
              <w:rPr>
                <w:rFonts w:hint="eastAsia" w:cs="宋体"/>
                <w:sz w:val="21"/>
                <w:szCs w:val="21"/>
              </w:rPr>
              <w:t>具备网络安全等级测评师证书</w:t>
            </w:r>
            <w:r>
              <w:rPr>
                <w:rFonts w:hint="eastAsia" w:cs="宋体"/>
                <w:sz w:val="21"/>
                <w:szCs w:val="21"/>
                <w:lang w:eastAsia="zh-CN"/>
              </w:rPr>
              <w:t>(</w:t>
            </w:r>
            <w:r>
              <w:rPr>
                <w:rFonts w:hint="eastAsia" w:cs="宋体"/>
                <w:sz w:val="21"/>
                <w:szCs w:val="21"/>
              </w:rPr>
              <w:t>高级</w:t>
            </w:r>
            <w:r>
              <w:rPr>
                <w:rFonts w:hint="eastAsia" w:cs="宋体"/>
                <w:sz w:val="21"/>
                <w:szCs w:val="21"/>
                <w:lang w:eastAsia="zh-CN"/>
              </w:rPr>
              <w:t>)</w:t>
            </w:r>
            <w:r>
              <w:rPr>
                <w:rFonts w:hint="eastAsia" w:cs="宋体"/>
                <w:sz w:val="21"/>
                <w:szCs w:val="21"/>
              </w:rPr>
              <w:t>或信息安全等级测评师证书</w:t>
            </w:r>
            <w:r>
              <w:rPr>
                <w:rFonts w:hint="eastAsia" w:cs="宋体"/>
                <w:sz w:val="21"/>
                <w:szCs w:val="21"/>
                <w:lang w:eastAsia="zh-CN"/>
              </w:rPr>
              <w:t>(</w:t>
            </w:r>
            <w:r>
              <w:rPr>
                <w:rFonts w:hint="eastAsia" w:cs="宋体"/>
                <w:sz w:val="21"/>
                <w:szCs w:val="21"/>
              </w:rPr>
              <w:t>高级</w:t>
            </w:r>
            <w:r>
              <w:rPr>
                <w:rFonts w:hint="eastAsia" w:cs="宋体"/>
                <w:sz w:val="21"/>
                <w:szCs w:val="21"/>
                <w:lang w:eastAsia="zh-CN"/>
              </w:rPr>
              <w:t>)</w:t>
            </w:r>
            <w:r>
              <w:rPr>
                <w:rFonts w:hint="eastAsia" w:cs="宋体"/>
                <w:sz w:val="21"/>
                <w:szCs w:val="21"/>
              </w:rPr>
              <w:t>的得2分；</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rPr>
              <w:t>2</w:t>
            </w:r>
            <w:r>
              <w:rPr>
                <w:rFonts w:hint="eastAsia" w:cs="宋体"/>
                <w:sz w:val="21"/>
                <w:szCs w:val="21"/>
                <w:lang w:eastAsia="zh-CN"/>
              </w:rPr>
              <w:t>)</w:t>
            </w:r>
            <w:r>
              <w:rPr>
                <w:rFonts w:hint="eastAsia" w:cs="宋体"/>
                <w:sz w:val="21"/>
                <w:szCs w:val="21"/>
              </w:rPr>
              <w:t>具备商用密码应用安全性评估人员测评能力证书的得2分；</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rPr>
              <w:t>3</w:t>
            </w:r>
            <w:r>
              <w:rPr>
                <w:rFonts w:hint="eastAsia" w:cs="宋体"/>
                <w:sz w:val="21"/>
                <w:szCs w:val="21"/>
                <w:lang w:eastAsia="zh-CN"/>
              </w:rPr>
              <w:t>)</w:t>
            </w:r>
            <w:r>
              <w:rPr>
                <w:rFonts w:hint="eastAsia" w:cs="宋体"/>
                <w:sz w:val="21"/>
                <w:szCs w:val="21"/>
              </w:rPr>
              <w:t>具备由中国信息安全测评中心颁发的注册渗透测试工程师</w:t>
            </w:r>
            <w:r>
              <w:rPr>
                <w:rFonts w:hint="eastAsia" w:cs="宋体"/>
                <w:sz w:val="21"/>
                <w:szCs w:val="21"/>
                <w:lang w:eastAsia="zh-CN"/>
              </w:rPr>
              <w:t>(</w:t>
            </w:r>
            <w:r>
              <w:rPr>
                <w:rFonts w:hint="eastAsia" w:cs="宋体"/>
                <w:sz w:val="21"/>
                <w:szCs w:val="21"/>
              </w:rPr>
              <w:t>CISP-PTE</w:t>
            </w:r>
            <w:r>
              <w:rPr>
                <w:rFonts w:hint="eastAsia" w:cs="宋体"/>
                <w:sz w:val="21"/>
                <w:szCs w:val="21"/>
                <w:lang w:eastAsia="zh-CN"/>
              </w:rPr>
              <w:t>)</w:t>
            </w:r>
            <w:r>
              <w:rPr>
                <w:rFonts w:hint="eastAsia" w:cs="宋体"/>
                <w:sz w:val="21"/>
                <w:szCs w:val="21"/>
              </w:rPr>
              <w:t>证书的得2分。</w:t>
            </w:r>
          </w:p>
          <w:p>
            <w:pPr>
              <w:spacing w:line="360" w:lineRule="exact"/>
              <w:textAlignment w:val="baseline"/>
              <w:rPr>
                <w:rFonts w:hint="eastAsia" w:cs="宋体"/>
                <w:sz w:val="21"/>
                <w:szCs w:val="21"/>
              </w:rPr>
            </w:pPr>
            <w:r>
              <w:rPr>
                <w:rFonts w:hint="eastAsia" w:cs="宋体"/>
                <w:sz w:val="21"/>
                <w:szCs w:val="21"/>
              </w:rPr>
              <w:t>3</w:t>
            </w:r>
            <w:r>
              <w:rPr>
                <w:rFonts w:hint="eastAsia" w:cs="宋体"/>
                <w:sz w:val="21"/>
                <w:szCs w:val="21"/>
                <w:lang w:val="en-US" w:eastAsia="zh-CN"/>
              </w:rPr>
              <w:t>.</w:t>
            </w:r>
            <w:r>
              <w:rPr>
                <w:rFonts w:hint="eastAsia" w:cs="宋体"/>
                <w:sz w:val="21"/>
                <w:szCs w:val="21"/>
              </w:rPr>
              <w:t>其他成员</w:t>
            </w:r>
            <w:r>
              <w:rPr>
                <w:rFonts w:hint="eastAsia" w:cs="宋体"/>
                <w:sz w:val="21"/>
                <w:szCs w:val="21"/>
                <w:lang w:eastAsia="zh-CN"/>
              </w:rPr>
              <w:t>(</w:t>
            </w:r>
            <w:r>
              <w:rPr>
                <w:rFonts w:hint="eastAsia" w:cs="宋体"/>
                <w:sz w:val="21"/>
                <w:szCs w:val="21"/>
                <w:lang w:val="en-US" w:eastAsia="zh-CN"/>
              </w:rPr>
              <w:t>18分</w:t>
            </w:r>
            <w:r>
              <w:rPr>
                <w:rFonts w:hint="eastAsia" w:cs="宋体"/>
                <w:sz w:val="21"/>
                <w:szCs w:val="21"/>
                <w:lang w:eastAsia="zh-CN"/>
              </w:rPr>
              <w:t>)</w:t>
            </w:r>
            <w:r>
              <w:rPr>
                <w:rFonts w:hint="eastAsia" w:cs="宋体"/>
                <w:sz w:val="21"/>
                <w:szCs w:val="21"/>
              </w:rPr>
              <w:t>：</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lang w:val="en-US" w:eastAsia="zh-CN"/>
              </w:rPr>
              <w:t>1</w:t>
            </w:r>
            <w:r>
              <w:rPr>
                <w:rFonts w:hint="eastAsia" w:cs="宋体"/>
                <w:sz w:val="21"/>
                <w:szCs w:val="21"/>
                <w:lang w:eastAsia="zh-CN"/>
              </w:rPr>
              <w:t>)</w:t>
            </w:r>
            <w:r>
              <w:rPr>
                <w:rFonts w:hint="eastAsia" w:cs="宋体"/>
                <w:sz w:val="21"/>
                <w:szCs w:val="21"/>
              </w:rPr>
              <w:t>具备注册信息安全专业人员</w:t>
            </w:r>
            <w:r>
              <w:rPr>
                <w:rFonts w:hint="eastAsia" w:cs="宋体"/>
                <w:sz w:val="21"/>
                <w:szCs w:val="21"/>
                <w:lang w:eastAsia="zh-CN"/>
              </w:rPr>
              <w:t>(</w:t>
            </w:r>
            <w:r>
              <w:rPr>
                <w:rFonts w:hint="eastAsia" w:cs="宋体"/>
                <w:sz w:val="21"/>
                <w:szCs w:val="21"/>
              </w:rPr>
              <w:t>CISP</w:t>
            </w:r>
            <w:r>
              <w:rPr>
                <w:rFonts w:hint="eastAsia" w:cs="宋体"/>
                <w:sz w:val="21"/>
                <w:szCs w:val="21"/>
                <w:lang w:eastAsia="zh-CN"/>
              </w:rPr>
              <w:t>)</w:t>
            </w:r>
            <w:r>
              <w:rPr>
                <w:rFonts w:hint="eastAsia" w:cs="宋体"/>
                <w:sz w:val="21"/>
                <w:szCs w:val="21"/>
              </w:rPr>
              <w:t>证书的，每</w:t>
            </w:r>
            <w:r>
              <w:rPr>
                <w:rFonts w:hint="eastAsia" w:cs="宋体"/>
                <w:sz w:val="21"/>
                <w:szCs w:val="21"/>
                <w:lang w:val="en-US" w:eastAsia="zh-CN"/>
              </w:rPr>
              <w:t>有1人</w:t>
            </w:r>
            <w:r>
              <w:rPr>
                <w:rFonts w:hint="eastAsia" w:cs="宋体"/>
                <w:sz w:val="21"/>
                <w:szCs w:val="21"/>
              </w:rPr>
              <w:t>得2分，</w:t>
            </w:r>
            <w:r>
              <w:rPr>
                <w:rFonts w:hint="eastAsia" w:cs="宋体"/>
                <w:sz w:val="21"/>
                <w:szCs w:val="21"/>
                <w:lang w:val="en-US" w:eastAsia="zh-CN"/>
              </w:rPr>
              <w:t>最多得</w:t>
            </w:r>
            <w:r>
              <w:rPr>
                <w:rFonts w:hint="eastAsia" w:cs="宋体"/>
                <w:sz w:val="21"/>
                <w:szCs w:val="21"/>
              </w:rPr>
              <w:t>6分；</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lang w:val="en-US" w:eastAsia="zh-CN"/>
              </w:rPr>
              <w:t>2</w:t>
            </w:r>
            <w:r>
              <w:rPr>
                <w:rFonts w:hint="eastAsia" w:cs="宋体"/>
                <w:sz w:val="21"/>
                <w:szCs w:val="21"/>
                <w:lang w:eastAsia="zh-CN"/>
              </w:rPr>
              <w:t>)</w:t>
            </w:r>
            <w:r>
              <w:rPr>
                <w:rFonts w:hint="eastAsia" w:cs="宋体"/>
                <w:sz w:val="21"/>
                <w:szCs w:val="21"/>
              </w:rPr>
              <w:t>具备信息安全保障人员认证</w:t>
            </w:r>
            <w:r>
              <w:rPr>
                <w:rFonts w:hint="eastAsia" w:cs="宋体"/>
                <w:sz w:val="21"/>
                <w:szCs w:val="21"/>
                <w:lang w:eastAsia="zh-CN"/>
              </w:rPr>
              <w:t>(</w:t>
            </w:r>
            <w:r>
              <w:rPr>
                <w:rFonts w:hint="eastAsia" w:cs="宋体"/>
                <w:sz w:val="21"/>
                <w:szCs w:val="21"/>
              </w:rPr>
              <w:t>CISAW</w:t>
            </w:r>
            <w:r>
              <w:rPr>
                <w:rFonts w:hint="eastAsia" w:cs="宋体"/>
                <w:sz w:val="21"/>
                <w:szCs w:val="21"/>
                <w:lang w:eastAsia="zh-CN"/>
              </w:rPr>
              <w:t>)</w:t>
            </w:r>
            <w:r>
              <w:rPr>
                <w:rFonts w:hint="eastAsia" w:cs="宋体"/>
                <w:sz w:val="21"/>
                <w:szCs w:val="21"/>
              </w:rPr>
              <w:t>证书的，每</w:t>
            </w:r>
            <w:r>
              <w:rPr>
                <w:rFonts w:hint="eastAsia" w:cs="宋体"/>
                <w:sz w:val="21"/>
                <w:szCs w:val="21"/>
                <w:lang w:val="en-US" w:eastAsia="zh-CN"/>
              </w:rPr>
              <w:t>有1人</w:t>
            </w:r>
            <w:r>
              <w:rPr>
                <w:rFonts w:hint="eastAsia" w:cs="宋体"/>
                <w:sz w:val="21"/>
                <w:szCs w:val="21"/>
              </w:rPr>
              <w:t>得2分，</w:t>
            </w:r>
            <w:r>
              <w:rPr>
                <w:rFonts w:hint="eastAsia" w:cs="宋体"/>
                <w:sz w:val="21"/>
                <w:szCs w:val="21"/>
                <w:lang w:val="en-US" w:eastAsia="zh-CN"/>
              </w:rPr>
              <w:t>最多得</w:t>
            </w:r>
            <w:r>
              <w:rPr>
                <w:rFonts w:hint="eastAsia" w:cs="宋体"/>
                <w:sz w:val="21"/>
                <w:szCs w:val="21"/>
              </w:rPr>
              <w:t>6分；</w:t>
            </w:r>
          </w:p>
          <w:p>
            <w:pPr>
              <w:spacing w:line="360" w:lineRule="exact"/>
              <w:textAlignment w:val="baseline"/>
              <w:rPr>
                <w:rFonts w:hint="eastAsia" w:cs="宋体"/>
                <w:sz w:val="21"/>
                <w:szCs w:val="21"/>
              </w:rPr>
            </w:pPr>
            <w:r>
              <w:rPr>
                <w:rFonts w:hint="eastAsia" w:cs="宋体"/>
                <w:sz w:val="21"/>
                <w:szCs w:val="21"/>
                <w:lang w:eastAsia="zh-CN"/>
              </w:rPr>
              <w:t>(</w:t>
            </w:r>
            <w:r>
              <w:rPr>
                <w:rFonts w:hint="eastAsia" w:cs="宋体"/>
                <w:sz w:val="21"/>
                <w:szCs w:val="21"/>
                <w:lang w:val="en-US" w:eastAsia="zh-CN"/>
              </w:rPr>
              <w:t>3</w:t>
            </w:r>
            <w:r>
              <w:rPr>
                <w:rFonts w:hint="eastAsia" w:cs="宋体"/>
                <w:sz w:val="21"/>
                <w:szCs w:val="21"/>
                <w:lang w:eastAsia="zh-CN"/>
              </w:rPr>
              <w:t>)</w:t>
            </w:r>
            <w:r>
              <w:rPr>
                <w:rFonts w:hint="eastAsia" w:cs="宋体"/>
                <w:sz w:val="21"/>
                <w:szCs w:val="21"/>
              </w:rPr>
              <w:t>具备信息安全等级保护安全建设专业技术人员证书的，每</w:t>
            </w:r>
            <w:r>
              <w:rPr>
                <w:rFonts w:hint="eastAsia" w:cs="宋体"/>
                <w:sz w:val="21"/>
                <w:szCs w:val="21"/>
                <w:lang w:val="en-US" w:eastAsia="zh-CN"/>
              </w:rPr>
              <w:t>有1人</w:t>
            </w:r>
            <w:r>
              <w:rPr>
                <w:rFonts w:hint="eastAsia" w:cs="宋体"/>
                <w:sz w:val="21"/>
                <w:szCs w:val="21"/>
              </w:rPr>
              <w:t>得2分，</w:t>
            </w:r>
            <w:r>
              <w:rPr>
                <w:rFonts w:hint="eastAsia" w:cs="宋体"/>
                <w:sz w:val="21"/>
                <w:szCs w:val="21"/>
                <w:lang w:val="en-US" w:eastAsia="zh-CN"/>
              </w:rPr>
              <w:t>最多得</w:t>
            </w:r>
            <w:r>
              <w:rPr>
                <w:rFonts w:hint="eastAsia" w:cs="宋体"/>
                <w:sz w:val="21"/>
                <w:szCs w:val="21"/>
              </w:rPr>
              <w:t>6分；</w:t>
            </w:r>
          </w:p>
          <w:p>
            <w:pPr>
              <w:spacing w:line="360" w:lineRule="exact"/>
              <w:textAlignment w:val="baseline"/>
              <w:rPr>
                <w:rFonts w:cs="宋体"/>
                <w:sz w:val="21"/>
                <w:szCs w:val="21"/>
              </w:rPr>
            </w:pPr>
            <w:r>
              <w:rPr>
                <w:rFonts w:hint="eastAsia" w:cs="宋体"/>
                <w:b/>
                <w:bCs/>
                <w:sz w:val="21"/>
                <w:szCs w:val="21"/>
              </w:rPr>
              <w:t>注：提供</w:t>
            </w:r>
            <w:r>
              <w:rPr>
                <w:rFonts w:hint="eastAsia" w:cs="宋体"/>
                <w:b/>
                <w:bCs/>
                <w:sz w:val="21"/>
                <w:szCs w:val="21"/>
                <w:lang w:val="en-US" w:eastAsia="zh-CN"/>
              </w:rPr>
              <w:t>人员相关</w:t>
            </w:r>
            <w:r>
              <w:rPr>
                <w:rFonts w:hint="eastAsia" w:cs="宋体"/>
                <w:b/>
                <w:bCs/>
                <w:sz w:val="21"/>
                <w:szCs w:val="21"/>
              </w:rPr>
              <w:t>证书</w:t>
            </w:r>
            <w:r>
              <w:rPr>
                <w:rFonts w:hint="eastAsia" w:cs="宋体"/>
                <w:b/>
                <w:bCs/>
                <w:sz w:val="21"/>
                <w:szCs w:val="21"/>
                <w:lang w:val="en-US" w:eastAsia="zh-CN"/>
              </w:rPr>
              <w:t>复印件</w:t>
            </w:r>
            <w:r>
              <w:rPr>
                <w:rFonts w:hint="eastAsia" w:cs="宋体"/>
                <w:b/>
                <w:bCs/>
                <w:sz w:val="21"/>
                <w:szCs w:val="21"/>
              </w:rPr>
              <w:t>，</w:t>
            </w:r>
            <w:r>
              <w:rPr>
                <w:rFonts w:hint="eastAsia" w:cs="宋体"/>
                <w:b/>
                <w:bCs/>
                <w:sz w:val="21"/>
                <w:szCs w:val="21"/>
                <w:lang w:val="en-US" w:eastAsia="zh-CN"/>
              </w:rPr>
              <w:t>同时</w:t>
            </w:r>
            <w:r>
              <w:rPr>
                <w:rFonts w:hint="eastAsia" w:cs="宋体"/>
                <w:b/>
                <w:bCs/>
                <w:sz w:val="21"/>
                <w:szCs w:val="21"/>
              </w:rPr>
              <w:t>提供</w:t>
            </w:r>
            <w:r>
              <w:rPr>
                <w:rFonts w:hint="eastAsia" w:cs="宋体"/>
                <w:b/>
                <w:bCs/>
                <w:sz w:val="21"/>
                <w:szCs w:val="21"/>
                <w:lang w:val="en-US" w:eastAsia="zh-CN"/>
              </w:rPr>
              <w:t>在职证明材料，</w:t>
            </w:r>
            <w:r>
              <w:rPr>
                <w:rFonts w:hint="eastAsia" w:cs="宋体"/>
                <w:b/>
                <w:bCs/>
                <w:sz w:val="21"/>
                <w:szCs w:val="21"/>
              </w:rPr>
              <w:t>同一人具有上述多个有效证书的可累计得分。</w:t>
            </w:r>
          </w:p>
        </w:tc>
        <w:tc>
          <w:tcPr>
            <w:tcW w:w="506" w:type="pct"/>
            <w:vAlign w:val="center"/>
          </w:tcPr>
          <w:p>
            <w:pPr>
              <w:spacing w:line="360" w:lineRule="exact"/>
              <w:jc w:val="center"/>
              <w:textAlignment w:val="baseline"/>
              <w:rPr>
                <w:rFonts w:cs="宋体"/>
                <w:sz w:val="21"/>
                <w:szCs w:val="21"/>
              </w:rPr>
            </w:pPr>
          </w:p>
          <w:p>
            <w:pPr>
              <w:pStyle w:val="11"/>
              <w:spacing w:after="0" w:line="360" w:lineRule="exact"/>
              <w:jc w:val="center"/>
              <w:rPr>
                <w:rFonts w:ascii="宋体" w:cs="宋体"/>
                <w:sz w:val="21"/>
                <w:szCs w:val="21"/>
              </w:rPr>
            </w:pPr>
            <w:r>
              <w:rPr>
                <w:rFonts w:hint="eastAsia" w:ascii="宋体" w:cs="宋体"/>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vAlign w:val="center"/>
          </w:tcPr>
          <w:p>
            <w:pPr>
              <w:spacing w:line="360" w:lineRule="exact"/>
              <w:textAlignment w:val="baseline"/>
              <w:rPr>
                <w:rFonts w:cs="宋体"/>
                <w:sz w:val="21"/>
                <w:szCs w:val="21"/>
              </w:rPr>
            </w:pPr>
            <w:r>
              <w:rPr>
                <w:rFonts w:hint="eastAsia" w:cs="宋体"/>
                <w:sz w:val="21"/>
                <w:szCs w:val="21"/>
              </w:rPr>
              <w:t>注：①评分的取值按四舍五入法，小数点后保留两位。②本表中要求提供各类证明材料，均需加盖供应商单位公章，否则将不认可该项材料的有效性。</w:t>
            </w:r>
          </w:p>
        </w:tc>
      </w:tr>
    </w:tbl>
    <w:p>
      <w:pPr>
        <w:pStyle w:val="49"/>
        <w:spacing w:line="520" w:lineRule="exact"/>
        <w:ind w:firstLine="482"/>
      </w:pPr>
      <w:bookmarkStart w:id="526" w:name="_Toc11411"/>
      <w:bookmarkStart w:id="527" w:name="_Toc10215"/>
      <w:bookmarkStart w:id="528" w:name="_Toc26569"/>
      <w:r>
        <w:rPr>
          <w:rFonts w:hint="eastAsia"/>
        </w:rPr>
        <w:t>复核</w:t>
      </w:r>
      <w:bookmarkEnd w:id="524"/>
      <w:bookmarkEnd w:id="525"/>
      <w:bookmarkEnd w:id="526"/>
      <w:bookmarkEnd w:id="527"/>
      <w:bookmarkEnd w:id="528"/>
    </w:p>
    <w:p>
      <w:pPr>
        <w:pStyle w:val="63"/>
        <w:spacing w:line="520" w:lineRule="exact"/>
        <w:ind w:firstLine="480"/>
      </w:pPr>
      <w:r>
        <w:rPr>
          <w:rFonts w:hint="eastAsia"/>
        </w:rPr>
        <w:t>评审结果汇总完成后，评审委员会拟出具评审报告前，采购组织单位应当组织2名以上的本单位工作人员，在采购现场监督人员的监督之下，依据有关的法律制度和磋商文件对评审结果进行复核，出具复核报告。存在下列情形之一的，应当根据情况要求磋商小组现场修改磋商结果或者重新评审：</w:t>
      </w:r>
    </w:p>
    <w:p>
      <w:pPr>
        <w:pStyle w:val="64"/>
        <w:spacing w:line="520" w:lineRule="exact"/>
        <w:ind w:firstLine="480"/>
      </w:pPr>
      <w:r>
        <w:rPr>
          <w:rFonts w:hint="eastAsia"/>
        </w:rPr>
        <w:t>资格性审查认定错误的；</w:t>
      </w:r>
    </w:p>
    <w:p>
      <w:pPr>
        <w:pStyle w:val="64"/>
        <w:spacing w:line="520" w:lineRule="exact"/>
        <w:ind w:firstLine="480"/>
      </w:pPr>
      <w:r>
        <w:rPr>
          <w:rFonts w:hint="eastAsia"/>
        </w:rPr>
        <w:t>分值汇总计算错误的；</w:t>
      </w:r>
    </w:p>
    <w:p>
      <w:pPr>
        <w:pStyle w:val="64"/>
        <w:spacing w:line="520" w:lineRule="exact"/>
        <w:ind w:firstLine="480"/>
      </w:pPr>
      <w:r>
        <w:rPr>
          <w:rFonts w:hint="eastAsia"/>
        </w:rPr>
        <w:t>分项评分超出评分标准范围的；</w:t>
      </w:r>
    </w:p>
    <w:p>
      <w:pPr>
        <w:pStyle w:val="64"/>
        <w:spacing w:line="520" w:lineRule="exact"/>
        <w:ind w:firstLine="480"/>
      </w:pPr>
      <w:r>
        <w:rPr>
          <w:rFonts w:hint="eastAsia"/>
        </w:rPr>
        <w:t>客观评分不一致的；</w:t>
      </w:r>
    </w:p>
    <w:p>
      <w:pPr>
        <w:pStyle w:val="64"/>
        <w:spacing w:line="520" w:lineRule="exact"/>
        <w:ind w:firstLine="480"/>
      </w:pPr>
      <w:r>
        <w:rPr>
          <w:rFonts w:hint="eastAsia"/>
        </w:rPr>
        <w:t>经磋商小组一致认定评分畸高、畸低的。</w:t>
      </w:r>
    </w:p>
    <w:p>
      <w:pPr>
        <w:pStyle w:val="63"/>
        <w:spacing w:line="520" w:lineRule="exact"/>
        <w:ind w:firstLine="480"/>
      </w:pPr>
      <w:r>
        <w:rPr>
          <w:rFonts w:hint="eastAsia"/>
        </w:rPr>
        <w:t>采购代理机构复核过程中，磋商小组不得离开评审现场。</w:t>
      </w:r>
    </w:p>
    <w:p>
      <w:pPr>
        <w:pStyle w:val="63"/>
        <w:spacing w:line="520" w:lineRule="exact"/>
        <w:ind w:firstLine="480"/>
      </w:pPr>
      <w:r>
        <w:rPr>
          <w:rFonts w:hint="eastAsia"/>
        </w:rPr>
        <w:t>存在本条上述规定情形的，由磋商小组自主决定是否采纳采购代理机构的书面建议，并承担独立评审责任。磋商小组采纳采购代理机构书面建议的，应当按照规定现场修改磋商结果或者重新评审，并在评审报告中详细记载有关事宜；不采纳采购代理机构书面建议的，应当书面说明理由。采购代理机构书面建议未被磋商小组采纳的，应当按照规定程序要求继续组织实施采购活动，不得擅自中止采购活动。</w:t>
      </w:r>
    </w:p>
    <w:p>
      <w:pPr>
        <w:pStyle w:val="63"/>
        <w:spacing w:line="520" w:lineRule="exact"/>
        <w:ind w:firstLine="480"/>
      </w:pPr>
      <w:r>
        <w:rPr>
          <w:rFonts w:hint="eastAsia"/>
        </w:rPr>
        <w:t>有下列情形之一的，不得修改磋商结果或者重新评审：</w:t>
      </w:r>
    </w:p>
    <w:p>
      <w:pPr>
        <w:pStyle w:val="64"/>
        <w:spacing w:line="520" w:lineRule="exact"/>
        <w:ind w:firstLine="480"/>
      </w:pPr>
      <w:r>
        <w:rPr>
          <w:rFonts w:hint="eastAsia"/>
        </w:rPr>
        <w:t>磋商小组已经出具评审报告并且离开评审现场的；</w:t>
      </w:r>
    </w:p>
    <w:p>
      <w:pPr>
        <w:pStyle w:val="64"/>
        <w:spacing w:line="520" w:lineRule="exact"/>
        <w:ind w:firstLine="480"/>
      </w:pPr>
      <w:r>
        <w:rPr>
          <w:rFonts w:hint="eastAsia"/>
        </w:rPr>
        <w:t>采购代理机构现场复核时，复核工作人员数量不足的；</w:t>
      </w:r>
    </w:p>
    <w:p>
      <w:pPr>
        <w:pStyle w:val="64"/>
        <w:spacing w:line="520" w:lineRule="exact"/>
        <w:ind w:firstLine="480"/>
      </w:pPr>
      <w:r>
        <w:rPr>
          <w:rFonts w:hint="eastAsia"/>
        </w:rPr>
        <w:t>采购代理机构现场复核时，没有采购监督人员现场监督的；</w:t>
      </w:r>
    </w:p>
    <w:p>
      <w:pPr>
        <w:pStyle w:val="64"/>
        <w:spacing w:line="520" w:lineRule="exact"/>
        <w:ind w:firstLine="480"/>
      </w:pPr>
      <w:r>
        <w:rPr>
          <w:rFonts w:hint="eastAsia"/>
        </w:rPr>
        <w:t>采购代理机构现场复核内容超出规定范围的；</w:t>
      </w:r>
    </w:p>
    <w:p>
      <w:pPr>
        <w:pStyle w:val="64"/>
        <w:spacing w:line="520" w:lineRule="exact"/>
        <w:ind w:firstLine="480"/>
      </w:pPr>
      <w:r>
        <w:rPr>
          <w:rFonts w:hint="eastAsia"/>
        </w:rPr>
        <w:t>采购代理机构未提供书面建议的。</w:t>
      </w:r>
    </w:p>
    <w:p>
      <w:pPr>
        <w:pStyle w:val="49"/>
        <w:spacing w:line="520" w:lineRule="exact"/>
        <w:ind w:firstLine="482"/>
      </w:pPr>
      <w:bookmarkStart w:id="529" w:name="_Toc1400"/>
      <w:bookmarkStart w:id="530" w:name="_Toc6026"/>
      <w:bookmarkStart w:id="531" w:name="_Toc4617"/>
      <w:bookmarkStart w:id="532" w:name="_Toc8064"/>
      <w:bookmarkStart w:id="533" w:name="_Toc21500"/>
      <w:r>
        <w:rPr>
          <w:rFonts w:hint="eastAsia"/>
        </w:rPr>
        <w:t>评审报告</w:t>
      </w:r>
      <w:bookmarkEnd w:id="529"/>
      <w:bookmarkEnd w:id="530"/>
      <w:bookmarkEnd w:id="531"/>
      <w:bookmarkEnd w:id="532"/>
      <w:bookmarkEnd w:id="533"/>
    </w:p>
    <w:p>
      <w:pPr>
        <w:pStyle w:val="63"/>
        <w:spacing w:line="520" w:lineRule="exact"/>
        <w:ind w:firstLine="480"/>
      </w:pPr>
      <w:r>
        <w:rPr>
          <w:rFonts w:hint="eastAsia"/>
        </w:rPr>
        <w:t>磋商小组应当根据综合评分情况，按照评审得分由高到低顺序推荐3名以上成交候选供应商，并编写评审报告。市场竞争不充分的科研项目、需要扶持的科技成果转化项目以及政府购买服务项目，可以推荐2家成交候选供应商。评审得分相同的，按照最后报价由低到高的顺序推荐成交候选供应商。评审得分且最后报价相同的，按照技术指标优劣顺序推荐成交候选供应商。评审得分且最后报价相同的，按照技术指标优劣顺序得分均相同，且企业性质相同的并列，由采购人自主采取公平、择优的方式选择成交候选供应商。</w:t>
      </w:r>
    </w:p>
    <w:p>
      <w:pPr>
        <w:pStyle w:val="63"/>
        <w:spacing w:line="520" w:lineRule="exact"/>
        <w:ind w:firstLine="480"/>
      </w:pPr>
      <w:r>
        <w:rPr>
          <w:rFonts w:hint="eastAsia"/>
        </w:rPr>
        <w:t>出具评审报告。评审委员会推荐成交候选供应商后，应当向采购组织单位出具评审报告。评审报告应当包括下列内容：</w:t>
      </w:r>
    </w:p>
    <w:p>
      <w:pPr>
        <w:pStyle w:val="64"/>
        <w:spacing w:line="520" w:lineRule="exact"/>
        <w:ind w:firstLine="480"/>
      </w:pPr>
      <w:r>
        <w:rPr>
          <w:rFonts w:hint="eastAsia"/>
        </w:rPr>
        <w:t>邀请供应商参加采购活动的具体方式和相关情况、以及参加采购活动的供应商名单；</w:t>
      </w:r>
    </w:p>
    <w:p>
      <w:pPr>
        <w:pStyle w:val="64"/>
        <w:spacing w:line="520" w:lineRule="exact"/>
        <w:ind w:firstLine="480"/>
      </w:pPr>
      <w:r>
        <w:rPr>
          <w:rFonts w:hint="eastAsia"/>
        </w:rPr>
        <w:t>响应文件开启日期和地点；</w:t>
      </w:r>
    </w:p>
    <w:p>
      <w:pPr>
        <w:pStyle w:val="64"/>
        <w:spacing w:line="520" w:lineRule="exact"/>
        <w:ind w:firstLine="480"/>
      </w:pPr>
      <w:r>
        <w:rPr>
          <w:rFonts w:hint="eastAsia"/>
        </w:rPr>
        <w:t>获取磋商文件的供应商名单和磋商小组成员名单；</w:t>
      </w:r>
    </w:p>
    <w:p>
      <w:pPr>
        <w:pStyle w:val="64"/>
        <w:spacing w:line="520" w:lineRule="exact"/>
        <w:ind w:firstLine="480"/>
      </w:pPr>
      <w:r>
        <w:rPr>
          <w:rFonts w:hint="eastAsia"/>
        </w:rPr>
        <w:t>参加报价的供应商名单及报价情况和未参加报价的供应商名单及原因；</w:t>
      </w:r>
    </w:p>
    <w:p>
      <w:pPr>
        <w:pStyle w:val="64"/>
        <w:spacing w:line="520" w:lineRule="exact"/>
        <w:ind w:firstLine="480"/>
      </w:pPr>
      <w:r>
        <w:rPr>
          <w:rFonts w:hint="eastAsia"/>
        </w:rPr>
        <w:t>磋商文件规定的采购项目实质性要求及变动磋商文件实质性内容的有关资料及记录；</w:t>
      </w:r>
    </w:p>
    <w:p>
      <w:pPr>
        <w:pStyle w:val="64"/>
        <w:spacing w:line="520" w:lineRule="exact"/>
        <w:ind w:firstLine="480"/>
      </w:pPr>
      <w:r>
        <w:rPr>
          <w:rFonts w:hint="eastAsia"/>
        </w:rPr>
        <w:t>供应商响应文件响应磋商文件实质性要求情况及供应商变动响应文件有关资料及记录；</w:t>
      </w:r>
    </w:p>
    <w:p>
      <w:pPr>
        <w:pStyle w:val="64"/>
        <w:spacing w:line="520" w:lineRule="exact"/>
        <w:ind w:firstLine="480"/>
      </w:pPr>
      <w:r>
        <w:rPr>
          <w:rFonts w:hint="eastAsia"/>
        </w:rPr>
        <w:t>评审情况记录和说明，包括对供应商的资格审查情况、供应商响应文件评审情况、磋商情况、报价情况等；</w:t>
      </w:r>
    </w:p>
    <w:p>
      <w:pPr>
        <w:pStyle w:val="64"/>
        <w:spacing w:line="520" w:lineRule="exact"/>
        <w:ind w:firstLine="480"/>
      </w:pPr>
      <w:r>
        <w:rPr>
          <w:rFonts w:hint="eastAsia"/>
        </w:rPr>
        <w:t>提出的成交候选供应商的排序名单及理由。</w:t>
      </w:r>
    </w:p>
    <w:p>
      <w:pPr>
        <w:pStyle w:val="63"/>
        <w:spacing w:line="520" w:lineRule="exact"/>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63"/>
        <w:spacing w:line="520" w:lineRule="exact"/>
        <w:ind w:firstLine="480"/>
      </w:pPr>
      <w:r>
        <w:rPr>
          <w:rFonts w:hint="eastAsia"/>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43"/>
      </w:pPr>
    </w:p>
    <w:p>
      <w:pPr>
        <w:pStyle w:val="48"/>
        <w:numPr>
          <w:ilvl w:val="0"/>
          <w:numId w:val="24"/>
        </w:numPr>
        <w:spacing w:before="120" w:after="120"/>
      </w:pPr>
      <w:r>
        <w:rPr>
          <w:rFonts w:hint="eastAsia"/>
        </w:rPr>
        <w:br w:type="page"/>
      </w:r>
      <w:bookmarkEnd w:id="478"/>
      <w:bookmarkStart w:id="534" w:name="_Toc7547"/>
      <w:bookmarkStart w:id="535" w:name="_Toc229"/>
      <w:bookmarkStart w:id="536" w:name="_Toc18908"/>
      <w:bookmarkStart w:id="537" w:name="_Toc13264"/>
      <w:bookmarkStart w:id="538" w:name="_Toc4771"/>
      <w:bookmarkStart w:id="539" w:name="_Toc29012"/>
      <w:r>
        <w:rPr>
          <w:rFonts w:hint="eastAsia"/>
        </w:rPr>
        <w:t>采购合同</w:t>
      </w:r>
      <w:bookmarkEnd w:id="534"/>
      <w:bookmarkEnd w:id="535"/>
      <w:bookmarkEnd w:id="536"/>
      <w:bookmarkEnd w:id="537"/>
      <w:bookmarkEnd w:id="538"/>
      <w:bookmarkEnd w:id="539"/>
    </w:p>
    <w:p>
      <w:pPr>
        <w:pStyle w:val="43"/>
        <w:spacing w:line="520" w:lineRule="exact"/>
        <w:ind w:firstLine="480" w:firstLineChars="200"/>
        <w:rPr>
          <w:rFonts w:cs="宋体"/>
          <w:snapToGrid/>
        </w:rPr>
      </w:pPr>
      <w:r>
        <w:rPr>
          <w:rFonts w:hint="eastAsia" w:cs="宋体"/>
          <w:snapToGrid/>
        </w:rPr>
        <w:t>合同编号：</w:t>
      </w:r>
    </w:p>
    <w:p>
      <w:pPr>
        <w:pStyle w:val="43"/>
        <w:spacing w:line="520" w:lineRule="exact"/>
        <w:ind w:firstLine="480" w:firstLineChars="200"/>
        <w:rPr>
          <w:rFonts w:cs="宋体"/>
          <w:snapToGrid/>
        </w:rPr>
      </w:pPr>
      <w:r>
        <w:rPr>
          <w:rFonts w:hint="eastAsia" w:cs="宋体"/>
          <w:snapToGrid/>
        </w:rPr>
        <w:t>签订地点：成都市郫都区红光街道港通北三路1899号</w:t>
      </w:r>
    </w:p>
    <w:p>
      <w:pPr>
        <w:pStyle w:val="43"/>
        <w:spacing w:line="520" w:lineRule="exact"/>
        <w:ind w:firstLine="480" w:firstLineChars="200"/>
        <w:rPr>
          <w:rFonts w:cs="宋体"/>
          <w:snapToGrid/>
        </w:rPr>
      </w:pPr>
      <w:r>
        <w:rPr>
          <w:rFonts w:hint="eastAsia" w:cs="宋体"/>
          <w:snapToGrid/>
        </w:rPr>
        <w:t>签订时间：</w:t>
      </w:r>
    </w:p>
    <w:p>
      <w:pPr>
        <w:pStyle w:val="43"/>
        <w:spacing w:line="520" w:lineRule="exact"/>
        <w:ind w:firstLine="480" w:firstLineChars="200"/>
        <w:rPr>
          <w:rFonts w:hint="eastAsia" w:eastAsia="宋体" w:cs="宋体"/>
          <w:snapToGrid/>
          <w:lang w:eastAsia="zh-CN"/>
        </w:rPr>
      </w:pPr>
      <w:r>
        <w:rPr>
          <w:rFonts w:hint="eastAsia" w:cs="宋体"/>
          <w:snapToGrid/>
        </w:rPr>
        <w:t>甲方(采购人)：</w:t>
      </w:r>
      <w:r>
        <w:rPr>
          <w:rFonts w:hint="eastAsia" w:cs="宋体"/>
          <w:snapToGrid/>
          <w:lang w:eastAsia="zh-CN"/>
        </w:rPr>
        <w:t>成都市技师学院</w:t>
      </w:r>
    </w:p>
    <w:p>
      <w:pPr>
        <w:pStyle w:val="43"/>
        <w:spacing w:line="520" w:lineRule="exact"/>
        <w:ind w:firstLine="480" w:firstLineChars="200"/>
        <w:rPr>
          <w:rFonts w:cs="宋体"/>
          <w:snapToGrid/>
        </w:rPr>
      </w:pPr>
      <w:r>
        <w:rPr>
          <w:rFonts w:hint="eastAsia" w:cs="宋体"/>
          <w:snapToGrid/>
        </w:rPr>
        <w:t xml:space="preserve">乙方(供应商)：    </w:t>
      </w:r>
    </w:p>
    <w:p>
      <w:pPr>
        <w:spacing w:line="520" w:lineRule="exact"/>
        <w:ind w:firstLine="480" w:firstLineChars="200"/>
        <w:rPr>
          <w:rFonts w:cs="宋体"/>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根据《中华人民共和国民法典》及成都市技师学院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rPr>
        <w:t>私有云平台及</w:t>
      </w:r>
      <w:r>
        <w:rPr>
          <w:rFonts w:hint="eastAsia" w:ascii="宋体" w:hAnsi="宋体" w:eastAsia="宋体" w:cs="宋体"/>
          <w:bCs/>
          <w:sz w:val="24"/>
          <w:szCs w:val="24"/>
          <w:lang w:eastAsia="zh-CN"/>
        </w:rPr>
        <w:t>网站群</w:t>
      </w:r>
      <w:r>
        <w:rPr>
          <w:rFonts w:hint="eastAsia" w:ascii="宋体" w:hAnsi="宋体" w:eastAsia="宋体" w:cs="宋体"/>
          <w:bCs/>
          <w:sz w:val="24"/>
          <w:szCs w:val="24"/>
        </w:rPr>
        <w:t>等保测评采购项目</w:t>
      </w:r>
      <w:r>
        <w:rPr>
          <w:rFonts w:hint="eastAsia" w:cs="宋体"/>
          <w:bCs/>
          <w:sz w:val="24"/>
          <w:szCs w:val="24"/>
          <w:lang w:eastAsia="zh-CN"/>
        </w:rPr>
        <w:t>(</w:t>
      </w:r>
      <w:r>
        <w:rPr>
          <w:rFonts w:hint="eastAsia" w:ascii="宋体" w:hAnsi="宋体" w:eastAsia="宋体" w:cs="宋体"/>
          <w:bCs/>
          <w:sz w:val="24"/>
          <w:szCs w:val="24"/>
        </w:rPr>
        <w:t>项目编号：XXX</w:t>
      </w:r>
      <w:r>
        <w:rPr>
          <w:rFonts w:hint="eastAsia" w:cs="宋体"/>
          <w:bCs/>
          <w:sz w:val="24"/>
          <w:szCs w:val="24"/>
          <w:lang w:eastAsia="zh-CN"/>
        </w:rPr>
        <w:t>)</w:t>
      </w:r>
      <w:r>
        <w:rPr>
          <w:rFonts w:hint="eastAsia" w:ascii="宋体" w:hAnsi="宋体" w:eastAsia="宋体" w:cs="宋体"/>
          <w:bCs/>
          <w:sz w:val="24"/>
          <w:szCs w:val="24"/>
        </w:rPr>
        <w:t>的采购文件、乙方的响应文件及成交通知书，甲、乙双方同意签订本合同，共同遵守如下条款：</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本项目为成都市技师学院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rPr>
        <w:t>私有云平台及</w:t>
      </w:r>
      <w:r>
        <w:rPr>
          <w:rFonts w:hint="eastAsia" w:ascii="宋体" w:hAnsi="宋体" w:eastAsia="宋体" w:cs="宋体"/>
          <w:bCs/>
          <w:sz w:val="24"/>
          <w:szCs w:val="24"/>
          <w:lang w:eastAsia="zh-CN"/>
        </w:rPr>
        <w:t>网站群</w:t>
      </w:r>
      <w:r>
        <w:rPr>
          <w:rFonts w:hint="eastAsia" w:ascii="宋体" w:hAnsi="宋体" w:eastAsia="宋体" w:cs="宋体"/>
          <w:bCs/>
          <w:sz w:val="24"/>
          <w:szCs w:val="24"/>
        </w:rPr>
        <w:t>等保测评，拟采购一名</w:t>
      </w:r>
      <w:r>
        <w:rPr>
          <w:rFonts w:hint="eastAsia" w:ascii="宋体" w:hAnsi="宋体" w:eastAsia="宋体" w:cs="宋体"/>
          <w:bCs/>
          <w:sz w:val="24"/>
          <w:szCs w:val="24"/>
          <w:lang w:eastAsia="zh-CN"/>
        </w:rPr>
        <w:t>乙方</w:t>
      </w:r>
      <w:r>
        <w:rPr>
          <w:rFonts w:hint="eastAsia" w:ascii="宋体" w:hAnsi="宋体" w:eastAsia="宋体" w:cs="宋体"/>
          <w:bCs/>
          <w:sz w:val="24"/>
          <w:szCs w:val="24"/>
        </w:rPr>
        <w:t>为学校提供等保测评服务，测评内容为成都市技师学院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rPr>
        <w:t>私有云平台、成都市技师学院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lang w:eastAsia="zh-CN"/>
        </w:rPr>
        <w:t>网站群</w:t>
      </w:r>
      <w:r>
        <w:rPr>
          <w:rFonts w:hint="eastAsia" w:ascii="宋体" w:hAnsi="宋体" w:eastAsia="宋体" w:cs="宋体"/>
          <w:bCs/>
          <w:sz w:val="24"/>
          <w:szCs w:val="24"/>
        </w:rPr>
        <w:t>，成都市技师学院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rPr>
        <w:t>私有云平台部署在成都市技师学院数据中心机房，成都市技师学院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lang w:eastAsia="zh-CN"/>
        </w:rPr>
        <w:t>网站群</w:t>
      </w:r>
      <w:r>
        <w:rPr>
          <w:rFonts w:hint="eastAsia" w:ascii="宋体" w:hAnsi="宋体" w:eastAsia="宋体" w:cs="宋体"/>
          <w:bCs/>
          <w:sz w:val="24"/>
          <w:szCs w:val="24"/>
        </w:rPr>
        <w:t>部署在移动公有云服务器上。</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二、服务内容及要求</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998"/>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序号</w:t>
            </w:r>
          </w:p>
        </w:tc>
        <w:tc>
          <w:tcPr>
            <w:tcW w:w="10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标的名称</w:t>
            </w:r>
          </w:p>
        </w:tc>
        <w:tc>
          <w:tcPr>
            <w:tcW w:w="3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10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私有云平台三级等保测评服务</w:t>
            </w:r>
          </w:p>
        </w:tc>
        <w:tc>
          <w:tcPr>
            <w:tcW w:w="3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cs="宋体"/>
                <w:bCs/>
                <w:sz w:val="21"/>
                <w:szCs w:val="21"/>
                <w:lang w:eastAsia="zh-CN"/>
              </w:rPr>
              <w:t>(</w:t>
            </w:r>
            <w:r>
              <w:rPr>
                <w:rFonts w:hint="eastAsia" w:ascii="宋体" w:hAnsi="宋体" w:eastAsia="宋体" w:cs="宋体"/>
                <w:bCs/>
                <w:sz w:val="21"/>
                <w:szCs w:val="21"/>
              </w:rPr>
              <w:t>一</w:t>
            </w:r>
            <w:r>
              <w:rPr>
                <w:rFonts w:hint="eastAsia" w:cs="宋体"/>
                <w:bCs/>
                <w:sz w:val="21"/>
                <w:szCs w:val="21"/>
                <w:lang w:eastAsia="zh-CN"/>
              </w:rPr>
              <w:t>)</w:t>
            </w:r>
            <w:r>
              <w:rPr>
                <w:rFonts w:hint="eastAsia" w:ascii="宋体" w:hAnsi="宋体" w:eastAsia="宋体" w:cs="宋体"/>
                <w:bCs/>
                <w:sz w:val="21"/>
                <w:szCs w:val="21"/>
              </w:rPr>
              <w:t>测评服务</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1.安全技术测评：包括安全物理环境、安全通信网络、安全区域边界、安全计算环境等方面的安全测评。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2.安全管理测评：包括安全管理制度、安全管理机构、安全管理人员、安全建设管理和安全运维管理等方面的安全测评。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3.漏洞扫描：针对网络设备，服务器，应用等进行漏洞扫描出具漏洞扫描报告。</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4.形成差距分析报告：依据测评结果和《信息系统安全等级保护基本要求》，要求从信息系统是否具备标准所要求的安全保护设施、安全设施的策略是否达到标准的要求、安全策略是否达到保护的效果三个方面开展差距测评工作。全面的从物理安全、网络安全、主机安全、应用安全、数据安全、安全管理中的所有指标逐项对信息系统中相关的资产进行检查。对各信息系统进行安全现状分析，形成相应的差距分析报告。</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5.依据《信息系统安全等级保护基本要求》和《信息系统等级保护安全设计技术要求》，协助</w:t>
            </w:r>
            <w:r>
              <w:rPr>
                <w:rFonts w:hint="eastAsia" w:ascii="宋体" w:hAnsi="宋体" w:eastAsia="宋体" w:cs="宋体"/>
                <w:bCs/>
                <w:sz w:val="21"/>
                <w:szCs w:val="21"/>
                <w:lang w:eastAsia="zh-CN"/>
              </w:rPr>
              <w:t>甲方</w:t>
            </w:r>
            <w:r>
              <w:rPr>
                <w:rFonts w:hint="eastAsia" w:ascii="宋体" w:hAnsi="宋体" w:eastAsia="宋体" w:cs="宋体"/>
                <w:bCs/>
                <w:sz w:val="21"/>
                <w:szCs w:val="21"/>
              </w:rPr>
              <w:t>制订和完善各项信息安全管理制度，规范信息安全日常管理工作，提高信息安全基础管理水平。</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6.完成上述测评工作和实施整改后，最后出具符合公安机关要求的</w:t>
            </w:r>
            <w:r>
              <w:rPr>
                <w:rFonts w:hint="eastAsia" w:cs="宋体"/>
                <w:bCs/>
                <w:sz w:val="21"/>
                <w:szCs w:val="21"/>
                <w:lang w:eastAsia="zh-CN"/>
              </w:rPr>
              <w:t>(</w:t>
            </w:r>
            <w:r>
              <w:rPr>
                <w:rFonts w:hint="eastAsia" w:ascii="宋体" w:hAnsi="宋体" w:eastAsia="宋体" w:cs="宋体"/>
                <w:bCs/>
                <w:sz w:val="21"/>
                <w:szCs w:val="21"/>
              </w:rPr>
              <w:t>年度</w:t>
            </w:r>
            <w:r>
              <w:rPr>
                <w:rFonts w:hint="eastAsia" w:cs="宋体"/>
                <w:bCs/>
                <w:sz w:val="21"/>
                <w:szCs w:val="21"/>
                <w:lang w:eastAsia="zh-CN"/>
              </w:rPr>
              <w:t>)</w:t>
            </w:r>
            <w:r>
              <w:rPr>
                <w:rFonts w:hint="eastAsia" w:ascii="宋体" w:hAnsi="宋体" w:eastAsia="宋体" w:cs="宋体"/>
                <w:bCs/>
                <w:sz w:val="21"/>
                <w:szCs w:val="21"/>
              </w:rPr>
              <w:t>信息系统安全保护等级测评报告。</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cs="宋体"/>
                <w:bCs/>
                <w:sz w:val="21"/>
                <w:szCs w:val="21"/>
                <w:lang w:eastAsia="zh-CN"/>
              </w:rPr>
              <w:t>(</w:t>
            </w:r>
            <w:r>
              <w:rPr>
                <w:rFonts w:hint="eastAsia" w:ascii="宋体" w:hAnsi="宋体" w:eastAsia="宋体" w:cs="宋体"/>
                <w:bCs/>
                <w:sz w:val="21"/>
                <w:szCs w:val="21"/>
              </w:rPr>
              <w:t>二</w:t>
            </w:r>
            <w:r>
              <w:rPr>
                <w:rFonts w:hint="eastAsia" w:cs="宋体"/>
                <w:bCs/>
                <w:sz w:val="21"/>
                <w:szCs w:val="21"/>
                <w:lang w:eastAsia="zh-CN"/>
              </w:rPr>
              <w:t>)</w:t>
            </w:r>
            <w:r>
              <w:rPr>
                <w:rFonts w:hint="eastAsia" w:ascii="宋体" w:hAnsi="宋体" w:eastAsia="宋体" w:cs="宋体"/>
                <w:bCs/>
                <w:sz w:val="21"/>
                <w:szCs w:val="21"/>
              </w:rPr>
              <w:t>项实施要求</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1.实施原则</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1.1规范性原则：成交</w:t>
            </w:r>
            <w:r>
              <w:rPr>
                <w:rFonts w:hint="eastAsia" w:ascii="宋体" w:hAnsi="宋体" w:eastAsia="宋体" w:cs="宋体"/>
                <w:bCs/>
                <w:sz w:val="21"/>
                <w:szCs w:val="21"/>
                <w:lang w:eastAsia="zh-CN"/>
              </w:rPr>
              <w:t>乙方</w:t>
            </w:r>
            <w:r>
              <w:rPr>
                <w:rFonts w:hint="eastAsia" w:ascii="宋体" w:hAnsi="宋体" w:eastAsia="宋体" w:cs="宋体"/>
                <w:bCs/>
                <w:sz w:val="21"/>
                <w:szCs w:val="21"/>
              </w:rPr>
              <w:t>工作中的过程和文档，具有很好的规范性，可以便于项目的跟踪和控制；</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1.2标准性原则：测评方案的设计与实施应依据国家等级保护的相关标准进行。</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1.3可控性原则：测评的工具、方法和过程需在双方认可的范围之内并符合进度表的安排，保证</w:t>
            </w:r>
            <w:r>
              <w:rPr>
                <w:rFonts w:hint="eastAsia" w:ascii="宋体" w:hAnsi="宋体" w:eastAsia="宋体" w:cs="宋体"/>
                <w:bCs/>
                <w:sz w:val="21"/>
                <w:szCs w:val="21"/>
                <w:lang w:eastAsia="zh-CN"/>
              </w:rPr>
              <w:t>甲方</w:t>
            </w:r>
            <w:r>
              <w:rPr>
                <w:rFonts w:hint="eastAsia" w:ascii="宋体" w:hAnsi="宋体" w:eastAsia="宋体" w:cs="宋体"/>
                <w:bCs/>
                <w:sz w:val="21"/>
                <w:szCs w:val="21"/>
              </w:rPr>
              <w:t>对服务工作的可控性；</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1.4整体性原则：测评和分析的范围和内容应当整体全面，包括安全涉及的各个层面，避免由于遗漏造成未来的安全隐患；</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1.5最小影响原则：测评工作应尽可能小的影响系统和网络的正常运行，不能对现网的运行和业务的正常提供产生显著影响(包括系统性能明显下降、网络拥塞、服务中断，如无法避免出现这些情况应在应答书上详细描述)；</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1.6保密原则：对测评的过程数据和结果数据严格保密，未经授权不得泄露给任何单位和个人，不得利用此数据进行任何侵害</w:t>
            </w:r>
            <w:r>
              <w:rPr>
                <w:rFonts w:hint="eastAsia" w:ascii="宋体" w:hAnsi="宋体" w:eastAsia="宋体" w:cs="宋体"/>
                <w:bCs/>
                <w:sz w:val="21"/>
                <w:szCs w:val="21"/>
                <w:lang w:eastAsia="zh-CN"/>
              </w:rPr>
              <w:t>甲方</w:t>
            </w:r>
            <w:r>
              <w:rPr>
                <w:rFonts w:hint="eastAsia" w:ascii="宋体" w:hAnsi="宋体" w:eastAsia="宋体" w:cs="宋体"/>
                <w:bCs/>
                <w:sz w:val="21"/>
                <w:szCs w:val="21"/>
              </w:rPr>
              <w:t>网络的行为，否则</w:t>
            </w:r>
            <w:r>
              <w:rPr>
                <w:rFonts w:hint="eastAsia" w:ascii="宋体" w:hAnsi="宋体" w:eastAsia="宋体" w:cs="宋体"/>
                <w:bCs/>
                <w:sz w:val="21"/>
                <w:szCs w:val="21"/>
                <w:lang w:eastAsia="zh-CN"/>
              </w:rPr>
              <w:t>甲方</w:t>
            </w:r>
            <w:r>
              <w:rPr>
                <w:rFonts w:hint="eastAsia" w:ascii="宋体" w:hAnsi="宋体" w:eastAsia="宋体" w:cs="宋体"/>
                <w:bCs/>
                <w:sz w:val="21"/>
                <w:szCs w:val="21"/>
              </w:rPr>
              <w:t>有权追究责任。</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cs="宋体"/>
                <w:bCs/>
                <w:sz w:val="21"/>
                <w:szCs w:val="21"/>
                <w:lang w:eastAsia="zh-CN"/>
              </w:rPr>
              <w:t>(</w:t>
            </w:r>
            <w:r>
              <w:rPr>
                <w:rFonts w:hint="eastAsia" w:ascii="宋体" w:hAnsi="宋体" w:eastAsia="宋体" w:cs="宋体"/>
                <w:bCs/>
                <w:sz w:val="21"/>
                <w:szCs w:val="21"/>
              </w:rPr>
              <w:t>三</w:t>
            </w:r>
            <w:r>
              <w:rPr>
                <w:rFonts w:hint="eastAsia" w:cs="宋体"/>
                <w:bCs/>
                <w:sz w:val="21"/>
                <w:szCs w:val="21"/>
                <w:lang w:eastAsia="zh-CN"/>
              </w:rPr>
              <w:t>)</w:t>
            </w:r>
            <w:r>
              <w:rPr>
                <w:rFonts w:hint="eastAsia" w:ascii="宋体" w:hAnsi="宋体" w:eastAsia="宋体" w:cs="宋体"/>
                <w:bCs/>
                <w:sz w:val="21"/>
                <w:szCs w:val="21"/>
              </w:rPr>
              <w:t>测评依据</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《中华人民共和国网络安全法》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《中华人民共和国数据安全法》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《中华人民共和国密码法》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公安部、国家保密局、国务院信息化工作办公室制定的《信息安全等级保护管理办法》</w:t>
            </w:r>
            <w:r>
              <w:rPr>
                <w:rFonts w:hint="eastAsia" w:cs="宋体"/>
                <w:bCs/>
                <w:sz w:val="21"/>
                <w:szCs w:val="21"/>
                <w:lang w:eastAsia="zh-CN"/>
              </w:rPr>
              <w:t>(</w:t>
            </w:r>
            <w:r>
              <w:rPr>
                <w:rFonts w:hint="eastAsia" w:ascii="宋体" w:hAnsi="宋体" w:eastAsia="宋体" w:cs="宋体"/>
                <w:bCs/>
                <w:sz w:val="21"/>
                <w:szCs w:val="21"/>
              </w:rPr>
              <w:t>公通字 [2007]43 号</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《信息安全技术 网络安全等级保护基本要求》</w:t>
            </w:r>
            <w:r>
              <w:rPr>
                <w:rFonts w:hint="eastAsia" w:cs="宋体"/>
                <w:bCs/>
                <w:sz w:val="21"/>
                <w:szCs w:val="21"/>
                <w:lang w:eastAsia="zh-CN"/>
              </w:rPr>
              <w:t>(</w:t>
            </w:r>
            <w:r>
              <w:rPr>
                <w:rFonts w:hint="eastAsia" w:ascii="宋体" w:hAnsi="宋体" w:eastAsia="宋体" w:cs="宋体"/>
                <w:bCs/>
                <w:sz w:val="21"/>
                <w:szCs w:val="21"/>
              </w:rPr>
              <w:t>GB/T22239-2019</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《信息安全技术 网络安全等级保护测评要求》</w:t>
            </w:r>
            <w:r>
              <w:rPr>
                <w:rFonts w:hint="eastAsia" w:cs="宋体"/>
                <w:bCs/>
                <w:sz w:val="21"/>
                <w:szCs w:val="21"/>
                <w:lang w:eastAsia="zh-CN"/>
              </w:rPr>
              <w:t>(</w:t>
            </w:r>
            <w:r>
              <w:rPr>
                <w:rFonts w:hint="eastAsia" w:ascii="宋体" w:hAnsi="宋体" w:eastAsia="宋体" w:cs="宋体"/>
                <w:bCs/>
                <w:sz w:val="21"/>
                <w:szCs w:val="21"/>
              </w:rPr>
              <w:t>GB/T 28448-2019</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《信息安全技术 网络安全等级保护安全设计技术要求》</w:t>
            </w:r>
            <w:r>
              <w:rPr>
                <w:rFonts w:hint="eastAsia" w:cs="宋体"/>
                <w:bCs/>
                <w:sz w:val="21"/>
                <w:szCs w:val="21"/>
                <w:lang w:eastAsia="zh-CN"/>
              </w:rPr>
              <w:t>(</w:t>
            </w:r>
            <w:r>
              <w:rPr>
                <w:rFonts w:hint="eastAsia" w:ascii="宋体" w:hAnsi="宋体" w:eastAsia="宋体" w:cs="宋体"/>
                <w:bCs/>
                <w:sz w:val="21"/>
                <w:szCs w:val="21"/>
              </w:rPr>
              <w:t>GB/T 25070-2019</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《信息安全技术 网络安全等级保护实施指南》</w:t>
            </w:r>
            <w:r>
              <w:rPr>
                <w:rFonts w:hint="eastAsia" w:cs="宋体"/>
                <w:bCs/>
                <w:sz w:val="21"/>
                <w:szCs w:val="21"/>
                <w:lang w:eastAsia="zh-CN"/>
              </w:rPr>
              <w:t>(</w:t>
            </w:r>
            <w:r>
              <w:rPr>
                <w:rFonts w:hint="eastAsia" w:ascii="宋体" w:hAnsi="宋体" w:eastAsia="宋体" w:cs="宋体"/>
                <w:bCs/>
                <w:sz w:val="21"/>
                <w:szCs w:val="21"/>
              </w:rPr>
              <w:t>GB/T25058-2019</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《信息安全技术 信息系统安全等级保护定级指南》</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《计算机软件文档编制规范》</w:t>
            </w:r>
            <w:r>
              <w:rPr>
                <w:rFonts w:hint="eastAsia" w:cs="宋体"/>
                <w:bCs/>
                <w:sz w:val="21"/>
                <w:szCs w:val="21"/>
                <w:lang w:eastAsia="zh-CN"/>
              </w:rPr>
              <w:t>(</w:t>
            </w:r>
            <w:r>
              <w:rPr>
                <w:rFonts w:hint="eastAsia" w:ascii="宋体" w:hAnsi="宋体" w:eastAsia="宋体" w:cs="宋体"/>
                <w:bCs/>
                <w:sz w:val="21"/>
                <w:szCs w:val="21"/>
              </w:rPr>
              <w:t>GB/T 8567-2006</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《信息技术软件工程术语》</w:t>
            </w:r>
            <w:r>
              <w:rPr>
                <w:rFonts w:hint="eastAsia" w:cs="宋体"/>
                <w:bCs/>
                <w:sz w:val="21"/>
                <w:szCs w:val="21"/>
                <w:lang w:eastAsia="zh-CN"/>
              </w:rPr>
              <w:t>(</w:t>
            </w:r>
            <w:r>
              <w:rPr>
                <w:rFonts w:hint="eastAsia" w:ascii="宋体" w:hAnsi="宋体" w:eastAsia="宋体" w:cs="宋体"/>
                <w:bCs/>
                <w:sz w:val="21"/>
                <w:szCs w:val="21"/>
              </w:rPr>
              <w:t>GB/T 11457-2006</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cs="宋体"/>
                <w:bCs/>
                <w:sz w:val="21"/>
                <w:szCs w:val="21"/>
                <w:lang w:eastAsia="zh-CN"/>
              </w:rPr>
              <w:t>(</w:t>
            </w:r>
            <w:r>
              <w:rPr>
                <w:rFonts w:hint="eastAsia" w:ascii="宋体" w:hAnsi="宋体" w:eastAsia="宋体" w:cs="宋体"/>
                <w:bCs/>
                <w:sz w:val="21"/>
                <w:szCs w:val="21"/>
              </w:rPr>
              <w:t>四</w:t>
            </w:r>
            <w:r>
              <w:rPr>
                <w:rFonts w:hint="eastAsia" w:cs="宋体"/>
                <w:bCs/>
                <w:sz w:val="21"/>
                <w:szCs w:val="21"/>
                <w:lang w:eastAsia="zh-CN"/>
              </w:rPr>
              <w:t>)</w:t>
            </w:r>
            <w:r>
              <w:rPr>
                <w:rFonts w:hint="eastAsia" w:ascii="宋体" w:hAnsi="宋体" w:eastAsia="宋体" w:cs="宋体"/>
                <w:bCs/>
                <w:sz w:val="21"/>
                <w:szCs w:val="21"/>
              </w:rPr>
              <w:t>等级保护测评内容</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等级保护测评内容</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根据国家等级保护相关标准，本次项目的等级保护测评应包括以下内容：</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安全技术测评：包括安全物理环境、安全通信网络、安全区域边界、安全计算环境、安全管理中心等五个方面的安全测评；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安全管理测评：包括安全管理制度、安全管理机构、安全管理人员、安全建设管理和安全运维管理等五个方面的安全测评。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1.安全物理环境</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物理环境是对机房和办公场所的物理环境安全防护情况进行测评，包括物理位置选择、物理访问控制、防盗窃和防破坏、防雷击、防火、防水和防潮、防静电、温湿度控制、电力供应和电磁防护等方面的安全状况。</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2.安全通信网络</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安全通信网络测评是对网络系统安全防护情况进行测评，包括网络架构、通信传输、可信验证等方面的安全状况。</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3.安全区域边界</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安全区域边界是对边界防护、访问控制、入侵防范、恶意代码防范、安全审计、可信验证等方面的测评。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4.安全计算环境</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安全计算环境是对身份鉴别、访问控制、安全审计、入侵防范、恶意代码防范、可信验证、数据完整性、数据保密性、数据备份恢复、剩余信息保护、个人信息保护等方面的测评。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5.安全管理中心</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安全管理中心是对系统管理、审计管理、安全管理、集中管控等方面的测评。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6.安全管理制度</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安全管理制度测评是对安全策略、管理制度、制定和发布、评审和修订进行测评。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7.安全管理机构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安全管理机构测评是对岗位设置、人员配备、授权和审批、沟通和合作、审核和检查等情况进行测评。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8.安全管理人员</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安全管理人员测评是对人员录用、人员离岗、安全意识教育和培训、外部人员访问管理等情况进行测评。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9.安全建设管理</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安全建设管理测评是对建设过程中的系统定级和备案、安全方案设计、产品采购和使用、自行软件开发、外包软件开发、 工程实施、测试验收、系统交付、 等级测评、服务</w:t>
            </w:r>
            <w:r>
              <w:rPr>
                <w:rFonts w:hint="eastAsia" w:ascii="宋体" w:hAnsi="宋体" w:eastAsia="宋体" w:cs="宋体"/>
                <w:bCs/>
                <w:sz w:val="21"/>
                <w:szCs w:val="21"/>
                <w:lang w:eastAsia="zh-CN"/>
              </w:rPr>
              <w:t>乙方</w:t>
            </w:r>
            <w:r>
              <w:rPr>
                <w:rFonts w:hint="eastAsia" w:ascii="宋体" w:hAnsi="宋体" w:eastAsia="宋体" w:cs="宋体"/>
                <w:bCs/>
                <w:sz w:val="21"/>
                <w:szCs w:val="21"/>
              </w:rPr>
              <w:t>选择等情况进行测评。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10.安全运维管理</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安全运维管理测评是对环境管理、资产管理、介质管理、设备维护管理、漏洞和风险管理、网络和系统安全管理、恶意代码防范管理、配置管理、密码管理、变更管理、备份与恢复管理、安全事件处置、 应急预案管理、外包运维管理等情况进行测评。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11.协助信息系统等级保护备案工作</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协助校方完成本系统测评前期信息系统等级保护备案工作：完成备案表、定级报告、专家评审、上传备案材料等工作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2</w:t>
            </w:r>
          </w:p>
        </w:tc>
        <w:tc>
          <w:tcPr>
            <w:tcW w:w="10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成都市技师学院</w:t>
            </w:r>
            <w:r>
              <w:rPr>
                <w:rFonts w:hint="eastAsia" w:cs="宋体"/>
                <w:bCs/>
                <w:sz w:val="21"/>
                <w:szCs w:val="21"/>
                <w:lang w:eastAsia="zh-CN"/>
              </w:rPr>
              <w:t>(</w:t>
            </w:r>
            <w:r>
              <w:rPr>
                <w:rFonts w:hint="eastAsia" w:ascii="宋体" w:hAnsi="宋体" w:eastAsia="宋体" w:cs="宋体"/>
                <w:bCs/>
                <w:sz w:val="21"/>
                <w:szCs w:val="21"/>
              </w:rPr>
              <w:t>成都工贸职业技术学院</w:t>
            </w:r>
            <w:r>
              <w:rPr>
                <w:rFonts w:hint="eastAsia" w:cs="宋体"/>
                <w:bCs/>
                <w:sz w:val="21"/>
                <w:szCs w:val="21"/>
                <w:lang w:eastAsia="zh-CN"/>
              </w:rPr>
              <w:t>)</w:t>
            </w:r>
            <w:r>
              <w:rPr>
                <w:rFonts w:hint="eastAsia" w:ascii="宋体" w:hAnsi="宋体" w:eastAsia="宋体" w:cs="宋体"/>
                <w:bCs/>
                <w:sz w:val="21"/>
                <w:szCs w:val="21"/>
                <w:lang w:eastAsia="zh-CN"/>
              </w:rPr>
              <w:t>网站群</w:t>
            </w:r>
            <w:r>
              <w:rPr>
                <w:rFonts w:hint="eastAsia" w:ascii="宋体" w:hAnsi="宋体" w:eastAsia="宋体" w:cs="宋体"/>
                <w:bCs/>
                <w:sz w:val="21"/>
                <w:szCs w:val="21"/>
              </w:rPr>
              <w:t>二级等保测评服务</w:t>
            </w:r>
          </w:p>
        </w:tc>
        <w:tc>
          <w:tcPr>
            <w:tcW w:w="3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cs="宋体"/>
                <w:bCs/>
                <w:sz w:val="21"/>
                <w:szCs w:val="21"/>
                <w:lang w:eastAsia="zh-CN"/>
              </w:rPr>
              <w:t>(</w:t>
            </w:r>
            <w:r>
              <w:rPr>
                <w:rFonts w:hint="eastAsia" w:ascii="宋体" w:hAnsi="宋体" w:eastAsia="宋体" w:cs="宋体"/>
                <w:bCs/>
                <w:sz w:val="21"/>
                <w:szCs w:val="21"/>
              </w:rPr>
              <w:t>一</w:t>
            </w:r>
            <w:r>
              <w:rPr>
                <w:rFonts w:hint="eastAsia" w:cs="宋体"/>
                <w:bCs/>
                <w:sz w:val="21"/>
                <w:szCs w:val="21"/>
                <w:lang w:eastAsia="zh-CN"/>
              </w:rPr>
              <w:t>)</w:t>
            </w:r>
            <w:r>
              <w:rPr>
                <w:rFonts w:hint="eastAsia" w:ascii="宋体" w:hAnsi="宋体" w:eastAsia="宋体" w:cs="宋体"/>
                <w:bCs/>
                <w:sz w:val="21"/>
                <w:szCs w:val="21"/>
              </w:rPr>
              <w:t>测评服务</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1.安全技术测评：包括安全物理环境、安全通信网络、安全区域边界、安全计算环境等方面的安全测评。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2.安全管理测评：包括安全管理制度、安全管理机构、安全管理人员、安全建设管理和安全运维管理等方面的安全测评。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3.漏洞扫描：针对网络设备，服务器，应用等进行漏洞扫描出具漏洞扫描报告。</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4.形成差距分析报告：依据测评结果和《信息系统安全等级保护基本要求》，要求从信息系统是否具备标准所要求的安全保护设施、安全设施的策略是否达到标准的要求、安全策略是否达到保护的效果三个方面开展差距测评工作。全面的从物理安全、网络安全、主机安全、应用安全、数据安全、安全管理中的所有指标逐项对信息系统中相关的资产进行检查。对各信息系统进行安全现状分析，形成相应的差距分析报告。</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5.依据《信息系统安全等级保护基本要求》和《信息系统等级保护安全设计技术要求》，协助</w:t>
            </w:r>
            <w:r>
              <w:rPr>
                <w:rFonts w:hint="eastAsia" w:ascii="宋体" w:hAnsi="宋体" w:eastAsia="宋体" w:cs="宋体"/>
                <w:bCs/>
                <w:sz w:val="21"/>
                <w:szCs w:val="21"/>
                <w:lang w:eastAsia="zh-CN"/>
              </w:rPr>
              <w:t>甲方</w:t>
            </w:r>
            <w:r>
              <w:rPr>
                <w:rFonts w:hint="eastAsia" w:ascii="宋体" w:hAnsi="宋体" w:eastAsia="宋体" w:cs="宋体"/>
                <w:bCs/>
                <w:sz w:val="21"/>
                <w:szCs w:val="21"/>
              </w:rPr>
              <w:t>制订和完善各项信息安全管理制度，规范信息安全日常管理工作，提高信息安全基础管理水平。</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6.完成上述测评工作和实施整改后，最后出具符合公安机关要求的</w:t>
            </w:r>
            <w:r>
              <w:rPr>
                <w:rFonts w:hint="eastAsia" w:cs="宋体"/>
                <w:bCs/>
                <w:sz w:val="21"/>
                <w:szCs w:val="21"/>
                <w:lang w:eastAsia="zh-CN"/>
              </w:rPr>
              <w:t>(</w:t>
            </w:r>
            <w:r>
              <w:rPr>
                <w:rFonts w:hint="eastAsia" w:ascii="宋体" w:hAnsi="宋体" w:eastAsia="宋体" w:cs="宋体"/>
                <w:bCs/>
                <w:sz w:val="21"/>
                <w:szCs w:val="21"/>
              </w:rPr>
              <w:t>年度</w:t>
            </w:r>
            <w:r>
              <w:rPr>
                <w:rFonts w:hint="eastAsia" w:cs="宋体"/>
                <w:bCs/>
                <w:sz w:val="21"/>
                <w:szCs w:val="21"/>
                <w:lang w:eastAsia="zh-CN"/>
              </w:rPr>
              <w:t>)</w:t>
            </w:r>
            <w:r>
              <w:rPr>
                <w:rFonts w:hint="eastAsia" w:ascii="宋体" w:hAnsi="宋体" w:eastAsia="宋体" w:cs="宋体"/>
                <w:bCs/>
                <w:sz w:val="21"/>
                <w:szCs w:val="21"/>
              </w:rPr>
              <w:t>信息系统安全保护等级测评报告。</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cs="宋体"/>
                <w:bCs/>
                <w:sz w:val="21"/>
                <w:szCs w:val="21"/>
                <w:lang w:eastAsia="zh-CN"/>
              </w:rPr>
              <w:t>(</w:t>
            </w:r>
            <w:r>
              <w:rPr>
                <w:rFonts w:hint="eastAsia" w:ascii="宋体" w:hAnsi="宋体" w:eastAsia="宋体" w:cs="宋体"/>
                <w:bCs/>
                <w:sz w:val="21"/>
                <w:szCs w:val="21"/>
              </w:rPr>
              <w:t>二</w:t>
            </w:r>
            <w:r>
              <w:rPr>
                <w:rFonts w:hint="eastAsia" w:cs="宋体"/>
                <w:bCs/>
                <w:sz w:val="21"/>
                <w:szCs w:val="21"/>
                <w:lang w:eastAsia="zh-CN"/>
              </w:rPr>
              <w:t>)</w:t>
            </w:r>
            <w:r>
              <w:rPr>
                <w:rFonts w:hint="eastAsia" w:ascii="宋体" w:hAnsi="宋体" w:eastAsia="宋体" w:cs="宋体"/>
                <w:bCs/>
                <w:sz w:val="21"/>
                <w:szCs w:val="21"/>
              </w:rPr>
              <w:t>项实施要求</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1.实施原则</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1.1规范性原则：成交</w:t>
            </w:r>
            <w:r>
              <w:rPr>
                <w:rFonts w:hint="eastAsia" w:ascii="宋体" w:hAnsi="宋体" w:eastAsia="宋体" w:cs="宋体"/>
                <w:bCs/>
                <w:sz w:val="21"/>
                <w:szCs w:val="21"/>
                <w:lang w:eastAsia="zh-CN"/>
              </w:rPr>
              <w:t>乙方</w:t>
            </w:r>
            <w:r>
              <w:rPr>
                <w:rFonts w:hint="eastAsia" w:ascii="宋体" w:hAnsi="宋体" w:eastAsia="宋体" w:cs="宋体"/>
                <w:bCs/>
                <w:sz w:val="21"/>
                <w:szCs w:val="21"/>
              </w:rPr>
              <w:t>工作中的过程和文档，具有很好的规范性，可以便于项目的跟踪和控制；</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1.2标准性原则：测评方案的设计与实施应依据国家等级保护的相关标准进行。</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1.3可控性原则：测评的工具、方法和过程需在双方认可的范围之内并符合进度表的安排，保证</w:t>
            </w:r>
            <w:r>
              <w:rPr>
                <w:rFonts w:hint="eastAsia" w:ascii="宋体" w:hAnsi="宋体" w:eastAsia="宋体" w:cs="宋体"/>
                <w:bCs/>
                <w:sz w:val="21"/>
                <w:szCs w:val="21"/>
                <w:lang w:eastAsia="zh-CN"/>
              </w:rPr>
              <w:t>甲方</w:t>
            </w:r>
            <w:r>
              <w:rPr>
                <w:rFonts w:hint="eastAsia" w:ascii="宋体" w:hAnsi="宋体" w:eastAsia="宋体" w:cs="宋体"/>
                <w:bCs/>
                <w:sz w:val="21"/>
                <w:szCs w:val="21"/>
              </w:rPr>
              <w:t>对服务工作的可控性；</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1.4整体性原则：测评和分析的范围和内容应当整体全面，包括安全涉及的各个层面，避免由于遗漏造成未来的安全隐患；</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1.5最小影响原则：测评工作应尽可能小的影响系统和网络的正常运行，不能对现网的运行和业务的正常提供产生显著影响(包括系统性能明显下降、网络拥塞、服务中断，如无法避免出现这些情况应在应答书上详细描述)；</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1.6保密原则：对测评的过程数据和结果数据严格保密，未经授权不得泄露给任何单位和个人，不得利用此数据进行任何侵害</w:t>
            </w:r>
            <w:r>
              <w:rPr>
                <w:rFonts w:hint="eastAsia" w:ascii="宋体" w:hAnsi="宋体" w:eastAsia="宋体" w:cs="宋体"/>
                <w:bCs/>
                <w:sz w:val="21"/>
                <w:szCs w:val="21"/>
                <w:lang w:eastAsia="zh-CN"/>
              </w:rPr>
              <w:t>甲方</w:t>
            </w:r>
            <w:r>
              <w:rPr>
                <w:rFonts w:hint="eastAsia" w:ascii="宋体" w:hAnsi="宋体" w:eastAsia="宋体" w:cs="宋体"/>
                <w:bCs/>
                <w:sz w:val="21"/>
                <w:szCs w:val="21"/>
              </w:rPr>
              <w:t>网络的行为，否则</w:t>
            </w:r>
            <w:r>
              <w:rPr>
                <w:rFonts w:hint="eastAsia" w:ascii="宋体" w:hAnsi="宋体" w:eastAsia="宋体" w:cs="宋体"/>
                <w:bCs/>
                <w:sz w:val="21"/>
                <w:szCs w:val="21"/>
                <w:lang w:eastAsia="zh-CN"/>
              </w:rPr>
              <w:t>甲方</w:t>
            </w:r>
            <w:r>
              <w:rPr>
                <w:rFonts w:hint="eastAsia" w:ascii="宋体" w:hAnsi="宋体" w:eastAsia="宋体" w:cs="宋体"/>
                <w:bCs/>
                <w:sz w:val="21"/>
                <w:szCs w:val="21"/>
              </w:rPr>
              <w:t>有权追究责任。</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cs="宋体"/>
                <w:bCs/>
                <w:sz w:val="21"/>
                <w:szCs w:val="21"/>
                <w:lang w:eastAsia="zh-CN"/>
              </w:rPr>
              <w:t>(</w:t>
            </w:r>
            <w:r>
              <w:rPr>
                <w:rFonts w:hint="eastAsia" w:ascii="宋体" w:hAnsi="宋体" w:eastAsia="宋体" w:cs="宋体"/>
                <w:bCs/>
                <w:sz w:val="21"/>
                <w:szCs w:val="21"/>
              </w:rPr>
              <w:t>三</w:t>
            </w:r>
            <w:r>
              <w:rPr>
                <w:rFonts w:hint="eastAsia" w:cs="宋体"/>
                <w:bCs/>
                <w:sz w:val="21"/>
                <w:szCs w:val="21"/>
                <w:lang w:eastAsia="zh-CN"/>
              </w:rPr>
              <w:t>)</w:t>
            </w:r>
            <w:r>
              <w:rPr>
                <w:rFonts w:hint="eastAsia" w:ascii="宋体" w:hAnsi="宋体" w:eastAsia="宋体" w:cs="宋体"/>
                <w:bCs/>
                <w:sz w:val="21"/>
                <w:szCs w:val="21"/>
              </w:rPr>
              <w:t>测评依据</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《中华人民共和国网络安全法》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《中华人民共和国数据安全法》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《中华人民共和国密码法》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公安部、国家保密局、国务院信息化工作办公室制定的《信息安全等级保护管理办法》</w:t>
            </w:r>
            <w:r>
              <w:rPr>
                <w:rFonts w:hint="eastAsia" w:cs="宋体"/>
                <w:bCs/>
                <w:sz w:val="21"/>
                <w:szCs w:val="21"/>
                <w:lang w:eastAsia="zh-CN"/>
              </w:rPr>
              <w:t>(</w:t>
            </w:r>
            <w:r>
              <w:rPr>
                <w:rFonts w:hint="eastAsia" w:ascii="宋体" w:hAnsi="宋体" w:eastAsia="宋体" w:cs="宋体"/>
                <w:bCs/>
                <w:sz w:val="21"/>
                <w:szCs w:val="21"/>
              </w:rPr>
              <w:t>公通字 [2007]43 号</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《信息安全技术 网络安全等级保护基本要求》</w:t>
            </w:r>
            <w:r>
              <w:rPr>
                <w:rFonts w:hint="eastAsia" w:cs="宋体"/>
                <w:bCs/>
                <w:sz w:val="21"/>
                <w:szCs w:val="21"/>
                <w:lang w:eastAsia="zh-CN"/>
              </w:rPr>
              <w:t>(</w:t>
            </w:r>
            <w:r>
              <w:rPr>
                <w:rFonts w:hint="eastAsia" w:ascii="宋体" w:hAnsi="宋体" w:eastAsia="宋体" w:cs="宋体"/>
                <w:bCs/>
                <w:sz w:val="21"/>
                <w:szCs w:val="21"/>
              </w:rPr>
              <w:t>GB/T22239-2019</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《信息安全技术 网络安全等级保护测评要求》</w:t>
            </w:r>
            <w:r>
              <w:rPr>
                <w:rFonts w:hint="eastAsia" w:cs="宋体"/>
                <w:bCs/>
                <w:sz w:val="21"/>
                <w:szCs w:val="21"/>
                <w:lang w:eastAsia="zh-CN"/>
              </w:rPr>
              <w:t>(</w:t>
            </w:r>
            <w:r>
              <w:rPr>
                <w:rFonts w:hint="eastAsia" w:ascii="宋体" w:hAnsi="宋体" w:eastAsia="宋体" w:cs="宋体"/>
                <w:bCs/>
                <w:sz w:val="21"/>
                <w:szCs w:val="21"/>
              </w:rPr>
              <w:t>GB/T 28448-2019</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《信息安全技术 网络安全等级保护安全设计技术要求》</w:t>
            </w:r>
            <w:r>
              <w:rPr>
                <w:rFonts w:hint="eastAsia" w:cs="宋体"/>
                <w:bCs/>
                <w:sz w:val="21"/>
                <w:szCs w:val="21"/>
                <w:lang w:eastAsia="zh-CN"/>
              </w:rPr>
              <w:t>(</w:t>
            </w:r>
            <w:r>
              <w:rPr>
                <w:rFonts w:hint="eastAsia" w:ascii="宋体" w:hAnsi="宋体" w:eastAsia="宋体" w:cs="宋体"/>
                <w:bCs/>
                <w:sz w:val="21"/>
                <w:szCs w:val="21"/>
              </w:rPr>
              <w:t>GB/T 25070-2019</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《信息安全技术 网络安全等级保护实施指南》</w:t>
            </w:r>
            <w:r>
              <w:rPr>
                <w:rFonts w:hint="eastAsia" w:cs="宋体"/>
                <w:bCs/>
                <w:sz w:val="21"/>
                <w:szCs w:val="21"/>
                <w:lang w:eastAsia="zh-CN"/>
              </w:rPr>
              <w:t>(</w:t>
            </w:r>
            <w:r>
              <w:rPr>
                <w:rFonts w:hint="eastAsia" w:ascii="宋体" w:hAnsi="宋体" w:eastAsia="宋体" w:cs="宋体"/>
                <w:bCs/>
                <w:sz w:val="21"/>
                <w:szCs w:val="21"/>
              </w:rPr>
              <w:t>GB/T25058-2019</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《信息安全技术 信息系统安全等级保护定级指南》</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《计算机软件文档编制规范》</w:t>
            </w:r>
            <w:r>
              <w:rPr>
                <w:rFonts w:hint="eastAsia" w:cs="宋体"/>
                <w:bCs/>
                <w:sz w:val="21"/>
                <w:szCs w:val="21"/>
                <w:lang w:eastAsia="zh-CN"/>
              </w:rPr>
              <w:t>(</w:t>
            </w:r>
            <w:r>
              <w:rPr>
                <w:rFonts w:hint="eastAsia" w:ascii="宋体" w:hAnsi="宋体" w:eastAsia="宋体" w:cs="宋体"/>
                <w:bCs/>
                <w:sz w:val="21"/>
                <w:szCs w:val="21"/>
              </w:rPr>
              <w:t>GB/T 8567-2006</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《信息技术软件工程术语》</w:t>
            </w:r>
            <w:r>
              <w:rPr>
                <w:rFonts w:hint="eastAsia" w:cs="宋体"/>
                <w:bCs/>
                <w:sz w:val="21"/>
                <w:szCs w:val="21"/>
                <w:lang w:eastAsia="zh-CN"/>
              </w:rPr>
              <w:t>(</w:t>
            </w:r>
            <w:r>
              <w:rPr>
                <w:rFonts w:hint="eastAsia" w:ascii="宋体" w:hAnsi="宋体" w:eastAsia="宋体" w:cs="宋体"/>
                <w:bCs/>
                <w:sz w:val="21"/>
                <w:szCs w:val="21"/>
              </w:rPr>
              <w:t>GB/T 11457-2006</w:t>
            </w:r>
            <w:r>
              <w:rPr>
                <w:rFonts w:hint="eastAsia" w:cs="宋体"/>
                <w:bCs/>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cs="宋体"/>
                <w:bCs/>
                <w:sz w:val="21"/>
                <w:szCs w:val="21"/>
                <w:lang w:eastAsia="zh-CN"/>
              </w:rPr>
              <w:t>(</w:t>
            </w:r>
            <w:r>
              <w:rPr>
                <w:rFonts w:hint="eastAsia" w:ascii="宋体" w:hAnsi="宋体" w:eastAsia="宋体" w:cs="宋体"/>
                <w:bCs/>
                <w:sz w:val="21"/>
                <w:szCs w:val="21"/>
              </w:rPr>
              <w:t>四</w:t>
            </w:r>
            <w:r>
              <w:rPr>
                <w:rFonts w:hint="eastAsia" w:cs="宋体"/>
                <w:bCs/>
                <w:sz w:val="21"/>
                <w:szCs w:val="21"/>
                <w:lang w:eastAsia="zh-CN"/>
              </w:rPr>
              <w:t>)</w:t>
            </w:r>
            <w:r>
              <w:rPr>
                <w:rFonts w:hint="eastAsia" w:ascii="宋体" w:hAnsi="宋体" w:eastAsia="宋体" w:cs="宋体"/>
                <w:bCs/>
                <w:sz w:val="21"/>
                <w:szCs w:val="21"/>
              </w:rPr>
              <w:t>等级保护测评内容</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等级保护测评内容</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根据国家等级保护相关标准，本次项目的等级保护测评应包括以下内容：</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安全技术测评：包括安全物理环境、安全通信网络、安全区域边界、安全计算环境、安全管理中心等五个方面的安全测评；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安全管理测评：包括安全管理制度、安全管理机构、安全管理人员、安全建设管理和安全运维管理等五个方面的安全测评。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1.安全物理环境</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物理环境是对机房和办公场所的物理环境安全防护情况进行测评，包括物理位置选择、物理访问控制、防盗窃和防破坏、防雷击、防火、防水和防潮、防静电、温湿度控制、电力供应和电磁防护等方面的安全状况。</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2.安全通信网络</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安全通信网络测评是对网络系统安全防护情况进行测评，包括网络架构、通信传输、可信验证等方面的安全状况。</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3.安全区域边界</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安全区域边界是对边界防护、访问控制、入侵防范、恶意代码防范、安全审计、可信验证等方面的测评。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4.安全计算环境</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安全计算环境是对身份鉴别、访问控制、安全审计、入侵防范、恶意代码防范、可信验证、数据完整性、数据保密性、数据备份恢复、剩余信息保护、个人信息保护等方面的测评。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5.安全管理中心</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安全管理中心是对系统管理、审计管理、安全管理、集中管控等方面的测评。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6.安全管理制度</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安全管理制度测评是对安全策略、管理制度、制定和发布、评审和修订进行测评。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7.安全管理机构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安全管理机构测评是对岗位设置、人员配备、授权和审批、沟通和合作、审核和检查等情况进行测评。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8.安全管理人员</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安全管理人员测评是对人员录用、人员离岗、安全意识教育和培训、外部人员访问管理等情况进行测评。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9.安全建设管理</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安全建设管理测评是对建设过程中的系统定级和备案、安全方案设计、产品采购和使用、自行软件开发、外包软件开发、 工程实施、测试验收、系统交付、 等级测评、服务</w:t>
            </w:r>
            <w:r>
              <w:rPr>
                <w:rFonts w:hint="eastAsia" w:ascii="宋体" w:hAnsi="宋体" w:eastAsia="宋体" w:cs="宋体"/>
                <w:bCs/>
                <w:sz w:val="21"/>
                <w:szCs w:val="21"/>
                <w:lang w:eastAsia="zh-CN"/>
              </w:rPr>
              <w:t>乙方</w:t>
            </w:r>
            <w:r>
              <w:rPr>
                <w:rFonts w:hint="eastAsia" w:ascii="宋体" w:hAnsi="宋体" w:eastAsia="宋体" w:cs="宋体"/>
                <w:bCs/>
                <w:sz w:val="21"/>
                <w:szCs w:val="21"/>
              </w:rPr>
              <w:t>选择等情况进行测评。</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10.安全运维管理</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安全运维管理测评是对环境管理、资产管理、介质管理、设备维护管理、漏洞和风险管理、网络和系统安全管理、恶意代码防范管理、配置管理、密码管理、变更管理、备份与恢复管理、安全事件处置、 应急预案管理、外包运维管理等情况进行测评。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11.协助信息系统等级保护备案工作</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协助校方完成本系统测评前期信息系统等级保护备案工作：完成备案表、定级报告、专家评审、上传备案材料等工作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100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应急演练</w:t>
            </w:r>
          </w:p>
        </w:tc>
        <w:tc>
          <w:tcPr>
            <w:tcW w:w="3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1.协助招标方完成学校网络安全应急演练工作</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2.完成应网络安全急演练方案和网络安全应急演练报告</w:t>
            </w:r>
          </w:p>
        </w:tc>
      </w:tr>
    </w:tbl>
    <w:p>
      <w:pPr>
        <w:keepNext w:val="0"/>
        <w:keepLines w:val="0"/>
        <w:pageBreakBefore w:val="0"/>
        <w:widowControl w:val="0"/>
        <w:kinsoku/>
        <w:autoSpaceDE/>
        <w:autoSpaceDN/>
        <w:bidi w:val="0"/>
        <w:adjustRightInd w:val="0"/>
        <w:snapToGrid w:val="0"/>
        <w:spacing w:line="520" w:lineRule="exact"/>
        <w:ind w:left="0" w:leftChars="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三、履约时间和方式</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180</w:t>
      </w:r>
      <w:r>
        <w:rPr>
          <w:rFonts w:hint="eastAsia" w:ascii="宋体" w:hAnsi="宋体" w:eastAsia="宋体" w:cs="宋体"/>
          <w:sz w:val="24"/>
          <w:szCs w:val="24"/>
        </w:rPr>
        <w:t>个日历天内完成等保测评工作，并提交验收相关文档资料。</w:t>
      </w:r>
    </w:p>
    <w:p>
      <w:pPr>
        <w:keepNext w:val="0"/>
        <w:keepLines w:val="0"/>
        <w:pageBreakBefore w:val="0"/>
        <w:widowControl w:val="0"/>
        <w:kinsoku/>
        <w:autoSpaceDE/>
        <w:autoSpaceDN/>
        <w:bidi w:val="0"/>
        <w:adjustRightInd w:val="0"/>
        <w:snapToGrid w:val="0"/>
        <w:spacing w:line="520" w:lineRule="exact"/>
        <w:ind w:left="0" w:leftChars="0" w:firstLine="482" w:firstLineChars="200"/>
        <w:jc w:val="left"/>
        <w:textAlignment w:val="auto"/>
        <w:outlineLvl w:val="9"/>
        <w:rPr>
          <w:rFonts w:hint="eastAsia" w:ascii="宋体" w:hAnsi="宋体" w:eastAsia="宋体" w:cs="宋体"/>
          <w:b/>
          <w:bCs/>
          <w:sz w:val="24"/>
          <w:szCs w:val="24"/>
          <w:highlight w:val="red"/>
        </w:rPr>
      </w:pPr>
      <w:r>
        <w:rPr>
          <w:rFonts w:hint="eastAsia" w:ascii="宋体" w:hAnsi="宋体" w:eastAsia="宋体" w:cs="宋体"/>
          <w:b/>
          <w:bCs/>
          <w:sz w:val="24"/>
          <w:szCs w:val="24"/>
        </w:rPr>
        <w:t>四、履约地点</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成都市郫都区港通北三路1899号。</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五、合同总价、付款安排、支付方式</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1.合同总价：XXXX。</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2.付款进度安排：</w:t>
      </w:r>
      <w:r>
        <w:rPr>
          <w:rFonts w:hint="eastAsia" w:cs="宋体"/>
          <w:sz w:val="24"/>
          <w:szCs w:val="24"/>
          <w:lang w:eastAsia="zh-CN"/>
        </w:rPr>
        <w:t>(</w:t>
      </w:r>
      <w:r>
        <w:rPr>
          <w:rFonts w:hint="eastAsia" w:ascii="宋体" w:hAnsi="宋体" w:eastAsia="宋体" w:cs="宋体"/>
          <w:sz w:val="24"/>
          <w:szCs w:val="24"/>
        </w:rPr>
        <w:t>1</w:t>
      </w:r>
      <w:r>
        <w:rPr>
          <w:rFonts w:hint="eastAsia" w:cs="宋体"/>
          <w:sz w:val="24"/>
          <w:szCs w:val="24"/>
          <w:lang w:eastAsia="zh-CN"/>
        </w:rPr>
        <w:t>)</w:t>
      </w:r>
      <w:r>
        <w:rPr>
          <w:rFonts w:hint="eastAsia" w:ascii="宋体" w:hAnsi="宋体" w:eastAsia="宋体" w:cs="宋体"/>
          <w:sz w:val="24"/>
          <w:szCs w:val="24"/>
        </w:rPr>
        <w:t>本项目成交价包含但不限于完成本项目所涉及人员劳务、差旅、设备投入、成果、培训、风险、税金等所需的一切费用,</w:t>
      </w:r>
      <w:r>
        <w:rPr>
          <w:rFonts w:hint="eastAsia" w:ascii="宋体" w:hAnsi="宋体" w:eastAsia="宋体" w:cs="宋体"/>
          <w:sz w:val="24"/>
          <w:szCs w:val="24"/>
          <w:lang w:eastAsia="zh-CN"/>
        </w:rPr>
        <w:t>甲方</w:t>
      </w:r>
      <w:r>
        <w:rPr>
          <w:rFonts w:hint="eastAsia" w:ascii="宋体" w:hAnsi="宋体" w:eastAsia="宋体" w:cs="宋体"/>
          <w:sz w:val="24"/>
          <w:szCs w:val="24"/>
        </w:rPr>
        <w:t>无需另行支付其他任何费用。</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sz w:val="24"/>
          <w:szCs w:val="24"/>
        </w:rPr>
      </w:pPr>
      <w:r>
        <w:rPr>
          <w:rFonts w:hint="eastAsia" w:cs="宋体"/>
          <w:sz w:val="24"/>
          <w:szCs w:val="24"/>
          <w:lang w:eastAsia="zh-CN"/>
        </w:rPr>
        <w:t>(</w:t>
      </w:r>
      <w:r>
        <w:rPr>
          <w:rFonts w:hint="eastAsia" w:ascii="宋体" w:hAnsi="宋体" w:eastAsia="宋体" w:cs="宋体"/>
          <w:sz w:val="24"/>
          <w:szCs w:val="24"/>
        </w:rPr>
        <w:t>2</w:t>
      </w:r>
      <w:r>
        <w:rPr>
          <w:rFonts w:hint="eastAsia" w:cs="宋体"/>
          <w:sz w:val="24"/>
          <w:szCs w:val="24"/>
          <w:lang w:eastAsia="zh-CN"/>
        </w:rPr>
        <w:t>)</w:t>
      </w:r>
      <w:r>
        <w:rPr>
          <w:rFonts w:hint="eastAsia" w:ascii="宋体" w:hAnsi="宋体" w:eastAsia="宋体" w:cs="宋体"/>
          <w:sz w:val="24"/>
          <w:szCs w:val="24"/>
        </w:rPr>
        <w:t>合同签订后，自</w:t>
      </w:r>
      <w:r>
        <w:rPr>
          <w:rFonts w:hint="eastAsia" w:ascii="宋体" w:hAnsi="宋体" w:eastAsia="宋体" w:cs="宋体"/>
          <w:sz w:val="24"/>
          <w:szCs w:val="24"/>
          <w:lang w:eastAsia="zh-CN"/>
        </w:rPr>
        <w:t>甲方</w:t>
      </w:r>
      <w:r>
        <w:rPr>
          <w:rFonts w:hint="eastAsia" w:ascii="宋体" w:hAnsi="宋体" w:eastAsia="宋体" w:cs="宋体"/>
          <w:sz w:val="24"/>
          <w:szCs w:val="24"/>
        </w:rPr>
        <w:t>收到</w:t>
      </w:r>
      <w:r>
        <w:rPr>
          <w:rFonts w:hint="eastAsia" w:ascii="宋体" w:hAnsi="宋体" w:eastAsia="宋体" w:cs="宋体"/>
          <w:sz w:val="24"/>
          <w:szCs w:val="24"/>
          <w:lang w:eastAsia="zh-CN"/>
        </w:rPr>
        <w:t>乙方</w:t>
      </w:r>
      <w:r>
        <w:rPr>
          <w:rFonts w:hint="eastAsia" w:ascii="宋体" w:hAnsi="宋体" w:eastAsia="宋体" w:cs="宋体"/>
          <w:sz w:val="24"/>
          <w:szCs w:val="24"/>
        </w:rPr>
        <w:t>提供的符合</w:t>
      </w:r>
      <w:r>
        <w:rPr>
          <w:rFonts w:hint="eastAsia" w:ascii="宋体" w:hAnsi="宋体" w:eastAsia="宋体" w:cs="宋体"/>
          <w:sz w:val="24"/>
          <w:szCs w:val="24"/>
          <w:lang w:eastAsia="zh-CN"/>
        </w:rPr>
        <w:t>甲方</w:t>
      </w:r>
      <w:r>
        <w:rPr>
          <w:rFonts w:hint="eastAsia" w:ascii="宋体" w:hAnsi="宋体" w:eastAsia="宋体" w:cs="宋体"/>
          <w:sz w:val="24"/>
          <w:szCs w:val="24"/>
        </w:rPr>
        <w:t>财务要求且合法有效完整的等额完税发票之日起15个日历天内，</w:t>
      </w:r>
      <w:r>
        <w:rPr>
          <w:rFonts w:hint="eastAsia" w:ascii="宋体" w:hAnsi="宋体" w:eastAsia="宋体" w:cs="宋体"/>
          <w:sz w:val="24"/>
          <w:szCs w:val="24"/>
          <w:lang w:eastAsia="zh-CN"/>
        </w:rPr>
        <w:t>甲方</w:t>
      </w:r>
      <w:r>
        <w:rPr>
          <w:rFonts w:hint="eastAsia" w:ascii="宋体" w:hAnsi="宋体" w:eastAsia="宋体" w:cs="宋体"/>
          <w:sz w:val="24"/>
          <w:szCs w:val="24"/>
        </w:rPr>
        <w:t>支付合同总金额的50%的合同款。</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sz w:val="24"/>
          <w:szCs w:val="24"/>
        </w:rPr>
      </w:pPr>
      <w:r>
        <w:rPr>
          <w:rFonts w:hint="eastAsia" w:cs="宋体"/>
          <w:sz w:val="24"/>
          <w:szCs w:val="24"/>
          <w:lang w:eastAsia="zh-CN"/>
        </w:rPr>
        <w:t>(</w:t>
      </w:r>
      <w:r>
        <w:rPr>
          <w:rFonts w:hint="eastAsia" w:ascii="宋体" w:hAnsi="宋体" w:eastAsia="宋体" w:cs="宋体"/>
          <w:sz w:val="24"/>
          <w:szCs w:val="24"/>
        </w:rPr>
        <w:t>3</w:t>
      </w:r>
      <w:r>
        <w:rPr>
          <w:rFonts w:hint="eastAsia" w:cs="宋体"/>
          <w:sz w:val="24"/>
          <w:szCs w:val="24"/>
          <w:lang w:eastAsia="zh-CN"/>
        </w:rPr>
        <w:t>)</w:t>
      </w:r>
      <w:r>
        <w:rPr>
          <w:rFonts w:hint="eastAsia" w:ascii="宋体" w:hAnsi="宋体" w:eastAsia="宋体" w:cs="宋体"/>
          <w:sz w:val="24"/>
          <w:szCs w:val="24"/>
        </w:rPr>
        <w:t>经</w:t>
      </w:r>
      <w:r>
        <w:rPr>
          <w:rFonts w:hint="eastAsia" w:ascii="宋体" w:hAnsi="宋体" w:eastAsia="宋体" w:cs="宋体"/>
          <w:sz w:val="24"/>
          <w:szCs w:val="24"/>
          <w:lang w:eastAsia="zh-CN"/>
        </w:rPr>
        <w:t>甲方</w:t>
      </w:r>
      <w:r>
        <w:rPr>
          <w:rFonts w:hint="eastAsia" w:ascii="宋体" w:hAnsi="宋体" w:eastAsia="宋体" w:cs="宋体"/>
          <w:sz w:val="24"/>
          <w:szCs w:val="24"/>
        </w:rPr>
        <w:t>整体验收合格并完成资料交付后，自</w:t>
      </w:r>
      <w:r>
        <w:rPr>
          <w:rFonts w:hint="eastAsia" w:ascii="宋体" w:hAnsi="宋体" w:eastAsia="宋体" w:cs="宋体"/>
          <w:sz w:val="24"/>
          <w:szCs w:val="24"/>
          <w:lang w:eastAsia="zh-CN"/>
        </w:rPr>
        <w:t>甲方</w:t>
      </w:r>
      <w:r>
        <w:rPr>
          <w:rFonts w:hint="eastAsia" w:ascii="宋体" w:hAnsi="宋体" w:eastAsia="宋体" w:cs="宋体"/>
          <w:sz w:val="24"/>
          <w:szCs w:val="24"/>
        </w:rPr>
        <w:t>收到</w:t>
      </w:r>
      <w:r>
        <w:rPr>
          <w:rFonts w:hint="eastAsia" w:ascii="宋体" w:hAnsi="宋体" w:eastAsia="宋体" w:cs="宋体"/>
          <w:sz w:val="24"/>
          <w:szCs w:val="24"/>
          <w:lang w:eastAsia="zh-CN"/>
        </w:rPr>
        <w:t>乙方</w:t>
      </w:r>
      <w:r>
        <w:rPr>
          <w:rFonts w:hint="eastAsia" w:ascii="宋体" w:hAnsi="宋体" w:eastAsia="宋体" w:cs="宋体"/>
          <w:sz w:val="24"/>
          <w:szCs w:val="24"/>
        </w:rPr>
        <w:t>提供的符合</w:t>
      </w:r>
      <w:r>
        <w:rPr>
          <w:rFonts w:hint="eastAsia" w:ascii="宋体" w:hAnsi="宋体" w:eastAsia="宋体" w:cs="宋体"/>
          <w:sz w:val="24"/>
          <w:szCs w:val="24"/>
          <w:lang w:eastAsia="zh-CN"/>
        </w:rPr>
        <w:t>甲方</w:t>
      </w:r>
      <w:r>
        <w:rPr>
          <w:rFonts w:hint="eastAsia" w:ascii="宋体" w:hAnsi="宋体" w:eastAsia="宋体" w:cs="宋体"/>
          <w:sz w:val="24"/>
          <w:szCs w:val="24"/>
        </w:rPr>
        <w:t>财务要求且合法有效完整的等额完税发票之日起15个日历天内，</w:t>
      </w:r>
      <w:r>
        <w:rPr>
          <w:rFonts w:hint="eastAsia" w:ascii="宋体" w:hAnsi="宋体" w:eastAsia="宋体" w:cs="宋体"/>
          <w:sz w:val="24"/>
          <w:szCs w:val="24"/>
          <w:lang w:eastAsia="zh-CN"/>
        </w:rPr>
        <w:t>甲方</w:t>
      </w:r>
      <w:r>
        <w:rPr>
          <w:rFonts w:hint="eastAsia" w:ascii="宋体" w:hAnsi="宋体" w:eastAsia="宋体" w:cs="宋体"/>
          <w:sz w:val="24"/>
          <w:szCs w:val="24"/>
        </w:rPr>
        <w:t>支付合同总金额的50%的项目款。若收到</w:t>
      </w:r>
      <w:r>
        <w:rPr>
          <w:rFonts w:hint="eastAsia" w:ascii="宋体" w:hAnsi="宋体" w:eastAsia="宋体" w:cs="宋体"/>
          <w:sz w:val="24"/>
          <w:szCs w:val="24"/>
          <w:lang w:eastAsia="zh-CN"/>
        </w:rPr>
        <w:t>乙方</w:t>
      </w:r>
      <w:r>
        <w:rPr>
          <w:rFonts w:hint="eastAsia" w:ascii="宋体" w:hAnsi="宋体" w:eastAsia="宋体" w:cs="宋体"/>
          <w:sz w:val="24"/>
          <w:szCs w:val="24"/>
        </w:rPr>
        <w:t>发票之日早于整体验收合格之日，则自整体验收合格并完成资料交付之日起15个日历天内支付。</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3.资金支付方式：</w:t>
      </w:r>
      <w:r>
        <w:rPr>
          <w:rFonts w:hint="eastAsia" w:ascii="宋体" w:hAnsi="宋体" w:eastAsia="宋体" w:cs="宋体"/>
          <w:sz w:val="24"/>
          <w:szCs w:val="24"/>
          <w:lang w:val="en-US" w:eastAsia="zh-CN"/>
        </w:rPr>
        <w:t>按付款进度分两次</w:t>
      </w:r>
      <w:r>
        <w:rPr>
          <w:rFonts w:hint="eastAsia" w:ascii="宋体" w:hAnsi="宋体" w:eastAsia="宋体" w:cs="宋体"/>
          <w:sz w:val="24"/>
          <w:szCs w:val="24"/>
        </w:rPr>
        <w:t>银行转账支付。</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六、双方的权利和义务</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cs="宋体"/>
          <w:sz w:val="24"/>
          <w:szCs w:val="24"/>
          <w:lang w:eastAsia="zh-CN"/>
        </w:rPr>
        <w:t>(</w:t>
      </w:r>
      <w:r>
        <w:rPr>
          <w:rFonts w:hint="eastAsia" w:ascii="宋体" w:hAnsi="宋体" w:eastAsia="宋体" w:cs="宋体"/>
          <w:sz w:val="24"/>
          <w:szCs w:val="24"/>
        </w:rPr>
        <w:t>一</w:t>
      </w:r>
      <w:r>
        <w:rPr>
          <w:rFonts w:hint="eastAsia" w:cs="宋体"/>
          <w:sz w:val="24"/>
          <w:szCs w:val="24"/>
          <w:lang w:eastAsia="zh-CN"/>
        </w:rPr>
        <w:t>)</w:t>
      </w:r>
      <w:r>
        <w:rPr>
          <w:rFonts w:hint="eastAsia" w:ascii="宋体" w:hAnsi="宋体" w:eastAsia="宋体" w:cs="宋体"/>
          <w:sz w:val="24"/>
          <w:szCs w:val="24"/>
        </w:rPr>
        <w:t>甲方的权利和义务</w:t>
      </w:r>
    </w:p>
    <w:p>
      <w:pPr>
        <w:pStyle w:val="33"/>
        <w:keepNext w:val="0"/>
        <w:keepLines w:val="0"/>
        <w:pageBreakBefore w:val="0"/>
        <w:widowControl w:val="0"/>
        <w:numPr>
          <w:ilvl w:val="1"/>
          <w:numId w:val="0"/>
        </w:numPr>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Hans"/>
        </w:rPr>
        <w:t>.</w:t>
      </w:r>
      <w:r>
        <w:rPr>
          <w:rFonts w:hint="eastAsia" w:ascii="宋体" w:hAnsi="宋体" w:eastAsia="宋体" w:cs="宋体"/>
          <w:sz w:val="24"/>
          <w:szCs w:val="24"/>
        </w:rPr>
        <w:t>甲方有权对合同规定范围内乙方提供的服务行为进行监督和检查，拥有监管权。有权核对乙方提供的服务质量。对甲方认为质量不合格的测评有权下达整改通知书，并要求乙方限期整改。</w:t>
      </w:r>
    </w:p>
    <w:p>
      <w:pPr>
        <w:pStyle w:val="33"/>
        <w:keepNext w:val="0"/>
        <w:keepLines w:val="0"/>
        <w:pageBreakBefore w:val="0"/>
        <w:widowControl w:val="0"/>
        <w:numPr>
          <w:ilvl w:val="1"/>
          <w:numId w:val="0"/>
        </w:numPr>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Hans"/>
        </w:rPr>
        <w:t>.</w:t>
      </w:r>
      <w:r>
        <w:rPr>
          <w:rFonts w:hint="eastAsia" w:ascii="宋体" w:hAnsi="宋体" w:eastAsia="宋体" w:cs="宋体"/>
          <w:sz w:val="24"/>
          <w:szCs w:val="24"/>
        </w:rPr>
        <w:t>负责检查监督乙方提供服务的实施情况。</w:t>
      </w:r>
    </w:p>
    <w:p>
      <w:pPr>
        <w:pStyle w:val="33"/>
        <w:keepNext w:val="0"/>
        <w:keepLines w:val="0"/>
        <w:pageBreakBefore w:val="0"/>
        <w:widowControl w:val="0"/>
        <w:numPr>
          <w:ilvl w:val="1"/>
          <w:numId w:val="0"/>
        </w:numPr>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Hans"/>
        </w:rPr>
        <w:t>.</w:t>
      </w:r>
      <w:r>
        <w:rPr>
          <w:rFonts w:hint="eastAsia" w:ascii="宋体" w:hAnsi="宋体" w:eastAsia="宋体" w:cs="宋体"/>
          <w:sz w:val="24"/>
          <w:szCs w:val="24"/>
        </w:rPr>
        <w:t>根据本合同规定，按时向乙方支付应付费用。</w:t>
      </w:r>
    </w:p>
    <w:p>
      <w:pPr>
        <w:pStyle w:val="33"/>
        <w:keepNext w:val="0"/>
        <w:keepLines w:val="0"/>
        <w:pageBreakBefore w:val="0"/>
        <w:widowControl w:val="0"/>
        <w:numPr>
          <w:ilvl w:val="1"/>
          <w:numId w:val="0"/>
        </w:numPr>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Hans"/>
        </w:rPr>
        <w:t>.</w:t>
      </w:r>
      <w:r>
        <w:rPr>
          <w:rFonts w:hint="eastAsia" w:ascii="宋体" w:hAnsi="宋体" w:eastAsia="宋体" w:cs="宋体"/>
          <w:sz w:val="24"/>
          <w:szCs w:val="24"/>
        </w:rPr>
        <w:t>国家法律、法规所规定由甲方承担的其它责任。</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cs="宋体"/>
          <w:sz w:val="24"/>
          <w:szCs w:val="24"/>
          <w:lang w:eastAsia="zh-CN"/>
        </w:rPr>
        <w:t>(</w:t>
      </w:r>
      <w:r>
        <w:rPr>
          <w:rFonts w:hint="eastAsia" w:ascii="宋体" w:hAnsi="宋体" w:eastAsia="宋体" w:cs="宋体"/>
          <w:sz w:val="24"/>
          <w:szCs w:val="24"/>
        </w:rPr>
        <w:t>二</w:t>
      </w:r>
      <w:r>
        <w:rPr>
          <w:rFonts w:hint="eastAsia" w:cs="宋体"/>
          <w:sz w:val="24"/>
          <w:szCs w:val="24"/>
          <w:lang w:eastAsia="zh-CN"/>
        </w:rPr>
        <w:t>)</w:t>
      </w:r>
      <w:r>
        <w:rPr>
          <w:rFonts w:hint="eastAsia" w:ascii="宋体" w:hAnsi="宋体" w:eastAsia="宋体" w:cs="宋体"/>
          <w:sz w:val="24"/>
          <w:szCs w:val="24"/>
        </w:rPr>
        <w:t>乙方的权利和义务</w:t>
      </w:r>
    </w:p>
    <w:p>
      <w:pPr>
        <w:pStyle w:val="33"/>
        <w:keepNext w:val="0"/>
        <w:keepLines w:val="0"/>
        <w:pageBreakBefore w:val="0"/>
        <w:widowControl w:val="0"/>
        <w:numPr>
          <w:ilvl w:val="1"/>
          <w:numId w:val="0"/>
        </w:numPr>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Hans"/>
        </w:rPr>
        <w:t>.</w:t>
      </w:r>
      <w:r>
        <w:rPr>
          <w:rFonts w:hint="eastAsia" w:ascii="宋体" w:hAnsi="宋体" w:eastAsia="宋体" w:cs="宋体"/>
          <w:sz w:val="24"/>
          <w:szCs w:val="24"/>
        </w:rPr>
        <w:t>对本合同规定的委托事项范围内的项目享有管理权及服务义务。</w:t>
      </w:r>
    </w:p>
    <w:p>
      <w:pPr>
        <w:pStyle w:val="33"/>
        <w:keepNext w:val="0"/>
        <w:keepLines w:val="0"/>
        <w:pageBreakBefore w:val="0"/>
        <w:widowControl w:val="0"/>
        <w:numPr>
          <w:ilvl w:val="1"/>
          <w:numId w:val="0"/>
        </w:numPr>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Hans"/>
        </w:rPr>
        <w:t>.</w:t>
      </w:r>
      <w:r>
        <w:rPr>
          <w:rFonts w:hint="eastAsia" w:ascii="宋体" w:hAnsi="宋体" w:eastAsia="宋体" w:cs="宋体"/>
          <w:sz w:val="24"/>
          <w:szCs w:val="24"/>
        </w:rPr>
        <w:t>根据本合同的规定向甲方收取相关费用。</w:t>
      </w:r>
    </w:p>
    <w:p>
      <w:pPr>
        <w:pStyle w:val="33"/>
        <w:keepNext w:val="0"/>
        <w:keepLines w:val="0"/>
        <w:pageBreakBefore w:val="0"/>
        <w:widowControl w:val="0"/>
        <w:numPr>
          <w:ilvl w:val="1"/>
          <w:numId w:val="0"/>
        </w:numPr>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Hans"/>
        </w:rPr>
        <w:t>.</w:t>
      </w:r>
      <w:r>
        <w:rPr>
          <w:rFonts w:hint="eastAsia" w:ascii="宋体" w:hAnsi="宋体" w:eastAsia="宋体" w:cs="宋体"/>
          <w:sz w:val="24"/>
          <w:szCs w:val="24"/>
        </w:rPr>
        <w:t>及时向甲方通告本项目实施相关重大事项，及时配合处理售后。</w:t>
      </w:r>
    </w:p>
    <w:p>
      <w:pPr>
        <w:pStyle w:val="33"/>
        <w:keepNext w:val="0"/>
        <w:keepLines w:val="0"/>
        <w:pageBreakBefore w:val="0"/>
        <w:widowControl w:val="0"/>
        <w:numPr>
          <w:ilvl w:val="1"/>
          <w:numId w:val="0"/>
        </w:numPr>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Hans"/>
        </w:rPr>
        <w:t>.</w:t>
      </w:r>
      <w:r>
        <w:rPr>
          <w:rFonts w:hint="eastAsia" w:ascii="宋体" w:hAnsi="宋体" w:eastAsia="宋体" w:cs="宋体"/>
          <w:sz w:val="24"/>
          <w:szCs w:val="24"/>
        </w:rPr>
        <w:t>接受项目行业管理部门及政府有关部门的指导，接受甲方的监督。</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b/>
          <w:bCs/>
          <w:sz w:val="24"/>
          <w:szCs w:val="24"/>
        </w:rPr>
      </w:pPr>
      <w:r>
        <w:rPr>
          <w:rFonts w:hint="eastAsia" w:ascii="宋体" w:hAnsi="宋体" w:eastAsia="宋体" w:cs="宋体"/>
          <w:sz w:val="24"/>
          <w:szCs w:val="24"/>
        </w:rPr>
        <w:t>5</w:t>
      </w:r>
      <w:r>
        <w:rPr>
          <w:rFonts w:hint="eastAsia" w:ascii="宋体" w:hAnsi="宋体" w:eastAsia="宋体" w:cs="宋体"/>
          <w:sz w:val="24"/>
          <w:szCs w:val="24"/>
          <w:lang w:eastAsia="zh-Hans"/>
        </w:rPr>
        <w:t>.</w:t>
      </w:r>
      <w:r>
        <w:rPr>
          <w:rFonts w:hint="eastAsia" w:ascii="宋体" w:hAnsi="宋体" w:eastAsia="宋体" w:cs="宋体"/>
          <w:sz w:val="24"/>
          <w:szCs w:val="24"/>
        </w:rPr>
        <w:t>国家法律、法规所规定由乙方承担的其它责任。</w:t>
      </w:r>
    </w:p>
    <w:p>
      <w:pPr>
        <w:keepNext w:val="0"/>
        <w:keepLines w:val="0"/>
        <w:pageBreakBefore w:val="0"/>
        <w:widowControl w:val="0"/>
        <w:kinsoku/>
        <w:autoSpaceDE/>
        <w:autoSpaceDN/>
        <w:bidi w:val="0"/>
        <w:adjustRightInd w:val="0"/>
        <w:snapToGrid w:val="0"/>
        <w:spacing w:line="520" w:lineRule="exact"/>
        <w:ind w:left="0" w:leftChars="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七、履约保证金要求</w:t>
      </w:r>
    </w:p>
    <w:p>
      <w:pPr>
        <w:keepNext w:val="0"/>
        <w:keepLines w:val="0"/>
        <w:pageBreakBefore w:val="0"/>
        <w:widowControl w:val="0"/>
        <w:kinsoku/>
        <w:overflowPunct w:val="0"/>
        <w:autoSpaceDE/>
        <w:autoSpaceDN/>
        <w:bidi w:val="0"/>
        <w:adjustRightInd w:val="0"/>
        <w:snapToGrid w:val="0"/>
        <w:spacing w:before="0" w:after="0" w:line="520" w:lineRule="exact"/>
        <w:ind w:left="0" w:leftChars="0"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sz w:val="24"/>
          <w:szCs w:val="24"/>
        </w:rPr>
        <w:t xml:space="preserve"> </w:t>
      </w:r>
      <w:r>
        <w:rPr>
          <w:rFonts w:hint="eastAsia" w:ascii="宋体" w:hAnsi="宋体" w:eastAsia="宋体" w:cs="宋体"/>
          <w:b w:val="0"/>
          <w:bCs/>
          <w:sz w:val="24"/>
          <w:szCs w:val="24"/>
        </w:rPr>
        <w:t>1.履约保证金为</w:t>
      </w:r>
      <w:r>
        <w:rPr>
          <w:rFonts w:hint="eastAsia" w:ascii="宋体" w:hAnsi="宋体" w:eastAsia="宋体" w:cs="宋体"/>
          <w:b w:val="0"/>
          <w:bCs/>
          <w:sz w:val="24"/>
          <w:szCs w:val="24"/>
          <w:u w:val="single"/>
        </w:rPr>
        <w:t xml:space="preserve">      </w:t>
      </w:r>
      <w:r>
        <w:rPr>
          <w:rFonts w:hint="eastAsia" w:cs="宋体"/>
          <w:b w:val="0"/>
          <w:bCs/>
          <w:sz w:val="24"/>
          <w:szCs w:val="24"/>
          <w:u w:val="single"/>
          <w:lang w:eastAsia="zh-CN"/>
        </w:rPr>
        <w:t>(</w:t>
      </w:r>
      <w:r>
        <w:rPr>
          <w:rFonts w:hint="eastAsia" w:ascii="宋体" w:hAnsi="宋体" w:eastAsia="宋体" w:cs="宋体"/>
          <w:b w:val="0"/>
          <w:bCs/>
          <w:sz w:val="24"/>
          <w:szCs w:val="24"/>
        </w:rPr>
        <w:t>合同金额的5%</w:t>
      </w:r>
      <w:r>
        <w:rPr>
          <w:rFonts w:hint="eastAsia" w:cs="宋体"/>
          <w:b w:val="0"/>
          <w:bCs/>
          <w:sz w:val="24"/>
          <w:szCs w:val="24"/>
          <w:lang w:eastAsia="zh-CN"/>
        </w:rPr>
        <w:t>)</w:t>
      </w:r>
      <w:r>
        <w:rPr>
          <w:rFonts w:hint="eastAsia" w:ascii="宋体" w:hAnsi="宋体" w:eastAsia="宋体" w:cs="宋体"/>
          <w:b w:val="0"/>
          <w:bCs/>
          <w:sz w:val="24"/>
          <w:szCs w:val="24"/>
        </w:rPr>
        <w:t>，乙方应在中标通知书发出之日起合同签订前以银行转账、支票、汇票、本票或者金融机构、担保机构出具的保函等非现金形式向甲方提交履约保证金。</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napToGrid w:val="0"/>
          <w:sz w:val="24"/>
          <w:szCs w:val="24"/>
        </w:rPr>
      </w:pPr>
      <w:r>
        <w:rPr>
          <w:rFonts w:hint="eastAsia" w:ascii="宋体" w:hAnsi="宋体" w:eastAsia="宋体" w:cs="宋体"/>
          <w:bCs/>
          <w:sz w:val="24"/>
          <w:szCs w:val="24"/>
        </w:rPr>
        <w:t>2.</w:t>
      </w:r>
      <w:r>
        <w:rPr>
          <w:rFonts w:hint="eastAsia" w:ascii="宋体" w:hAnsi="宋体" w:eastAsia="宋体" w:cs="宋体"/>
          <w:snapToGrid w:val="0"/>
          <w:sz w:val="24"/>
          <w:szCs w:val="24"/>
        </w:rPr>
        <w:t>履行合同约定(含售后服务)完毕且验收合格后，10个日历天内无息退还乙方应退部分履约保证金。因甲方原因逾期退还的，应当以未退还金额为基数，按合同订立时1年期贷款市场报价利率标准向乙方支付相应违约金，但违约金最高不得超过未退还金额的百分之二十。若因乙方不及时或未提供“收到退还履约保证金的收据”、“履约保证金退还申请”的，则甲方不承担逾期退还违约责任。</w:t>
      </w:r>
    </w:p>
    <w:p>
      <w:pPr>
        <w:keepNext w:val="0"/>
        <w:keepLines w:val="0"/>
        <w:pageBreakBefore w:val="0"/>
        <w:widowControl w:val="0"/>
        <w:kinsoku/>
        <w:autoSpaceDE/>
        <w:autoSpaceDN/>
        <w:bidi w:val="0"/>
        <w:adjustRightInd w:val="0"/>
        <w:snapToGrid w:val="0"/>
        <w:spacing w:before="0" w:after="0" w:line="520" w:lineRule="exact"/>
        <w:ind w:left="0" w:leftChars="0"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3.履约保证金汇入的银行及账号：</w:t>
      </w:r>
    </w:p>
    <w:p>
      <w:pPr>
        <w:keepNext w:val="0"/>
        <w:keepLines w:val="0"/>
        <w:pageBreakBefore w:val="0"/>
        <w:widowControl w:val="0"/>
        <w:kinsoku/>
        <w:autoSpaceDE/>
        <w:autoSpaceDN/>
        <w:bidi w:val="0"/>
        <w:adjustRightInd w:val="0"/>
        <w:snapToGrid w:val="0"/>
        <w:spacing w:before="0" w:after="0" w:line="520" w:lineRule="exact"/>
        <w:ind w:left="0" w:leftChars="0"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收款账号：成都市技师学院</w:t>
      </w:r>
    </w:p>
    <w:p>
      <w:pPr>
        <w:keepNext w:val="0"/>
        <w:keepLines w:val="0"/>
        <w:pageBreakBefore w:val="0"/>
        <w:widowControl w:val="0"/>
        <w:kinsoku/>
        <w:autoSpaceDE/>
        <w:autoSpaceDN/>
        <w:bidi w:val="0"/>
        <w:adjustRightInd w:val="0"/>
        <w:snapToGrid w:val="0"/>
        <w:spacing w:before="0" w:after="0" w:line="520" w:lineRule="exact"/>
        <w:ind w:left="0" w:leftChars="0"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开户行：工行四川成都分行郫都红光支行</w:t>
      </w:r>
    </w:p>
    <w:p>
      <w:pPr>
        <w:keepNext w:val="0"/>
        <w:keepLines w:val="0"/>
        <w:pageBreakBefore w:val="0"/>
        <w:widowControl w:val="0"/>
        <w:kinsoku/>
        <w:autoSpaceDE/>
        <w:autoSpaceDN/>
        <w:bidi w:val="0"/>
        <w:adjustRightInd w:val="0"/>
        <w:snapToGrid w:val="0"/>
        <w:spacing w:before="0" w:after="0" w:line="520" w:lineRule="exact"/>
        <w:ind w:left="0" w:leftChars="0"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银行账号：4402054609100031151</w:t>
      </w:r>
    </w:p>
    <w:p>
      <w:pPr>
        <w:keepNext w:val="0"/>
        <w:keepLines w:val="0"/>
        <w:pageBreakBefore w:val="0"/>
        <w:widowControl w:val="0"/>
        <w:kinsoku/>
        <w:autoSpaceDE/>
        <w:autoSpaceDN/>
        <w:bidi w:val="0"/>
        <w:adjustRightInd w:val="0"/>
        <w:snapToGrid w:val="0"/>
        <w:spacing w:before="0" w:after="0" w:line="520" w:lineRule="exact"/>
        <w:ind w:left="0" w:leftChars="0" w:firstLine="480" w:firstLineChars="200"/>
        <w:jc w:val="left"/>
        <w:textAlignment w:val="auto"/>
        <w:outlineLvl w:val="9"/>
        <w:rPr>
          <w:rFonts w:hint="eastAsia" w:ascii="宋体" w:hAnsi="宋体" w:eastAsia="宋体" w:cs="宋体"/>
          <w:b w:val="0"/>
          <w:sz w:val="24"/>
          <w:szCs w:val="24"/>
        </w:rPr>
      </w:pPr>
      <w:r>
        <w:rPr>
          <w:rFonts w:hint="eastAsia" w:ascii="宋体" w:hAnsi="宋体" w:eastAsia="宋体" w:cs="宋体"/>
          <w:b w:val="0"/>
          <w:bCs/>
          <w:sz w:val="24"/>
          <w:szCs w:val="24"/>
        </w:rPr>
        <w:t>4.履约保证金不予退还情形:一是乙方未按合同要求履行的，其履约保证金全部扣除。二是乙方缴纳了履约保证金，但因自身原因被取消成交资格或在成交公示期满之日起30日历天</w:t>
      </w:r>
      <w:r>
        <w:rPr>
          <w:rFonts w:hint="eastAsia" w:cs="宋体"/>
          <w:b w:val="0"/>
          <w:bCs/>
          <w:sz w:val="24"/>
          <w:szCs w:val="24"/>
          <w:lang w:eastAsia="zh-CN"/>
        </w:rPr>
        <w:t>(</w:t>
      </w:r>
      <w:r>
        <w:rPr>
          <w:rFonts w:hint="eastAsia" w:ascii="宋体" w:hAnsi="宋体" w:eastAsia="宋体" w:cs="宋体"/>
          <w:b w:val="0"/>
          <w:bCs/>
          <w:sz w:val="24"/>
          <w:szCs w:val="24"/>
        </w:rPr>
        <w:t>含法定节假日</w:t>
      </w:r>
      <w:r>
        <w:rPr>
          <w:rFonts w:hint="eastAsia" w:cs="宋体"/>
          <w:b w:val="0"/>
          <w:bCs/>
          <w:sz w:val="24"/>
          <w:szCs w:val="24"/>
          <w:lang w:eastAsia="zh-CN"/>
        </w:rPr>
        <w:t>)</w:t>
      </w:r>
      <w:r>
        <w:rPr>
          <w:rFonts w:hint="eastAsia" w:ascii="宋体" w:hAnsi="宋体" w:eastAsia="宋体" w:cs="宋体"/>
          <w:b w:val="0"/>
          <w:bCs/>
          <w:sz w:val="24"/>
          <w:szCs w:val="24"/>
        </w:rPr>
        <w:t>内乙方不按招标文件确定的事项与甲方签订合同的，其履约保证金不予退还。</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八、验收、交付标准和方法</w:t>
      </w:r>
    </w:p>
    <w:p>
      <w:pPr>
        <w:keepNext w:val="0"/>
        <w:keepLines w:val="0"/>
        <w:pageBreakBefore w:val="0"/>
        <w:widowControl w:val="0"/>
        <w:kinsoku/>
        <w:autoSpaceDE/>
        <w:autoSpaceDN/>
        <w:bidi w:val="0"/>
        <w:adjustRightInd w:val="0"/>
        <w:snapToGrid w:val="0"/>
        <w:spacing w:before="0" w:after="0" w:line="520" w:lineRule="exact"/>
        <w:ind w:left="0" w:leftChars="0" w:firstLine="480" w:firstLineChars="200"/>
        <w:jc w:val="left"/>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1.验收主体：成都市技师学院。</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2.验收时间：XXXX。</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3.验收方式(方法)：</w:t>
      </w:r>
      <w:r>
        <w:rPr>
          <w:rFonts w:hint="eastAsia" w:ascii="宋体" w:hAnsi="宋体" w:eastAsia="宋体" w:cs="宋体"/>
          <w:bCs/>
          <w:sz w:val="24"/>
          <w:szCs w:val="24"/>
        </w:rPr>
        <w:t>现场验收。</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4.验收程序：乙方递交验收申请后，甲方组织3人以上的验收小组进行现场测试验收；验收合格，则签署《验收报告单》，若验收不合格，乙方应在接到</w:t>
      </w:r>
      <w:r>
        <w:rPr>
          <w:rFonts w:hint="eastAsia" w:ascii="宋体" w:hAnsi="宋体" w:eastAsia="宋体" w:cs="宋体"/>
          <w:sz w:val="24"/>
          <w:szCs w:val="24"/>
          <w:lang w:eastAsia="zh-CN"/>
        </w:rPr>
        <w:t>甲方</w:t>
      </w:r>
      <w:r>
        <w:rPr>
          <w:rFonts w:hint="eastAsia" w:ascii="宋体" w:hAnsi="宋体" w:eastAsia="宋体" w:cs="宋体"/>
          <w:sz w:val="24"/>
          <w:szCs w:val="24"/>
        </w:rPr>
        <w:t>整改通知之日起15个日历天内完成整改，再由甲方组织重新验收，若测评服务再次验收不合格则视为</w:t>
      </w:r>
      <w:r>
        <w:rPr>
          <w:rFonts w:hint="eastAsia" w:ascii="宋体" w:hAnsi="宋体" w:eastAsia="宋体" w:cs="宋体"/>
          <w:sz w:val="24"/>
          <w:szCs w:val="24"/>
          <w:lang w:eastAsia="zh-CN"/>
        </w:rPr>
        <w:t>乙方</w:t>
      </w:r>
      <w:r>
        <w:rPr>
          <w:rFonts w:hint="eastAsia" w:ascii="宋体" w:hAnsi="宋体" w:eastAsia="宋体" w:cs="宋体"/>
          <w:sz w:val="24"/>
          <w:szCs w:val="24"/>
        </w:rPr>
        <w:t>不能履约，甲方有权终止合同，并按合同约定追究乙方的违约责任。</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sz w:val="24"/>
          <w:szCs w:val="24"/>
        </w:rPr>
        <w:t>5.验收内容：</w:t>
      </w:r>
      <w:r>
        <w:rPr>
          <w:rFonts w:hint="eastAsia" w:ascii="宋体" w:hAnsi="宋体" w:eastAsia="宋体" w:cs="宋体"/>
          <w:bCs/>
          <w:sz w:val="24"/>
          <w:szCs w:val="24"/>
        </w:rPr>
        <w:t>(1)</w:t>
      </w:r>
      <w:r>
        <w:rPr>
          <w:rFonts w:hint="eastAsia" w:ascii="宋体" w:hAnsi="宋体" w:eastAsia="宋体" w:cs="宋体"/>
          <w:bCs/>
          <w:sz w:val="24"/>
          <w:szCs w:val="24"/>
          <w:lang w:eastAsia="zh-CN"/>
        </w:rPr>
        <w:t>乙方</w:t>
      </w:r>
      <w:r>
        <w:rPr>
          <w:rFonts w:hint="eastAsia" w:ascii="宋体" w:hAnsi="宋体" w:eastAsia="宋体" w:cs="宋体"/>
          <w:bCs/>
          <w:sz w:val="24"/>
          <w:szCs w:val="24"/>
        </w:rPr>
        <w:t>完成测评、文档资料提交等工作后，书面通知</w:t>
      </w:r>
      <w:r>
        <w:rPr>
          <w:rFonts w:hint="eastAsia" w:ascii="宋体" w:hAnsi="宋体" w:eastAsia="宋体" w:cs="宋体"/>
          <w:bCs/>
          <w:sz w:val="24"/>
          <w:szCs w:val="24"/>
          <w:lang w:eastAsia="zh-CN"/>
        </w:rPr>
        <w:t>甲方</w:t>
      </w:r>
      <w:r>
        <w:rPr>
          <w:rFonts w:hint="eastAsia" w:ascii="宋体" w:hAnsi="宋体" w:eastAsia="宋体" w:cs="宋体"/>
          <w:bCs/>
          <w:sz w:val="24"/>
          <w:szCs w:val="24"/>
        </w:rPr>
        <w:t>验收。</w:t>
      </w:r>
      <w:r>
        <w:rPr>
          <w:rFonts w:hint="eastAsia" w:ascii="宋体" w:hAnsi="宋体" w:eastAsia="宋体" w:cs="宋体"/>
          <w:bCs/>
          <w:sz w:val="24"/>
          <w:szCs w:val="24"/>
          <w:lang w:eastAsia="zh-CN"/>
        </w:rPr>
        <w:t>甲方</w:t>
      </w:r>
      <w:r>
        <w:rPr>
          <w:rFonts w:hint="eastAsia" w:ascii="宋体" w:hAnsi="宋体" w:eastAsia="宋体" w:cs="宋体"/>
          <w:bCs/>
          <w:sz w:val="24"/>
          <w:szCs w:val="24"/>
        </w:rPr>
        <w:t>接到项目验收书面通知后5个日历天内组织验收；验收合格，签署《验收报告单》；验收不合格，</w:t>
      </w:r>
      <w:r>
        <w:rPr>
          <w:rFonts w:hint="eastAsia" w:ascii="宋体" w:hAnsi="宋体" w:eastAsia="宋体" w:cs="宋体"/>
          <w:bCs/>
          <w:sz w:val="24"/>
          <w:szCs w:val="24"/>
          <w:lang w:eastAsia="zh-CN"/>
        </w:rPr>
        <w:t>乙方</w:t>
      </w:r>
      <w:r>
        <w:rPr>
          <w:rFonts w:hint="eastAsia" w:ascii="宋体" w:hAnsi="宋体" w:eastAsia="宋体" w:cs="宋体"/>
          <w:bCs/>
          <w:sz w:val="24"/>
          <w:szCs w:val="24"/>
        </w:rPr>
        <w:t>应在10个日历天内整改后重新验收。再次验收不合格则视为</w:t>
      </w:r>
      <w:r>
        <w:rPr>
          <w:rFonts w:hint="eastAsia" w:ascii="宋体" w:hAnsi="宋体" w:eastAsia="宋体" w:cs="宋体"/>
          <w:bCs/>
          <w:sz w:val="24"/>
          <w:szCs w:val="24"/>
          <w:lang w:eastAsia="zh-CN"/>
        </w:rPr>
        <w:t>乙方</w:t>
      </w:r>
      <w:r>
        <w:rPr>
          <w:rFonts w:hint="eastAsia" w:ascii="宋体" w:hAnsi="宋体" w:eastAsia="宋体" w:cs="宋体"/>
          <w:bCs/>
          <w:sz w:val="24"/>
          <w:szCs w:val="24"/>
        </w:rPr>
        <w:t>不能按期履约，</w:t>
      </w:r>
      <w:r>
        <w:rPr>
          <w:rFonts w:hint="eastAsia" w:ascii="宋体" w:hAnsi="宋体" w:eastAsia="宋体" w:cs="宋体"/>
          <w:bCs/>
          <w:sz w:val="24"/>
          <w:szCs w:val="24"/>
          <w:lang w:eastAsia="zh-CN"/>
        </w:rPr>
        <w:t>乙方</w:t>
      </w:r>
      <w:r>
        <w:rPr>
          <w:rFonts w:hint="eastAsia" w:ascii="宋体" w:hAnsi="宋体" w:eastAsia="宋体" w:cs="宋体"/>
          <w:bCs/>
          <w:sz w:val="24"/>
          <w:szCs w:val="24"/>
        </w:rPr>
        <w:t>应承担相应的违约责任。</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rPr>
        <w:t>6.验收标准：</w:t>
      </w:r>
      <w:r>
        <w:rPr>
          <w:rFonts w:hint="eastAsia" w:cs="宋体"/>
          <w:bCs/>
          <w:sz w:val="24"/>
          <w:szCs w:val="24"/>
          <w:lang w:eastAsia="zh-CN"/>
        </w:rPr>
        <w:t>(</w:t>
      </w:r>
      <w:r>
        <w:rPr>
          <w:rFonts w:hint="eastAsia" w:ascii="宋体" w:hAnsi="宋体" w:eastAsia="宋体" w:cs="宋体"/>
          <w:bCs/>
          <w:sz w:val="24"/>
          <w:szCs w:val="24"/>
        </w:rPr>
        <w:t>1</w:t>
      </w:r>
      <w:r>
        <w:rPr>
          <w:rFonts w:hint="eastAsia" w:cs="宋体"/>
          <w:bCs/>
          <w:sz w:val="24"/>
          <w:szCs w:val="24"/>
          <w:lang w:eastAsia="zh-CN"/>
        </w:rPr>
        <w:t>)</w:t>
      </w:r>
      <w:r>
        <w:rPr>
          <w:rFonts w:hint="eastAsia" w:ascii="宋体" w:hAnsi="宋体" w:eastAsia="宋体" w:cs="宋体"/>
          <w:bCs/>
          <w:sz w:val="24"/>
          <w:szCs w:val="24"/>
        </w:rPr>
        <w:t>按</w:t>
      </w:r>
      <w:r>
        <w:rPr>
          <w:rFonts w:hint="eastAsia" w:ascii="宋体" w:hAnsi="宋体" w:eastAsia="宋体" w:cs="宋体"/>
          <w:bCs/>
          <w:sz w:val="24"/>
          <w:szCs w:val="24"/>
          <w:lang w:eastAsia="zh-CN"/>
        </w:rPr>
        <w:t>甲方</w:t>
      </w:r>
      <w:r>
        <w:rPr>
          <w:rFonts w:hint="eastAsia" w:ascii="宋体" w:hAnsi="宋体" w:eastAsia="宋体" w:cs="宋体"/>
          <w:bCs/>
          <w:sz w:val="24"/>
          <w:szCs w:val="24"/>
        </w:rPr>
        <w:t>的竞争性磋商的要求和技术指标、</w:t>
      </w:r>
      <w:r>
        <w:rPr>
          <w:rFonts w:hint="eastAsia" w:ascii="宋体" w:hAnsi="宋体" w:eastAsia="宋体" w:cs="宋体"/>
          <w:bCs/>
          <w:sz w:val="24"/>
          <w:szCs w:val="24"/>
          <w:lang w:eastAsia="zh-CN"/>
        </w:rPr>
        <w:t>乙方</w:t>
      </w:r>
      <w:r>
        <w:rPr>
          <w:rFonts w:hint="eastAsia" w:ascii="宋体" w:hAnsi="宋体" w:eastAsia="宋体" w:cs="宋体"/>
          <w:bCs/>
          <w:sz w:val="24"/>
          <w:szCs w:val="24"/>
        </w:rPr>
        <w:t>的响应文件及承诺与本合同约定标准进行验收；</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bCs/>
          <w:sz w:val="24"/>
          <w:szCs w:val="24"/>
        </w:rPr>
      </w:pPr>
      <w:r>
        <w:rPr>
          <w:rFonts w:hint="eastAsia" w:cs="宋体"/>
          <w:bCs/>
          <w:sz w:val="24"/>
          <w:szCs w:val="24"/>
          <w:lang w:eastAsia="zh-CN"/>
        </w:rPr>
        <w:t>(</w:t>
      </w:r>
      <w:r>
        <w:rPr>
          <w:rFonts w:hint="eastAsia" w:ascii="宋体" w:hAnsi="宋体" w:eastAsia="宋体" w:cs="宋体"/>
          <w:bCs/>
          <w:sz w:val="24"/>
          <w:szCs w:val="24"/>
        </w:rPr>
        <w:t>2</w:t>
      </w:r>
      <w:r>
        <w:rPr>
          <w:rFonts w:hint="eastAsia" w:cs="宋体"/>
          <w:bCs/>
          <w:sz w:val="24"/>
          <w:szCs w:val="24"/>
          <w:lang w:eastAsia="zh-CN"/>
        </w:rPr>
        <w:t>)</w:t>
      </w:r>
      <w:r>
        <w:rPr>
          <w:rFonts w:hint="eastAsia" w:ascii="宋体" w:hAnsi="宋体" w:eastAsia="宋体" w:cs="宋体"/>
          <w:bCs/>
          <w:sz w:val="24"/>
          <w:szCs w:val="24"/>
        </w:rPr>
        <w:t>其他未尽事宜应参照《财政部关于进一步加强政府采购需求和履约验收管理的指导意见》(财库〔2016〕205号)</w:t>
      </w:r>
      <w:r>
        <w:rPr>
          <w:rFonts w:hint="eastAsia" w:cs="宋体"/>
          <w:color w:val="auto"/>
        </w:rPr>
        <w:t>、《政府采购需求管理办法》(财库〔2021〕22号)及采购文件验收相关规定组织验收</w:t>
      </w:r>
      <w:r>
        <w:rPr>
          <w:rFonts w:hint="eastAsia" w:ascii="宋体" w:hAnsi="宋体" w:eastAsia="宋体" w:cs="宋体"/>
          <w:bCs/>
          <w:sz w:val="24"/>
          <w:szCs w:val="24"/>
        </w:rPr>
        <w:t>。</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cs="宋体"/>
          <w:bCs/>
          <w:sz w:val="24"/>
          <w:szCs w:val="24"/>
          <w:lang w:eastAsia="zh-CN"/>
        </w:rPr>
        <w:t>(</w:t>
      </w:r>
      <w:r>
        <w:rPr>
          <w:rFonts w:hint="eastAsia" w:ascii="宋体" w:hAnsi="宋体" w:eastAsia="宋体" w:cs="宋体"/>
          <w:bCs/>
          <w:sz w:val="24"/>
          <w:szCs w:val="24"/>
        </w:rPr>
        <w:t>3</w:t>
      </w:r>
      <w:r>
        <w:rPr>
          <w:rFonts w:hint="eastAsia" w:cs="宋体"/>
          <w:bCs/>
          <w:sz w:val="24"/>
          <w:szCs w:val="24"/>
          <w:lang w:eastAsia="zh-CN"/>
        </w:rPr>
        <w:t>)</w:t>
      </w:r>
      <w:r>
        <w:rPr>
          <w:rFonts w:hint="eastAsia" w:ascii="宋体" w:hAnsi="宋体" w:eastAsia="宋体" w:cs="宋体"/>
          <w:bCs/>
          <w:sz w:val="24"/>
          <w:szCs w:val="24"/>
        </w:rPr>
        <w:t>测评、文档资料经</w:t>
      </w:r>
      <w:r>
        <w:rPr>
          <w:rFonts w:hint="eastAsia" w:ascii="宋体" w:hAnsi="宋体" w:eastAsia="宋体" w:cs="宋体"/>
          <w:bCs/>
          <w:sz w:val="24"/>
          <w:szCs w:val="24"/>
          <w:lang w:eastAsia="zh-CN"/>
        </w:rPr>
        <w:t>甲方</w:t>
      </w:r>
      <w:r>
        <w:rPr>
          <w:rFonts w:hint="eastAsia" w:ascii="宋体" w:hAnsi="宋体" w:eastAsia="宋体" w:cs="宋体"/>
          <w:bCs/>
          <w:sz w:val="24"/>
          <w:szCs w:val="24"/>
        </w:rPr>
        <w:t>验收合格后，</w:t>
      </w:r>
      <w:r>
        <w:rPr>
          <w:rFonts w:hint="eastAsia" w:ascii="宋体" w:hAnsi="宋体" w:eastAsia="宋体" w:cs="宋体"/>
          <w:bCs/>
          <w:sz w:val="24"/>
          <w:szCs w:val="24"/>
          <w:lang w:eastAsia="zh-CN"/>
        </w:rPr>
        <w:t>乙方</w:t>
      </w:r>
      <w:r>
        <w:rPr>
          <w:rFonts w:hint="eastAsia" w:ascii="宋体" w:hAnsi="宋体" w:eastAsia="宋体" w:cs="宋体"/>
          <w:bCs/>
          <w:sz w:val="24"/>
          <w:szCs w:val="24"/>
        </w:rPr>
        <w:t>将文档资料装订成册移交</w:t>
      </w:r>
      <w:r>
        <w:rPr>
          <w:rFonts w:hint="eastAsia" w:ascii="宋体" w:hAnsi="宋体" w:eastAsia="宋体" w:cs="宋体"/>
          <w:bCs/>
          <w:sz w:val="24"/>
          <w:szCs w:val="24"/>
          <w:lang w:eastAsia="zh-CN"/>
        </w:rPr>
        <w:t>甲方</w:t>
      </w:r>
      <w:r>
        <w:rPr>
          <w:rFonts w:hint="eastAsia" w:ascii="宋体" w:hAnsi="宋体" w:eastAsia="宋体" w:cs="宋体"/>
          <w:bCs/>
          <w:sz w:val="24"/>
          <w:szCs w:val="24"/>
        </w:rPr>
        <w:t>视为完成交付。</w:t>
      </w:r>
    </w:p>
    <w:p>
      <w:pPr>
        <w:keepNext w:val="0"/>
        <w:keepLines w:val="0"/>
        <w:pageBreakBefore w:val="0"/>
        <w:widowControl w:val="0"/>
        <w:kinsoku/>
        <w:autoSpaceDE/>
        <w:autoSpaceDN/>
        <w:bidi w:val="0"/>
        <w:adjustRightInd w:val="0"/>
        <w:snapToGrid w:val="0"/>
        <w:spacing w:line="520" w:lineRule="exact"/>
        <w:ind w:left="0" w:leftChars="0"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sz w:val="24"/>
          <w:szCs w:val="24"/>
        </w:rPr>
        <w:t>7.交付标准和方法：</w:t>
      </w:r>
      <w:r>
        <w:rPr>
          <w:rFonts w:hint="eastAsia" w:ascii="宋体" w:hAnsi="宋体" w:eastAsia="宋体" w:cs="宋体"/>
          <w:bCs/>
          <w:sz w:val="24"/>
          <w:szCs w:val="24"/>
          <w:lang w:eastAsia="zh-CN"/>
        </w:rPr>
        <w:t>乙方</w:t>
      </w:r>
      <w:r>
        <w:rPr>
          <w:rFonts w:hint="eastAsia" w:ascii="宋体" w:hAnsi="宋体" w:eastAsia="宋体" w:cs="宋体"/>
          <w:bCs/>
          <w:sz w:val="24"/>
          <w:szCs w:val="24"/>
        </w:rPr>
        <w:t>完成成都市技师学院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rPr>
        <w:t>私有云平台及</w:t>
      </w:r>
      <w:r>
        <w:rPr>
          <w:rFonts w:hint="eastAsia" w:ascii="宋体" w:hAnsi="宋体" w:eastAsia="宋体" w:cs="宋体"/>
          <w:bCs/>
          <w:sz w:val="24"/>
          <w:szCs w:val="24"/>
          <w:lang w:eastAsia="zh-CN"/>
        </w:rPr>
        <w:t>网站群</w:t>
      </w:r>
      <w:r>
        <w:rPr>
          <w:rFonts w:hint="eastAsia" w:ascii="宋体" w:hAnsi="宋体" w:eastAsia="宋体" w:cs="宋体"/>
          <w:bCs/>
          <w:sz w:val="24"/>
          <w:szCs w:val="24"/>
        </w:rPr>
        <w:t>等保测评服务需提交的文档资料：</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bCs/>
          <w:sz w:val="24"/>
          <w:szCs w:val="24"/>
        </w:rPr>
        <w:t>①测评进场前的“测评申请报告”、“测评风险告知书”、“现场测评授权书”、“成都市技师学院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rPr>
        <w:t>私有云平台及</w:t>
      </w:r>
      <w:r>
        <w:rPr>
          <w:rFonts w:hint="eastAsia" w:ascii="宋体" w:hAnsi="宋体" w:eastAsia="宋体" w:cs="宋体"/>
          <w:bCs/>
          <w:sz w:val="24"/>
          <w:szCs w:val="24"/>
          <w:lang w:eastAsia="zh-CN"/>
        </w:rPr>
        <w:t>网站群</w:t>
      </w:r>
      <w:r>
        <w:rPr>
          <w:rFonts w:hint="eastAsia" w:ascii="宋体" w:hAnsi="宋体" w:eastAsia="宋体" w:cs="宋体"/>
          <w:bCs/>
          <w:sz w:val="24"/>
          <w:szCs w:val="24"/>
        </w:rPr>
        <w:t>等级保护测评方案”；②测评时的“测评现场记录表”、“私有云平台及</w:t>
      </w:r>
      <w:r>
        <w:rPr>
          <w:rFonts w:hint="eastAsia" w:ascii="宋体" w:hAnsi="宋体" w:eastAsia="宋体" w:cs="宋体"/>
          <w:bCs/>
          <w:sz w:val="24"/>
          <w:szCs w:val="24"/>
          <w:lang w:eastAsia="zh-CN"/>
        </w:rPr>
        <w:t>网站群</w:t>
      </w:r>
      <w:r>
        <w:rPr>
          <w:rFonts w:hint="eastAsia" w:ascii="宋体" w:hAnsi="宋体" w:eastAsia="宋体" w:cs="宋体"/>
          <w:bCs/>
          <w:sz w:val="24"/>
          <w:szCs w:val="24"/>
        </w:rPr>
        <w:t>信息系统安全漏洞扫描和渗透测试报告” ；③测评后的“等级保护测评报告”</w:t>
      </w:r>
      <w:r>
        <w:rPr>
          <w:rFonts w:hint="eastAsia" w:cs="宋体"/>
          <w:bCs/>
          <w:sz w:val="24"/>
          <w:szCs w:val="24"/>
          <w:lang w:eastAsia="zh-CN"/>
        </w:rPr>
        <w:t>(</w:t>
      </w:r>
      <w:r>
        <w:rPr>
          <w:rFonts w:hint="eastAsia" w:ascii="宋体" w:hAnsi="宋体" w:eastAsia="宋体" w:cs="宋体"/>
          <w:bCs/>
          <w:sz w:val="24"/>
          <w:szCs w:val="24"/>
        </w:rPr>
        <w:t>该报告包括：项目基本收集与分析、测评指导书开发、测评方案编制、安全物理环境测评、安全通信网络测评、安全区域边界测评、安全计算环境测评、安全管理中心测评、安全管理制度测评、安全管理人员测评、安全管理机构测评、安全建设管理测评、安全运维管理测评、漏洞扫描及渗透测试、整体测评、系统安全保障评估、安全问题风险分析等</w:t>
      </w:r>
      <w:r>
        <w:rPr>
          <w:rFonts w:hint="eastAsia" w:cs="宋体"/>
          <w:bCs/>
          <w:sz w:val="24"/>
          <w:szCs w:val="24"/>
          <w:lang w:eastAsia="zh-CN"/>
        </w:rPr>
        <w:t>)</w:t>
      </w:r>
      <w:r>
        <w:rPr>
          <w:rFonts w:hint="eastAsia" w:ascii="宋体" w:hAnsi="宋体" w:eastAsia="宋体" w:cs="宋体"/>
          <w:bCs/>
          <w:sz w:val="24"/>
          <w:szCs w:val="24"/>
        </w:rPr>
        <w:t>，“成都市技师学院</w:t>
      </w:r>
      <w:r>
        <w:rPr>
          <w:rFonts w:hint="eastAsia" w:cs="宋体"/>
          <w:bCs/>
          <w:sz w:val="24"/>
          <w:szCs w:val="24"/>
          <w:lang w:eastAsia="zh-CN"/>
        </w:rPr>
        <w:t>(</w:t>
      </w:r>
      <w:r>
        <w:rPr>
          <w:rFonts w:hint="eastAsia" w:ascii="宋体" w:hAnsi="宋体" w:eastAsia="宋体" w:cs="宋体"/>
          <w:bCs/>
          <w:sz w:val="24"/>
          <w:szCs w:val="24"/>
        </w:rPr>
        <w:t>成都工贸职业技术学院</w:t>
      </w:r>
      <w:r>
        <w:rPr>
          <w:rFonts w:hint="eastAsia" w:cs="宋体"/>
          <w:bCs/>
          <w:sz w:val="24"/>
          <w:szCs w:val="24"/>
          <w:lang w:eastAsia="zh-CN"/>
        </w:rPr>
        <w:t>)</w:t>
      </w:r>
      <w:r>
        <w:rPr>
          <w:rFonts w:hint="eastAsia" w:ascii="宋体" w:hAnsi="宋体" w:eastAsia="宋体" w:cs="宋体"/>
          <w:bCs/>
          <w:sz w:val="24"/>
          <w:szCs w:val="24"/>
        </w:rPr>
        <w:t>私有云平台及</w:t>
      </w:r>
      <w:r>
        <w:rPr>
          <w:rFonts w:hint="eastAsia" w:ascii="宋体" w:hAnsi="宋体" w:eastAsia="宋体" w:cs="宋体"/>
          <w:bCs/>
          <w:sz w:val="24"/>
          <w:szCs w:val="24"/>
          <w:lang w:eastAsia="zh-CN"/>
        </w:rPr>
        <w:t>网站群</w:t>
      </w:r>
      <w:r>
        <w:rPr>
          <w:rFonts w:hint="eastAsia" w:ascii="宋体" w:hAnsi="宋体" w:eastAsia="宋体" w:cs="宋体"/>
          <w:bCs/>
          <w:sz w:val="24"/>
          <w:szCs w:val="24"/>
        </w:rPr>
        <w:t>网络安全等级保护整改建议方案”。</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九、知识产权</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全部损失(包括但不限于因此向第三方支付的赔偿金、违约金等，以及因此支出的诉讼费用、律师费、保全费等)均由乙方承担；若损失计算存在困难的，甲方有权直接要求乙方按照合同总金额10%进行赔偿。若因为乙方侵权行为导致甲方无法继续使用相关产品和服务的，乙方还应退还甲方已支付的全部费用。</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十、合同的变更和终止</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合同继续履行将损害国家利益和社会公共利益的，双方当事人应当变更、中止或者终止合同。有过错的一方应当承担赔偿责任，双方都有过错的，各自承担相应的责任。</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除以上两条规定的情形外，本合同一经签订，甲乙双方不得擅自变更、中止或终止合同。</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十一、合同的分包和转让</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1.乙方不得部分或全部转让其应履行的合同义务；</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2.乙方不得分包。</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十二、解决争议的方法</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1.合同履约期若双方发生争议，双方应通过友好协商解决，经协商仍无法达成一致的，应向</w:t>
      </w:r>
      <w:r>
        <w:rPr>
          <w:rFonts w:hint="eastAsia" w:ascii="宋体" w:hAnsi="宋体" w:eastAsia="宋体" w:cs="宋体"/>
          <w:sz w:val="24"/>
          <w:szCs w:val="24"/>
          <w:lang w:eastAsia="zh-CN"/>
        </w:rPr>
        <w:t>甲方</w:t>
      </w:r>
      <w:r>
        <w:rPr>
          <w:rFonts w:hint="eastAsia" w:ascii="宋体" w:hAnsi="宋体" w:eastAsia="宋体" w:cs="宋体"/>
          <w:sz w:val="24"/>
          <w:szCs w:val="24"/>
        </w:rPr>
        <w:t>所在地的人民法院提起诉讼。</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2.在诉讼过程中，除双方有争议且正在进行诉讼的部分外，对无争议的其他义务双方均应继续履行。</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十三、违约责任</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甲方</w:t>
      </w:r>
      <w:r>
        <w:rPr>
          <w:rFonts w:hint="eastAsia" w:ascii="宋体" w:hAnsi="宋体" w:eastAsia="宋体" w:cs="宋体"/>
          <w:sz w:val="24"/>
          <w:szCs w:val="24"/>
        </w:rPr>
        <w:t>违约责任</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甲方</w:t>
      </w:r>
      <w:r>
        <w:rPr>
          <w:rFonts w:hint="eastAsia" w:ascii="宋体" w:hAnsi="宋体" w:eastAsia="宋体" w:cs="宋体"/>
          <w:sz w:val="24"/>
          <w:szCs w:val="24"/>
        </w:rPr>
        <w:t>逾期支付服务款的，除应及时付足服务款外，应向</w:t>
      </w:r>
      <w:r>
        <w:rPr>
          <w:rFonts w:hint="eastAsia" w:ascii="宋体" w:hAnsi="宋体" w:eastAsia="宋体" w:cs="宋体"/>
          <w:sz w:val="24"/>
          <w:szCs w:val="24"/>
          <w:lang w:eastAsia="zh-CN"/>
        </w:rPr>
        <w:t>乙方</w:t>
      </w:r>
      <w:r>
        <w:rPr>
          <w:rFonts w:hint="eastAsia" w:ascii="宋体" w:hAnsi="宋体" w:eastAsia="宋体" w:cs="宋体"/>
          <w:sz w:val="24"/>
          <w:szCs w:val="24"/>
        </w:rPr>
        <w:t>偿付欠款总额万分之四/天的违约金；逾期付款超过20天的，</w:t>
      </w:r>
      <w:r>
        <w:rPr>
          <w:rFonts w:hint="eastAsia" w:ascii="宋体" w:hAnsi="宋体" w:eastAsia="宋体" w:cs="宋体"/>
          <w:sz w:val="24"/>
          <w:szCs w:val="24"/>
          <w:lang w:eastAsia="zh-CN"/>
        </w:rPr>
        <w:t>乙方</w:t>
      </w:r>
      <w:r>
        <w:rPr>
          <w:rFonts w:hint="eastAsia" w:ascii="宋体" w:hAnsi="宋体" w:eastAsia="宋体" w:cs="宋体"/>
          <w:sz w:val="24"/>
          <w:szCs w:val="24"/>
        </w:rPr>
        <w:t>有权终止合同；非</w:t>
      </w:r>
      <w:r>
        <w:rPr>
          <w:rFonts w:hint="eastAsia" w:ascii="宋体" w:hAnsi="宋体" w:eastAsia="宋体" w:cs="宋体"/>
          <w:sz w:val="24"/>
          <w:szCs w:val="24"/>
          <w:lang w:eastAsia="zh-CN"/>
        </w:rPr>
        <w:t>甲方</w:t>
      </w:r>
      <w:r>
        <w:rPr>
          <w:rFonts w:hint="eastAsia" w:ascii="宋体" w:hAnsi="宋体" w:eastAsia="宋体" w:cs="宋体"/>
          <w:sz w:val="24"/>
          <w:szCs w:val="24"/>
        </w:rPr>
        <w:t>故意逾期付款的，</w:t>
      </w:r>
      <w:r>
        <w:rPr>
          <w:rFonts w:hint="eastAsia" w:ascii="宋体" w:hAnsi="宋体" w:eastAsia="宋体" w:cs="宋体"/>
          <w:sz w:val="24"/>
          <w:szCs w:val="24"/>
          <w:lang w:eastAsia="zh-CN"/>
        </w:rPr>
        <w:t>甲方</w:t>
      </w:r>
      <w:r>
        <w:rPr>
          <w:rFonts w:hint="eastAsia" w:ascii="宋体" w:hAnsi="宋体" w:eastAsia="宋体" w:cs="宋体"/>
          <w:sz w:val="24"/>
          <w:szCs w:val="24"/>
        </w:rPr>
        <w:t>不承担任何逾期付款责任，</w:t>
      </w:r>
      <w:r>
        <w:rPr>
          <w:rFonts w:hint="eastAsia" w:ascii="宋体" w:hAnsi="宋体" w:eastAsia="宋体" w:cs="宋体"/>
          <w:sz w:val="24"/>
          <w:szCs w:val="24"/>
          <w:lang w:eastAsia="zh-CN"/>
        </w:rPr>
        <w:t>乙方</w:t>
      </w:r>
      <w:r>
        <w:rPr>
          <w:rFonts w:hint="eastAsia" w:ascii="宋体" w:hAnsi="宋体" w:eastAsia="宋体" w:cs="宋体"/>
          <w:sz w:val="24"/>
          <w:szCs w:val="24"/>
        </w:rPr>
        <w:t>也不得终止合同。</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乙方</w:t>
      </w:r>
      <w:r>
        <w:rPr>
          <w:rFonts w:hint="eastAsia" w:ascii="宋体" w:hAnsi="宋体" w:eastAsia="宋体" w:cs="宋体"/>
          <w:sz w:val="24"/>
          <w:szCs w:val="24"/>
        </w:rPr>
        <w:t>违约责任</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eastAsia="zh-CN"/>
        </w:rPr>
        <w:t>乙方</w:t>
      </w:r>
      <w:r>
        <w:rPr>
          <w:rFonts w:hint="eastAsia" w:ascii="宋体" w:hAnsi="宋体" w:eastAsia="宋体" w:cs="宋体"/>
          <w:sz w:val="24"/>
          <w:szCs w:val="24"/>
        </w:rPr>
        <w:t>提供的服务或提交的文档资料不符合书面询价单和响应文件规定的，</w:t>
      </w:r>
      <w:r>
        <w:rPr>
          <w:rFonts w:hint="eastAsia" w:ascii="宋体" w:hAnsi="宋体" w:eastAsia="宋体" w:cs="宋体"/>
          <w:sz w:val="24"/>
          <w:szCs w:val="24"/>
          <w:lang w:eastAsia="zh-CN"/>
        </w:rPr>
        <w:t>乙方</w:t>
      </w:r>
      <w:r>
        <w:rPr>
          <w:rFonts w:hint="eastAsia" w:ascii="宋体" w:hAnsi="宋体" w:eastAsia="宋体" w:cs="宋体"/>
          <w:sz w:val="24"/>
          <w:szCs w:val="24"/>
        </w:rPr>
        <w:t>应在接到</w:t>
      </w:r>
      <w:r>
        <w:rPr>
          <w:rFonts w:hint="eastAsia" w:ascii="宋体" w:hAnsi="宋体" w:eastAsia="宋体" w:cs="宋体"/>
          <w:sz w:val="24"/>
          <w:szCs w:val="24"/>
          <w:lang w:eastAsia="zh-CN"/>
        </w:rPr>
        <w:t>甲方</w:t>
      </w:r>
      <w:r>
        <w:rPr>
          <w:rFonts w:hint="eastAsia" w:ascii="宋体" w:hAnsi="宋体" w:eastAsia="宋体" w:cs="宋体"/>
          <w:sz w:val="24"/>
          <w:szCs w:val="24"/>
        </w:rPr>
        <w:t>通知后10个日历天内完成整改，并更换合格的服务和文档给</w:t>
      </w:r>
      <w:r>
        <w:rPr>
          <w:rFonts w:hint="eastAsia" w:ascii="宋体" w:hAnsi="宋体" w:eastAsia="宋体" w:cs="宋体"/>
          <w:sz w:val="24"/>
          <w:szCs w:val="24"/>
          <w:lang w:eastAsia="zh-CN"/>
        </w:rPr>
        <w:t>甲方</w:t>
      </w:r>
      <w:r>
        <w:rPr>
          <w:rFonts w:hint="eastAsia" w:ascii="宋体" w:hAnsi="宋体" w:eastAsia="宋体" w:cs="宋体"/>
          <w:sz w:val="24"/>
          <w:szCs w:val="24"/>
        </w:rPr>
        <w:t>，否则，视作</w:t>
      </w:r>
      <w:r>
        <w:rPr>
          <w:rFonts w:hint="eastAsia" w:ascii="宋体" w:hAnsi="宋体" w:eastAsia="宋体" w:cs="宋体"/>
          <w:sz w:val="24"/>
          <w:szCs w:val="24"/>
          <w:lang w:eastAsia="zh-CN"/>
        </w:rPr>
        <w:t>乙方</w:t>
      </w:r>
      <w:r>
        <w:rPr>
          <w:rFonts w:hint="eastAsia" w:ascii="宋体" w:hAnsi="宋体" w:eastAsia="宋体" w:cs="宋体"/>
          <w:sz w:val="24"/>
          <w:szCs w:val="24"/>
        </w:rPr>
        <w:t>不能提供服务而违约，</w:t>
      </w:r>
      <w:r>
        <w:rPr>
          <w:rFonts w:hint="eastAsia" w:ascii="宋体" w:hAnsi="宋体" w:eastAsia="宋体" w:cs="宋体"/>
          <w:sz w:val="24"/>
          <w:szCs w:val="24"/>
          <w:lang w:eastAsia="zh-CN"/>
        </w:rPr>
        <w:t>甲方</w:t>
      </w:r>
      <w:r>
        <w:rPr>
          <w:rFonts w:hint="eastAsia" w:ascii="宋体" w:hAnsi="宋体" w:eastAsia="宋体" w:cs="宋体"/>
          <w:sz w:val="24"/>
          <w:szCs w:val="24"/>
        </w:rPr>
        <w:t>有权终止本项目合同，并要求</w:t>
      </w:r>
      <w:r>
        <w:rPr>
          <w:rFonts w:hint="eastAsia" w:ascii="宋体" w:hAnsi="宋体" w:eastAsia="宋体" w:cs="宋体"/>
          <w:sz w:val="24"/>
          <w:szCs w:val="24"/>
          <w:lang w:eastAsia="zh-CN"/>
        </w:rPr>
        <w:t>乙方</w:t>
      </w:r>
      <w:r>
        <w:rPr>
          <w:rFonts w:hint="eastAsia" w:ascii="宋体" w:hAnsi="宋体" w:eastAsia="宋体" w:cs="宋体"/>
          <w:sz w:val="24"/>
          <w:szCs w:val="24"/>
        </w:rPr>
        <w:t>退还</w:t>
      </w:r>
      <w:r>
        <w:rPr>
          <w:rFonts w:hint="eastAsia" w:ascii="宋体" w:hAnsi="宋体" w:eastAsia="宋体" w:cs="宋体"/>
          <w:sz w:val="24"/>
          <w:szCs w:val="24"/>
          <w:lang w:eastAsia="zh-CN"/>
        </w:rPr>
        <w:t>甲方</w:t>
      </w:r>
      <w:r>
        <w:rPr>
          <w:rFonts w:hint="eastAsia" w:ascii="宋体" w:hAnsi="宋体" w:eastAsia="宋体" w:cs="宋体"/>
          <w:sz w:val="24"/>
          <w:szCs w:val="24"/>
        </w:rPr>
        <w:t>已支付的全部费用，同时按成交金额的百分之二十向</w:t>
      </w:r>
      <w:r>
        <w:rPr>
          <w:rFonts w:hint="eastAsia" w:ascii="宋体" w:hAnsi="宋体" w:eastAsia="宋体" w:cs="宋体"/>
          <w:sz w:val="24"/>
          <w:szCs w:val="24"/>
          <w:lang w:eastAsia="zh-CN"/>
        </w:rPr>
        <w:t>甲方</w:t>
      </w:r>
      <w:r>
        <w:rPr>
          <w:rFonts w:hint="eastAsia" w:ascii="宋体" w:hAnsi="宋体" w:eastAsia="宋体" w:cs="宋体"/>
          <w:sz w:val="24"/>
          <w:szCs w:val="24"/>
        </w:rPr>
        <w:t>偿付赔偿金。</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乙方</w:t>
      </w:r>
      <w:r>
        <w:rPr>
          <w:rFonts w:hint="eastAsia" w:ascii="宋体" w:hAnsi="宋体" w:eastAsia="宋体" w:cs="宋体"/>
          <w:sz w:val="24"/>
          <w:szCs w:val="24"/>
        </w:rPr>
        <w:t>逾期提交文档资料的，除应及时提交外，还应按成交金额万分之四/天向</w:t>
      </w:r>
      <w:r>
        <w:rPr>
          <w:rFonts w:hint="eastAsia" w:ascii="宋体" w:hAnsi="宋体" w:eastAsia="宋体" w:cs="宋体"/>
          <w:sz w:val="24"/>
          <w:szCs w:val="24"/>
          <w:lang w:eastAsia="zh-CN"/>
        </w:rPr>
        <w:t>甲方</w:t>
      </w:r>
      <w:r>
        <w:rPr>
          <w:rFonts w:hint="eastAsia" w:ascii="宋体" w:hAnsi="宋体" w:eastAsia="宋体" w:cs="宋体"/>
          <w:sz w:val="24"/>
          <w:szCs w:val="24"/>
        </w:rPr>
        <w:t>偿付违约金；逾期提交超过10个日历天，</w:t>
      </w:r>
      <w:r>
        <w:rPr>
          <w:rFonts w:hint="eastAsia" w:ascii="宋体" w:hAnsi="宋体" w:eastAsia="宋体" w:cs="宋体"/>
          <w:sz w:val="24"/>
          <w:szCs w:val="24"/>
          <w:lang w:eastAsia="zh-CN"/>
        </w:rPr>
        <w:t>甲方</w:t>
      </w:r>
      <w:r>
        <w:rPr>
          <w:rFonts w:hint="eastAsia" w:ascii="宋体" w:hAnsi="宋体" w:eastAsia="宋体" w:cs="宋体"/>
          <w:sz w:val="24"/>
          <w:szCs w:val="24"/>
        </w:rPr>
        <w:t>有权终止合同，并要求</w:t>
      </w:r>
      <w:r>
        <w:rPr>
          <w:rFonts w:hint="eastAsia" w:ascii="宋体" w:hAnsi="宋体" w:eastAsia="宋体" w:cs="宋体"/>
          <w:sz w:val="24"/>
          <w:szCs w:val="24"/>
          <w:lang w:eastAsia="zh-CN"/>
        </w:rPr>
        <w:t>乙方</w:t>
      </w:r>
      <w:r>
        <w:rPr>
          <w:rFonts w:hint="eastAsia" w:ascii="宋体" w:hAnsi="宋体" w:eastAsia="宋体" w:cs="宋体"/>
          <w:sz w:val="24"/>
          <w:szCs w:val="24"/>
        </w:rPr>
        <w:t>退还</w:t>
      </w:r>
      <w:r>
        <w:rPr>
          <w:rFonts w:hint="eastAsia" w:ascii="宋体" w:hAnsi="宋体" w:eastAsia="宋体" w:cs="宋体"/>
          <w:sz w:val="24"/>
          <w:szCs w:val="24"/>
          <w:lang w:eastAsia="zh-CN"/>
        </w:rPr>
        <w:t>甲方</w:t>
      </w:r>
      <w:r>
        <w:rPr>
          <w:rFonts w:hint="eastAsia" w:ascii="宋体" w:hAnsi="宋体" w:eastAsia="宋体" w:cs="宋体"/>
          <w:sz w:val="24"/>
          <w:szCs w:val="24"/>
        </w:rPr>
        <w:t>已支付的全部费用，同时按成交金额的百分之二十向</w:t>
      </w:r>
      <w:r>
        <w:rPr>
          <w:rFonts w:hint="eastAsia" w:ascii="宋体" w:hAnsi="宋体" w:eastAsia="宋体" w:cs="宋体"/>
          <w:sz w:val="24"/>
          <w:szCs w:val="24"/>
          <w:lang w:eastAsia="zh-CN"/>
        </w:rPr>
        <w:t>甲方</w:t>
      </w:r>
      <w:r>
        <w:rPr>
          <w:rFonts w:hint="eastAsia" w:ascii="宋体" w:hAnsi="宋体" w:eastAsia="宋体" w:cs="宋体"/>
          <w:sz w:val="24"/>
          <w:szCs w:val="24"/>
        </w:rPr>
        <w:t>偿付赔偿金。</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乙方</w:t>
      </w:r>
      <w:r>
        <w:rPr>
          <w:rFonts w:hint="eastAsia" w:ascii="宋体" w:hAnsi="宋体" w:eastAsia="宋体" w:cs="宋体"/>
          <w:sz w:val="24"/>
          <w:szCs w:val="24"/>
        </w:rPr>
        <w:t>保证提供的产品</w:t>
      </w:r>
      <w:r>
        <w:rPr>
          <w:rFonts w:hint="eastAsia" w:cs="宋体"/>
          <w:sz w:val="24"/>
          <w:szCs w:val="24"/>
          <w:lang w:eastAsia="zh-CN"/>
        </w:rPr>
        <w:t>(</w:t>
      </w:r>
      <w:r>
        <w:rPr>
          <w:rFonts w:hint="eastAsia" w:ascii="宋体" w:hAnsi="宋体" w:eastAsia="宋体" w:cs="宋体"/>
          <w:sz w:val="24"/>
          <w:szCs w:val="24"/>
        </w:rPr>
        <w:t>提供的服务和提交的文档</w:t>
      </w:r>
      <w:r>
        <w:rPr>
          <w:rFonts w:hint="eastAsia" w:cs="宋体"/>
          <w:sz w:val="24"/>
          <w:szCs w:val="24"/>
          <w:lang w:eastAsia="zh-CN"/>
        </w:rPr>
        <w:t>)</w:t>
      </w:r>
      <w:r>
        <w:rPr>
          <w:rFonts w:hint="eastAsia" w:ascii="宋体" w:hAnsi="宋体" w:eastAsia="宋体" w:cs="宋体"/>
          <w:sz w:val="24"/>
          <w:szCs w:val="24"/>
        </w:rPr>
        <w:t>的权利无瑕疵，包括产品所有权及知识产权等权利无瑕疵。如任何第三方经法院(或仲裁机构)裁决有权对上述货物主张权利或国家机关依法对货物进行没收查处的，如因专利权、商标权或其它知识产权而引起法律和经济纠纷，由</w:t>
      </w:r>
      <w:r>
        <w:rPr>
          <w:rFonts w:hint="eastAsia" w:ascii="宋体" w:hAnsi="宋体" w:eastAsia="宋体" w:cs="宋体"/>
          <w:sz w:val="24"/>
          <w:szCs w:val="24"/>
          <w:lang w:eastAsia="zh-CN"/>
        </w:rPr>
        <w:t>乙方</w:t>
      </w:r>
      <w:r>
        <w:rPr>
          <w:rFonts w:hint="eastAsia" w:ascii="宋体" w:hAnsi="宋体" w:eastAsia="宋体" w:cs="宋体"/>
          <w:sz w:val="24"/>
          <w:szCs w:val="24"/>
        </w:rPr>
        <w:t>承担所有相关责任。</w:t>
      </w:r>
      <w:r>
        <w:rPr>
          <w:rFonts w:hint="eastAsia" w:ascii="宋体" w:hAnsi="宋体" w:eastAsia="宋体" w:cs="宋体"/>
          <w:sz w:val="24"/>
          <w:szCs w:val="24"/>
          <w:lang w:eastAsia="zh-CN"/>
        </w:rPr>
        <w:t>甲方</w:t>
      </w:r>
      <w:r>
        <w:rPr>
          <w:rFonts w:hint="eastAsia" w:ascii="宋体" w:hAnsi="宋体" w:eastAsia="宋体" w:cs="宋体"/>
          <w:sz w:val="24"/>
          <w:szCs w:val="24"/>
        </w:rPr>
        <w:t>因此遭受的全部损失(包括但不限于因此向第三方支付的赔偿金、违约金等，以及因此支出的诉讼费用、律师费、保全费等)均由</w:t>
      </w:r>
      <w:r>
        <w:rPr>
          <w:rFonts w:hint="eastAsia" w:ascii="宋体" w:hAnsi="宋体" w:eastAsia="宋体" w:cs="宋体"/>
          <w:sz w:val="24"/>
          <w:szCs w:val="24"/>
          <w:lang w:eastAsia="zh-CN"/>
        </w:rPr>
        <w:t>乙方</w:t>
      </w:r>
      <w:r>
        <w:rPr>
          <w:rFonts w:hint="eastAsia" w:ascii="宋体" w:hAnsi="宋体" w:eastAsia="宋体" w:cs="宋体"/>
          <w:sz w:val="24"/>
          <w:szCs w:val="24"/>
        </w:rPr>
        <w:t>承担，若损失计算存在困难，</w:t>
      </w:r>
      <w:r>
        <w:rPr>
          <w:rFonts w:hint="eastAsia" w:ascii="宋体" w:hAnsi="宋体" w:eastAsia="宋体" w:cs="宋体"/>
          <w:sz w:val="24"/>
          <w:szCs w:val="24"/>
          <w:lang w:eastAsia="zh-CN"/>
        </w:rPr>
        <w:t>甲方</w:t>
      </w:r>
      <w:r>
        <w:rPr>
          <w:rFonts w:hint="eastAsia" w:ascii="宋体" w:hAnsi="宋体" w:eastAsia="宋体" w:cs="宋体"/>
          <w:sz w:val="24"/>
          <w:szCs w:val="24"/>
        </w:rPr>
        <w:t>有权直接要求</w:t>
      </w:r>
      <w:r>
        <w:rPr>
          <w:rFonts w:hint="eastAsia" w:ascii="宋体" w:hAnsi="宋体" w:eastAsia="宋体" w:cs="宋体"/>
          <w:sz w:val="24"/>
          <w:szCs w:val="24"/>
          <w:lang w:eastAsia="zh-CN"/>
        </w:rPr>
        <w:t>乙方</w:t>
      </w:r>
      <w:r>
        <w:rPr>
          <w:rFonts w:hint="eastAsia" w:ascii="宋体" w:hAnsi="宋体" w:eastAsia="宋体" w:cs="宋体"/>
          <w:sz w:val="24"/>
          <w:szCs w:val="24"/>
        </w:rPr>
        <w:t>按成交金额的百分之二十进行赔偿。若因为</w:t>
      </w:r>
      <w:r>
        <w:rPr>
          <w:rFonts w:hint="eastAsia" w:ascii="宋体" w:hAnsi="宋体" w:eastAsia="宋体" w:cs="宋体"/>
          <w:sz w:val="24"/>
          <w:szCs w:val="24"/>
          <w:lang w:eastAsia="zh-CN"/>
        </w:rPr>
        <w:t>乙方</w:t>
      </w:r>
      <w:r>
        <w:rPr>
          <w:rFonts w:hint="eastAsia" w:ascii="宋体" w:hAnsi="宋体" w:eastAsia="宋体" w:cs="宋体"/>
          <w:sz w:val="24"/>
          <w:szCs w:val="24"/>
        </w:rPr>
        <w:t>侵权行为导致</w:t>
      </w:r>
      <w:r>
        <w:rPr>
          <w:rFonts w:hint="eastAsia" w:ascii="宋体" w:hAnsi="宋体" w:eastAsia="宋体" w:cs="宋体"/>
          <w:sz w:val="24"/>
          <w:szCs w:val="24"/>
          <w:lang w:eastAsia="zh-CN"/>
        </w:rPr>
        <w:t>甲方</w:t>
      </w:r>
      <w:r>
        <w:rPr>
          <w:rFonts w:hint="eastAsia" w:ascii="宋体" w:hAnsi="宋体" w:eastAsia="宋体" w:cs="宋体"/>
          <w:sz w:val="24"/>
          <w:szCs w:val="24"/>
        </w:rPr>
        <w:t>无法继续使用相关产品和服务的，</w:t>
      </w:r>
      <w:r>
        <w:rPr>
          <w:rFonts w:hint="eastAsia" w:ascii="宋体" w:hAnsi="宋体" w:eastAsia="宋体" w:cs="宋体"/>
          <w:sz w:val="24"/>
          <w:szCs w:val="24"/>
          <w:lang w:eastAsia="zh-CN"/>
        </w:rPr>
        <w:t>乙方</w:t>
      </w:r>
      <w:r>
        <w:rPr>
          <w:rFonts w:hint="eastAsia" w:ascii="宋体" w:hAnsi="宋体" w:eastAsia="宋体" w:cs="宋体"/>
          <w:sz w:val="24"/>
          <w:szCs w:val="24"/>
        </w:rPr>
        <w:t>还应退还</w:t>
      </w:r>
      <w:r>
        <w:rPr>
          <w:rFonts w:hint="eastAsia" w:ascii="宋体" w:hAnsi="宋体" w:eastAsia="宋体" w:cs="宋体"/>
          <w:sz w:val="24"/>
          <w:szCs w:val="24"/>
          <w:lang w:eastAsia="zh-CN"/>
        </w:rPr>
        <w:t>甲方</w:t>
      </w:r>
      <w:r>
        <w:rPr>
          <w:rFonts w:hint="eastAsia" w:ascii="宋体" w:hAnsi="宋体" w:eastAsia="宋体" w:cs="宋体"/>
          <w:sz w:val="24"/>
          <w:szCs w:val="24"/>
        </w:rPr>
        <w:t>已支付的全部费用。</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2.4若</w:t>
      </w:r>
      <w:r>
        <w:rPr>
          <w:rFonts w:hint="eastAsia" w:ascii="宋体" w:hAnsi="宋体" w:eastAsia="宋体" w:cs="宋体"/>
          <w:sz w:val="24"/>
          <w:szCs w:val="24"/>
          <w:lang w:eastAsia="zh-CN"/>
        </w:rPr>
        <w:t>乙方</w:t>
      </w:r>
      <w:r>
        <w:rPr>
          <w:rFonts w:hint="eastAsia" w:ascii="宋体" w:hAnsi="宋体" w:eastAsia="宋体" w:cs="宋体"/>
          <w:sz w:val="24"/>
          <w:szCs w:val="24"/>
        </w:rPr>
        <w:t>提供虚假、作废发票或违反国家法律、法规开具或提供发票的，</w:t>
      </w:r>
      <w:r>
        <w:rPr>
          <w:rFonts w:hint="eastAsia" w:ascii="宋体" w:hAnsi="宋体" w:eastAsia="宋体" w:cs="宋体"/>
          <w:sz w:val="24"/>
          <w:szCs w:val="24"/>
          <w:lang w:eastAsia="zh-CN"/>
        </w:rPr>
        <w:t>乙方</w:t>
      </w:r>
      <w:r>
        <w:rPr>
          <w:rFonts w:hint="eastAsia" w:ascii="宋体" w:hAnsi="宋体" w:eastAsia="宋体" w:cs="宋体"/>
          <w:sz w:val="24"/>
          <w:szCs w:val="24"/>
        </w:rPr>
        <w:t>自行承担全部法律责任，同时</w:t>
      </w:r>
      <w:r>
        <w:rPr>
          <w:rFonts w:hint="eastAsia" w:ascii="宋体" w:hAnsi="宋体" w:eastAsia="宋体" w:cs="宋体"/>
          <w:sz w:val="24"/>
          <w:szCs w:val="24"/>
          <w:lang w:eastAsia="zh-CN"/>
        </w:rPr>
        <w:t>乙方</w:t>
      </w:r>
      <w:r>
        <w:rPr>
          <w:rFonts w:hint="eastAsia" w:ascii="宋体" w:hAnsi="宋体" w:eastAsia="宋体" w:cs="宋体"/>
          <w:sz w:val="24"/>
          <w:szCs w:val="24"/>
        </w:rPr>
        <w:t>还应按成交金额的百分之十向</w:t>
      </w:r>
      <w:r>
        <w:rPr>
          <w:rFonts w:hint="eastAsia" w:ascii="宋体" w:hAnsi="宋体" w:eastAsia="宋体" w:cs="宋体"/>
          <w:sz w:val="24"/>
          <w:szCs w:val="24"/>
          <w:lang w:eastAsia="zh-CN"/>
        </w:rPr>
        <w:t>甲方</w:t>
      </w:r>
      <w:r>
        <w:rPr>
          <w:rFonts w:hint="eastAsia" w:ascii="宋体" w:hAnsi="宋体" w:eastAsia="宋体" w:cs="宋体"/>
          <w:sz w:val="24"/>
          <w:szCs w:val="24"/>
        </w:rPr>
        <w:t>支付违约金。</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乙方</w:t>
      </w:r>
      <w:r>
        <w:rPr>
          <w:rFonts w:hint="eastAsia" w:ascii="宋体" w:hAnsi="宋体" w:eastAsia="宋体" w:cs="宋体"/>
          <w:sz w:val="24"/>
          <w:szCs w:val="24"/>
        </w:rPr>
        <w:t>承诺向</w:t>
      </w:r>
      <w:r>
        <w:rPr>
          <w:rFonts w:hint="eastAsia" w:ascii="宋体" w:hAnsi="宋体" w:eastAsia="宋体" w:cs="宋体"/>
          <w:sz w:val="24"/>
          <w:szCs w:val="24"/>
          <w:lang w:eastAsia="zh-CN"/>
        </w:rPr>
        <w:t>甲方</w:t>
      </w:r>
      <w:r>
        <w:rPr>
          <w:rFonts w:hint="eastAsia" w:ascii="宋体" w:hAnsi="宋体" w:eastAsia="宋体" w:cs="宋体"/>
          <w:sz w:val="24"/>
          <w:szCs w:val="24"/>
        </w:rPr>
        <w:t>提供的服务，不得危害</w:t>
      </w:r>
      <w:r>
        <w:rPr>
          <w:rFonts w:hint="eastAsia" w:ascii="宋体" w:hAnsi="宋体" w:eastAsia="宋体" w:cs="宋体"/>
          <w:sz w:val="24"/>
          <w:szCs w:val="24"/>
          <w:lang w:eastAsia="zh-CN"/>
        </w:rPr>
        <w:t>甲方</w:t>
      </w:r>
      <w:r>
        <w:rPr>
          <w:rFonts w:hint="eastAsia" w:ascii="宋体" w:hAnsi="宋体" w:eastAsia="宋体" w:cs="宋体"/>
          <w:sz w:val="24"/>
          <w:szCs w:val="24"/>
        </w:rPr>
        <w:t>数据安全、仅能用于向</w:t>
      </w:r>
      <w:r>
        <w:rPr>
          <w:rFonts w:hint="eastAsia" w:ascii="宋体" w:hAnsi="宋体" w:eastAsia="宋体" w:cs="宋体"/>
          <w:sz w:val="24"/>
          <w:szCs w:val="24"/>
          <w:lang w:eastAsia="zh-CN"/>
        </w:rPr>
        <w:t>甲方</w:t>
      </w:r>
      <w:r>
        <w:rPr>
          <w:rFonts w:hint="eastAsia" w:ascii="宋体" w:hAnsi="宋体" w:eastAsia="宋体" w:cs="宋体"/>
          <w:sz w:val="24"/>
          <w:szCs w:val="24"/>
        </w:rPr>
        <w:t>提供服务而使用，不得以任何非法目的读取、存储、分析</w:t>
      </w:r>
      <w:r>
        <w:rPr>
          <w:rFonts w:hint="eastAsia" w:ascii="宋体" w:hAnsi="宋体" w:eastAsia="宋体" w:cs="宋体"/>
          <w:sz w:val="24"/>
          <w:szCs w:val="24"/>
          <w:lang w:eastAsia="zh-CN"/>
        </w:rPr>
        <w:t>甲方</w:t>
      </w:r>
      <w:r>
        <w:rPr>
          <w:rFonts w:hint="eastAsia" w:ascii="宋体" w:hAnsi="宋体" w:eastAsia="宋体" w:cs="宋体"/>
          <w:sz w:val="24"/>
          <w:szCs w:val="24"/>
        </w:rPr>
        <w:t>数据，不得以任何传送、拷贝等方式向任何单位、个人披露</w:t>
      </w:r>
      <w:r>
        <w:rPr>
          <w:rFonts w:hint="eastAsia" w:ascii="宋体" w:hAnsi="宋体" w:eastAsia="宋体" w:cs="宋体"/>
          <w:sz w:val="24"/>
          <w:szCs w:val="24"/>
          <w:lang w:eastAsia="zh-CN"/>
        </w:rPr>
        <w:t>甲方</w:t>
      </w:r>
      <w:r>
        <w:rPr>
          <w:rFonts w:hint="eastAsia" w:ascii="宋体" w:hAnsi="宋体" w:eastAsia="宋体" w:cs="宋体"/>
          <w:sz w:val="24"/>
          <w:szCs w:val="24"/>
        </w:rPr>
        <w:t>数据及相关信息，也不得篡改</w:t>
      </w:r>
      <w:r>
        <w:rPr>
          <w:rFonts w:hint="eastAsia" w:ascii="宋体" w:hAnsi="宋体" w:eastAsia="宋体" w:cs="宋体"/>
          <w:sz w:val="24"/>
          <w:szCs w:val="24"/>
          <w:lang w:eastAsia="zh-CN"/>
        </w:rPr>
        <w:t>甲方</w:t>
      </w:r>
      <w:r>
        <w:rPr>
          <w:rFonts w:hint="eastAsia" w:ascii="宋体" w:hAnsi="宋体" w:eastAsia="宋体" w:cs="宋体"/>
          <w:sz w:val="24"/>
          <w:szCs w:val="24"/>
        </w:rPr>
        <w:t>数据。否则，</w:t>
      </w:r>
      <w:r>
        <w:rPr>
          <w:rFonts w:hint="eastAsia" w:ascii="宋体" w:hAnsi="宋体" w:eastAsia="宋体" w:cs="宋体"/>
          <w:sz w:val="24"/>
          <w:szCs w:val="24"/>
          <w:lang w:eastAsia="zh-CN"/>
        </w:rPr>
        <w:t>甲方</w:t>
      </w:r>
      <w:r>
        <w:rPr>
          <w:rFonts w:hint="eastAsia" w:ascii="宋体" w:hAnsi="宋体" w:eastAsia="宋体" w:cs="宋体"/>
          <w:sz w:val="24"/>
          <w:szCs w:val="24"/>
        </w:rPr>
        <w:t>保留向</w:t>
      </w:r>
      <w:r>
        <w:rPr>
          <w:rFonts w:hint="eastAsia" w:ascii="宋体" w:hAnsi="宋体" w:eastAsia="宋体" w:cs="宋体"/>
          <w:sz w:val="24"/>
          <w:szCs w:val="24"/>
          <w:lang w:eastAsia="zh-CN"/>
        </w:rPr>
        <w:t>乙方</w:t>
      </w:r>
      <w:r>
        <w:rPr>
          <w:rFonts w:hint="eastAsia" w:ascii="宋体" w:hAnsi="宋体" w:eastAsia="宋体" w:cs="宋体"/>
          <w:sz w:val="24"/>
          <w:szCs w:val="24"/>
        </w:rPr>
        <w:t>索赔的权利，</w:t>
      </w:r>
      <w:r>
        <w:rPr>
          <w:rFonts w:hint="eastAsia" w:ascii="宋体" w:hAnsi="宋体" w:eastAsia="宋体" w:cs="宋体"/>
          <w:sz w:val="24"/>
          <w:szCs w:val="24"/>
          <w:lang w:eastAsia="zh-CN"/>
        </w:rPr>
        <w:t>乙方</w:t>
      </w:r>
      <w:r>
        <w:rPr>
          <w:rFonts w:hint="eastAsia" w:ascii="宋体" w:hAnsi="宋体" w:eastAsia="宋体" w:cs="宋体"/>
          <w:sz w:val="24"/>
          <w:szCs w:val="24"/>
        </w:rPr>
        <w:t>应赔偿由此给</w:t>
      </w:r>
      <w:r>
        <w:rPr>
          <w:rFonts w:hint="eastAsia" w:ascii="宋体" w:hAnsi="宋体" w:eastAsia="宋体" w:cs="宋体"/>
          <w:sz w:val="24"/>
          <w:szCs w:val="24"/>
          <w:lang w:eastAsia="zh-CN"/>
        </w:rPr>
        <w:t>甲方</w:t>
      </w:r>
      <w:r>
        <w:rPr>
          <w:rFonts w:hint="eastAsia" w:ascii="宋体" w:hAnsi="宋体" w:eastAsia="宋体" w:cs="宋体"/>
          <w:sz w:val="24"/>
          <w:szCs w:val="24"/>
        </w:rPr>
        <w:t>造成的一切损失</w:t>
      </w:r>
      <w:r>
        <w:rPr>
          <w:rFonts w:hint="eastAsia" w:cs="宋体"/>
          <w:sz w:val="24"/>
          <w:szCs w:val="24"/>
          <w:lang w:eastAsia="zh-CN"/>
        </w:rPr>
        <w:t>(</w:t>
      </w:r>
      <w:r>
        <w:rPr>
          <w:rFonts w:hint="eastAsia" w:ascii="宋体" w:hAnsi="宋体" w:eastAsia="宋体" w:cs="宋体"/>
          <w:sz w:val="24"/>
          <w:szCs w:val="24"/>
        </w:rPr>
        <w:t>包括但不限于因此向第三方支付的赔偿金、以及因此支出的诉讼费用、律师费、保全费、鉴定费等</w:t>
      </w:r>
      <w:r>
        <w:rPr>
          <w:rFonts w:hint="eastAsia" w:cs="宋体"/>
          <w:sz w:val="24"/>
          <w:szCs w:val="24"/>
          <w:lang w:eastAsia="zh-CN"/>
        </w:rPr>
        <w:t>)</w:t>
      </w:r>
      <w:r>
        <w:rPr>
          <w:rFonts w:hint="eastAsia" w:ascii="宋体" w:hAnsi="宋体" w:eastAsia="宋体" w:cs="宋体"/>
          <w:sz w:val="24"/>
          <w:szCs w:val="24"/>
        </w:rPr>
        <w:t>；若损失难以计算的，</w:t>
      </w:r>
      <w:r>
        <w:rPr>
          <w:rFonts w:hint="eastAsia" w:ascii="宋体" w:hAnsi="宋体" w:eastAsia="宋体" w:cs="宋体"/>
          <w:sz w:val="24"/>
          <w:szCs w:val="24"/>
          <w:lang w:eastAsia="zh-CN"/>
        </w:rPr>
        <w:t>乙方</w:t>
      </w:r>
      <w:r>
        <w:rPr>
          <w:rFonts w:hint="eastAsia" w:ascii="宋体" w:hAnsi="宋体" w:eastAsia="宋体" w:cs="宋体"/>
          <w:sz w:val="24"/>
          <w:szCs w:val="24"/>
        </w:rPr>
        <w:t>应按成交金额的百分之二十向</w:t>
      </w:r>
      <w:r>
        <w:rPr>
          <w:rFonts w:hint="eastAsia" w:ascii="宋体" w:hAnsi="宋体" w:eastAsia="宋体" w:cs="宋体"/>
          <w:sz w:val="24"/>
          <w:szCs w:val="24"/>
          <w:lang w:eastAsia="zh-CN"/>
        </w:rPr>
        <w:t>甲方</w:t>
      </w:r>
      <w:r>
        <w:rPr>
          <w:rFonts w:hint="eastAsia" w:ascii="宋体" w:hAnsi="宋体" w:eastAsia="宋体" w:cs="宋体"/>
          <w:sz w:val="24"/>
          <w:szCs w:val="24"/>
        </w:rPr>
        <w:t>支付违约金。同时，</w:t>
      </w:r>
      <w:r>
        <w:rPr>
          <w:rFonts w:hint="eastAsia" w:ascii="宋体" w:hAnsi="宋体" w:eastAsia="宋体" w:cs="宋体"/>
          <w:sz w:val="24"/>
          <w:szCs w:val="24"/>
          <w:lang w:eastAsia="zh-CN"/>
        </w:rPr>
        <w:t>乙方</w:t>
      </w:r>
      <w:r>
        <w:rPr>
          <w:rFonts w:hint="eastAsia" w:ascii="宋体" w:hAnsi="宋体" w:eastAsia="宋体" w:cs="宋体"/>
          <w:sz w:val="24"/>
          <w:szCs w:val="24"/>
        </w:rPr>
        <w:t>还应当退还</w:t>
      </w:r>
      <w:r>
        <w:rPr>
          <w:rFonts w:hint="eastAsia" w:ascii="宋体" w:hAnsi="宋体" w:eastAsia="宋体" w:cs="宋体"/>
          <w:sz w:val="24"/>
          <w:szCs w:val="24"/>
          <w:lang w:eastAsia="zh-CN"/>
        </w:rPr>
        <w:t>甲方</w:t>
      </w:r>
      <w:r>
        <w:rPr>
          <w:rFonts w:hint="eastAsia" w:ascii="宋体" w:hAnsi="宋体" w:eastAsia="宋体" w:cs="宋体"/>
          <w:sz w:val="24"/>
          <w:szCs w:val="24"/>
        </w:rPr>
        <w:t>已支付的全部费用，</w:t>
      </w:r>
      <w:r>
        <w:rPr>
          <w:rFonts w:hint="eastAsia" w:ascii="宋体" w:hAnsi="宋体" w:eastAsia="宋体" w:cs="宋体"/>
          <w:sz w:val="24"/>
          <w:szCs w:val="24"/>
          <w:lang w:eastAsia="zh-CN"/>
        </w:rPr>
        <w:t>乙方</w:t>
      </w:r>
      <w:r>
        <w:rPr>
          <w:rFonts w:hint="eastAsia" w:ascii="宋体" w:hAnsi="宋体" w:eastAsia="宋体" w:cs="宋体"/>
          <w:sz w:val="24"/>
          <w:szCs w:val="24"/>
        </w:rPr>
        <w:t>及涉事人员还需承担相关的法律责任。</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乙方</w:t>
      </w:r>
      <w:r>
        <w:rPr>
          <w:rFonts w:hint="eastAsia" w:ascii="宋体" w:hAnsi="宋体" w:eastAsia="宋体" w:cs="宋体"/>
          <w:sz w:val="24"/>
          <w:szCs w:val="24"/>
        </w:rPr>
        <w:t>偿付的违约金不足以弥补</w:t>
      </w:r>
      <w:r>
        <w:rPr>
          <w:rFonts w:hint="eastAsia" w:ascii="宋体" w:hAnsi="宋体" w:eastAsia="宋体" w:cs="宋体"/>
          <w:sz w:val="24"/>
          <w:szCs w:val="24"/>
          <w:lang w:eastAsia="zh-CN"/>
        </w:rPr>
        <w:t>甲方</w:t>
      </w:r>
      <w:r>
        <w:rPr>
          <w:rFonts w:hint="eastAsia" w:ascii="宋体" w:hAnsi="宋体" w:eastAsia="宋体" w:cs="宋体"/>
          <w:sz w:val="24"/>
          <w:szCs w:val="24"/>
        </w:rPr>
        <w:t>损失的，还应按</w:t>
      </w:r>
      <w:r>
        <w:rPr>
          <w:rFonts w:hint="eastAsia" w:ascii="宋体" w:hAnsi="宋体" w:eastAsia="宋体" w:cs="宋体"/>
          <w:sz w:val="24"/>
          <w:szCs w:val="24"/>
          <w:lang w:eastAsia="zh-CN"/>
        </w:rPr>
        <w:t>甲方</w:t>
      </w:r>
      <w:r>
        <w:rPr>
          <w:rFonts w:hint="eastAsia" w:ascii="宋体" w:hAnsi="宋体" w:eastAsia="宋体" w:cs="宋体"/>
          <w:sz w:val="24"/>
          <w:szCs w:val="24"/>
        </w:rPr>
        <w:t>损失尚未弥补的部分，支付赔偿金给</w:t>
      </w:r>
      <w:r>
        <w:rPr>
          <w:rFonts w:hint="eastAsia" w:ascii="宋体" w:hAnsi="宋体" w:eastAsia="宋体" w:cs="宋体"/>
          <w:sz w:val="24"/>
          <w:szCs w:val="24"/>
          <w:lang w:eastAsia="zh-CN"/>
        </w:rPr>
        <w:t>甲方</w:t>
      </w:r>
      <w:r>
        <w:rPr>
          <w:rFonts w:hint="eastAsia" w:ascii="宋体" w:hAnsi="宋体" w:eastAsia="宋体" w:cs="宋体"/>
          <w:sz w:val="24"/>
          <w:szCs w:val="24"/>
        </w:rPr>
        <w:t>。</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十四、不可抗力事件处理</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1、在合同有效期内，任何一方因不可抗力事件导致不能履行合同，则合同履行期可延长，其延长期与不可抗力影响期相同。</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3、不可抗力事件延续30天以上，双方应通过友好协商，确定是否继续履行合同。</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十五、组成本合同的有关文件 </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下列关于成都市技师学院</w:t>
      </w:r>
      <w:r>
        <w:rPr>
          <w:rFonts w:hint="eastAsia" w:cs="宋体"/>
          <w:sz w:val="24"/>
          <w:szCs w:val="24"/>
          <w:lang w:eastAsia="zh-CN"/>
        </w:rPr>
        <w:t>(</w:t>
      </w:r>
      <w:r>
        <w:rPr>
          <w:rFonts w:hint="eastAsia" w:ascii="宋体" w:hAnsi="宋体" w:eastAsia="宋体" w:cs="宋体"/>
          <w:sz w:val="24"/>
          <w:szCs w:val="24"/>
        </w:rPr>
        <w:t>成都工贸职业技术学院</w:t>
      </w:r>
      <w:r>
        <w:rPr>
          <w:rFonts w:hint="eastAsia" w:cs="宋体"/>
          <w:sz w:val="24"/>
          <w:szCs w:val="24"/>
          <w:lang w:eastAsia="zh-CN"/>
        </w:rPr>
        <w:t>)</w:t>
      </w:r>
      <w:r>
        <w:rPr>
          <w:rFonts w:hint="eastAsia" w:ascii="宋体" w:hAnsi="宋体" w:eastAsia="宋体" w:cs="宋体"/>
          <w:sz w:val="24"/>
          <w:szCs w:val="24"/>
        </w:rPr>
        <w:t>私有云平台及</w:t>
      </w:r>
      <w:r>
        <w:rPr>
          <w:rFonts w:hint="eastAsia" w:ascii="宋体" w:hAnsi="宋体" w:eastAsia="宋体" w:cs="宋体"/>
          <w:sz w:val="24"/>
          <w:szCs w:val="24"/>
          <w:lang w:eastAsia="zh-CN"/>
        </w:rPr>
        <w:t>网站群</w:t>
      </w:r>
      <w:r>
        <w:rPr>
          <w:rFonts w:hint="eastAsia" w:ascii="宋体" w:hAnsi="宋体" w:eastAsia="宋体" w:cs="宋体"/>
          <w:sz w:val="24"/>
          <w:szCs w:val="24"/>
        </w:rPr>
        <w:t>等保测评项目(项目编号：)的</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文件、乙方的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文件或与本次采购活动方式相适应的文件及有关附件是本合同不可分割的组成部分，与本合同具有同等法律效力，这些文件包括但不限于：</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1.甲方的</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4.本合同列出的附件。</w:t>
      </w:r>
    </w:p>
    <w:p>
      <w:pPr>
        <w:keepNext w:val="0"/>
        <w:keepLines w:val="0"/>
        <w:pageBreakBefore w:val="0"/>
        <w:widowControl w:val="0"/>
        <w:kinsoku/>
        <w:autoSpaceDE/>
        <w:autoSpaceDN/>
        <w:bidi w:val="0"/>
        <w:adjustRightInd w:val="0"/>
        <w:snapToGrid w:val="0"/>
        <w:spacing w:line="520" w:lineRule="exact"/>
        <w:ind w:left="0" w:lef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六、其他</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1.乙方制定的实施方案、详见乙方响应文件。</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2.本合同自乙方缴纳履约保证金后，且合同经双方法定代表人或授权委托代理人签字并加盖章后生效。</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3.如有未尽事宜，由双方依法订立补充合同。</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4.本本合同一式六份，甲方五份，乙方一份，具有同等法律效力。</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5.如本合同与甲方的</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文件、乙方的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文件不一致时，以甲方的</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文件、乙方的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文件为准。</w:t>
      </w:r>
    </w:p>
    <w:p>
      <w:pPr>
        <w:keepNext w:val="0"/>
        <w:keepLines w:val="0"/>
        <w:pageBreakBefore w:val="0"/>
        <w:widowControl w:val="0"/>
        <w:kinsoku/>
        <w:autoSpaceDE/>
        <w:autoSpaceDN/>
        <w:bidi w:val="0"/>
        <w:adjustRightInd w:val="0"/>
        <w:snapToGrid w:val="0"/>
        <w:spacing w:line="5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6.本合同应按照中华人民共和国的现行法律进行解释。</w:t>
      </w:r>
    </w:p>
    <w:p>
      <w:pPr>
        <w:pStyle w:val="33"/>
        <w:numPr>
          <w:ilvl w:val="1"/>
          <w:numId w:val="0"/>
        </w:numPr>
        <w:spacing w:line="520" w:lineRule="exact"/>
        <w:ind w:left="480" w:leftChars="200"/>
      </w:pPr>
    </w:p>
    <w:p>
      <w:pPr>
        <w:pStyle w:val="34"/>
        <w:pageBreakBefore/>
        <w:spacing w:before="240" w:beforeLines="100" w:after="240" w:afterLines="100"/>
        <w:jc w:val="center"/>
        <w:rPr>
          <w:b/>
          <w:bCs/>
        </w:rPr>
      </w:pPr>
      <w:r>
        <w:rPr>
          <w:rFonts w:hint="eastAsia"/>
          <w:b/>
          <w:bCs/>
        </w:rPr>
        <w:t>(本页无正文)</w:t>
      </w:r>
    </w:p>
    <w:tbl>
      <w:tblPr>
        <w:tblStyle w:val="24"/>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甲方：   (盖章)</w:t>
            </w:r>
          </w:p>
        </w:tc>
        <w:tc>
          <w:tcPr>
            <w:tcW w:w="4981" w:type="dxa"/>
            <w:vAlign w:val="center"/>
          </w:tcPr>
          <w:p>
            <w:pPr>
              <w:pStyle w:val="43"/>
            </w:pPr>
            <w:r>
              <w:rPr>
                <w:rFonts w:hint="eastAsia"/>
              </w:rPr>
              <w:t>乙方：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法定代表人(被授权人)：</w:t>
            </w:r>
          </w:p>
        </w:tc>
        <w:tc>
          <w:tcPr>
            <w:tcW w:w="4981" w:type="dxa"/>
            <w:vAlign w:val="center"/>
          </w:tcPr>
          <w:p>
            <w:pPr>
              <w:pStyle w:val="43"/>
            </w:pPr>
            <w:r>
              <w:rPr>
                <w:rFonts w:hint="eastAsia"/>
              </w:rPr>
              <w:t>法定代表人(被授权人)：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地址(住所)：</w:t>
            </w:r>
          </w:p>
        </w:tc>
        <w:tc>
          <w:tcPr>
            <w:tcW w:w="4981" w:type="dxa"/>
            <w:vAlign w:val="center"/>
          </w:tcPr>
          <w:p>
            <w:pPr>
              <w:pStyle w:val="43"/>
            </w:pPr>
            <w:r>
              <w:rPr>
                <w:rFonts w:hint="eastAsia"/>
              </w:rPr>
              <w:t>地址(住所)：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开户银行：</w:t>
            </w:r>
          </w:p>
        </w:tc>
        <w:tc>
          <w:tcPr>
            <w:tcW w:w="4981" w:type="dxa"/>
            <w:vAlign w:val="center"/>
          </w:tcPr>
          <w:p>
            <w:pPr>
              <w:pStyle w:val="43"/>
            </w:pPr>
            <w:r>
              <w:rPr>
                <w:rFonts w:hint="eastAsia"/>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账号：</w:t>
            </w:r>
          </w:p>
        </w:tc>
        <w:tc>
          <w:tcPr>
            <w:tcW w:w="4981" w:type="dxa"/>
            <w:vAlign w:val="center"/>
          </w:tcPr>
          <w:p>
            <w:pPr>
              <w:pStyle w:val="43"/>
            </w:pPr>
            <w:r>
              <w:rPr>
                <w:rFonts w:hint="eastAsi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 xml:space="preserve">电话： </w:t>
            </w:r>
          </w:p>
        </w:tc>
        <w:tc>
          <w:tcPr>
            <w:tcW w:w="4981" w:type="dxa"/>
            <w:vAlign w:val="center"/>
          </w:tcPr>
          <w:p>
            <w:pPr>
              <w:pStyle w:val="43"/>
            </w:pPr>
            <w:r>
              <w:rPr>
                <w:rFonts w:hint="eastAsia"/>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3"/>
            </w:pPr>
            <w:r>
              <w:rPr>
                <w:rFonts w:hint="eastAsia"/>
              </w:rPr>
              <w:t>传真：</w:t>
            </w:r>
          </w:p>
        </w:tc>
        <w:tc>
          <w:tcPr>
            <w:tcW w:w="4981" w:type="dxa"/>
            <w:vAlign w:val="center"/>
          </w:tcPr>
          <w:p>
            <w:pPr>
              <w:pStyle w:val="43"/>
            </w:pPr>
            <w:r>
              <w:rPr>
                <w:rFonts w:hint="eastAsia"/>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3"/>
            </w:pPr>
            <w:r>
              <w:rPr>
                <w:rFonts w:hint="eastAsia"/>
              </w:rPr>
              <w:t>签约日期：XX年XX月XX日</w:t>
            </w:r>
          </w:p>
        </w:tc>
        <w:tc>
          <w:tcPr>
            <w:tcW w:w="4981" w:type="dxa"/>
            <w:vAlign w:val="center"/>
          </w:tcPr>
          <w:p>
            <w:pPr>
              <w:pStyle w:val="43"/>
            </w:pPr>
            <w:r>
              <w:rPr>
                <w:rFonts w:hint="eastAsia"/>
              </w:rPr>
              <w:t>签约日期：XX年XX月XX日</w:t>
            </w:r>
          </w:p>
        </w:tc>
      </w:tr>
    </w:tbl>
    <w:p>
      <w:pPr>
        <w:pStyle w:val="43"/>
        <w:sectPr>
          <w:pgSz w:w="11906" w:h="16838"/>
          <w:pgMar w:top="1440" w:right="1080" w:bottom="1440" w:left="1080" w:header="851" w:footer="992" w:gutter="0"/>
          <w:pgNumType w:fmt="decimal"/>
          <w:cols w:space="0" w:num="1"/>
          <w:titlePg/>
          <w:docGrid w:linePitch="312" w:charSpace="0"/>
        </w:sectPr>
      </w:pPr>
      <w:r>
        <w:rPr>
          <w:rFonts w:hint="eastAsia"/>
        </w:rPr>
        <w:br w:type="page"/>
      </w:r>
    </w:p>
    <w:p>
      <w:pPr>
        <w:pStyle w:val="48"/>
        <w:numPr>
          <w:ilvl w:val="0"/>
          <w:numId w:val="24"/>
        </w:numPr>
        <w:spacing w:before="120" w:after="120"/>
      </w:pPr>
      <w:bookmarkStart w:id="540" w:name="_Toc13687"/>
      <w:bookmarkStart w:id="541" w:name="_Toc28848"/>
      <w:bookmarkStart w:id="542" w:name="_Toc23622"/>
      <w:r>
        <w:rPr>
          <w:rFonts w:hint="eastAsia"/>
        </w:rPr>
        <w:t>附件</w:t>
      </w:r>
      <w:bookmarkEnd w:id="540"/>
      <w:bookmarkEnd w:id="541"/>
      <w:bookmarkEnd w:id="542"/>
    </w:p>
    <w:p>
      <w:pPr>
        <w:pStyle w:val="35"/>
        <w:numPr>
          <w:ilvl w:val="1"/>
          <w:numId w:val="0"/>
        </w:numPr>
        <w:ind w:left="480" w:leftChars="200"/>
      </w:pPr>
      <w:bookmarkStart w:id="543" w:name="_Toc3130"/>
      <w:bookmarkStart w:id="544" w:name="_Toc18539"/>
      <w:bookmarkStart w:id="545" w:name="_Toc31276"/>
      <w:r>
        <w:rPr>
          <w:rFonts w:hint="eastAsia"/>
        </w:rPr>
        <w:t>附件一：问题的澄清、说明、更正通知</w:t>
      </w:r>
      <w:bookmarkEnd w:id="543"/>
      <w:bookmarkEnd w:id="544"/>
      <w:bookmarkEnd w:id="545"/>
    </w:p>
    <w:p>
      <w:pPr>
        <w:spacing w:line="360" w:lineRule="auto"/>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问题的澄清、说明、更正通知</w:t>
      </w:r>
    </w:p>
    <w:p>
      <w:pPr>
        <w:spacing w:line="360" w:lineRule="auto"/>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(由磋商小组发出)</w:t>
      </w:r>
    </w:p>
    <w:p>
      <w:pPr>
        <w:spacing w:line="360" w:lineRule="auto"/>
        <w:ind w:firstLine="480" w:firstLineChars="200"/>
        <w:jc w:val="both"/>
        <w:rPr>
          <w:rFonts w:asciiTheme="minorEastAsia" w:hAnsiTheme="minorEastAsia" w:eastAsiaTheme="minorEastAsia" w:cstheme="minorEastAsia"/>
          <w:b/>
        </w:rPr>
      </w:pPr>
      <w:r>
        <w:rPr>
          <w:rFonts w:hint="eastAsia" w:asciiTheme="minorEastAsia" w:hAnsiTheme="minorEastAsia" w:eastAsiaTheme="minorEastAsia" w:cstheme="minorEastAsia"/>
        </w:rPr>
        <w:t>编号：</w:t>
      </w:r>
    </w:p>
    <w:p>
      <w:pPr>
        <w:spacing w:line="360" w:lineRule="auto"/>
        <w:ind w:firstLine="480" w:firstLineChars="200"/>
        <w:rPr>
          <w:rFonts w:asciiTheme="minorEastAsia" w:hAnsiTheme="minorEastAsia" w:eastAsiaTheme="minorEastAsia" w:cstheme="minorEastAsia"/>
          <w:u w:val="single"/>
        </w:rPr>
      </w:pPr>
    </w:p>
    <w:p>
      <w:pP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(供应商名称)：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(项目名称)竞争性磋商小组，对你方的响应文件进行了仔细的审查，现需你方对下列问题以书面形式予以</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wordWrap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请将上述问题的</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时前递交至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(详细地址)或传真至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(传真号码)。采用传真方式的，应在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时前将原件递交至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(详细地址)。</w:t>
      </w:r>
    </w:p>
    <w:p>
      <w:pPr>
        <w:ind w:firstLine="5880" w:firstLineChars="2450"/>
        <w:rPr>
          <w:rFonts w:asciiTheme="minorEastAsia" w:hAnsiTheme="minorEastAsia" w:eastAsiaTheme="minorEastAsia" w:cstheme="minorEastAsia"/>
        </w:rPr>
      </w:pPr>
    </w:p>
    <w:p>
      <w:pPr>
        <w:ind w:firstLine="5880" w:firstLineChars="2450"/>
        <w:rPr>
          <w:rFonts w:asciiTheme="minorEastAsia" w:hAnsiTheme="minorEastAsia" w:eastAsiaTheme="minorEastAsia" w:cstheme="minorEastAsia"/>
        </w:rPr>
      </w:pPr>
    </w:p>
    <w:p>
      <w:pPr>
        <w:ind w:firstLine="2160" w:firstLineChars="900"/>
        <w:jc w:val="right"/>
        <w:rPr>
          <w:rFonts w:asciiTheme="minorEastAsia" w:hAnsiTheme="minorEastAsia" w:eastAsiaTheme="minorEastAsia" w:cstheme="minorEastAsia"/>
        </w:rPr>
      </w:pPr>
      <w:r>
        <w:rPr>
          <w:rFonts w:hint="eastAsia" w:asciiTheme="minorEastAsia" w:hAnsiTheme="minorEastAsia" w:eastAsiaTheme="minorEastAsia" w:cstheme="minorEastAsia"/>
        </w:rPr>
        <w:t>磋商小组：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pPr>
        <w:jc w:val="right"/>
        <w:rPr>
          <w:rFonts w:asciiTheme="minorEastAsia" w:hAnsiTheme="minorEastAsia" w:eastAsiaTheme="minorEastAsia" w:cstheme="minorEastAsia"/>
        </w:rPr>
      </w:pPr>
      <w:r>
        <w:rPr>
          <w:rFonts w:hint="eastAsia" w:asciiTheme="minorEastAsia" w:hAnsiTheme="minorEastAsia" w:eastAsiaTheme="minorEastAsia" w:cstheme="minorEastAsia"/>
        </w:rPr>
        <w:t>采购人或采购代理机构：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(盖单位章或负责人签字)</w:t>
      </w:r>
    </w:p>
    <w:p>
      <w:pPr>
        <w:jc w:val="right"/>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ind w:firstLine="616" w:firstLineChars="257"/>
        <w:rPr>
          <w:rFonts w:asciiTheme="minorEastAsia" w:hAnsiTheme="minorEastAsia" w:eastAsiaTheme="minorEastAsia" w:cstheme="minorEastAsia"/>
        </w:rPr>
      </w:pPr>
    </w:p>
    <w:p>
      <w:pPr>
        <w:ind w:firstLine="616" w:firstLineChars="257"/>
        <w:rPr>
          <w:rFonts w:asciiTheme="minorEastAsia" w:hAnsiTheme="minorEastAsia" w:eastAsiaTheme="minorEastAsia" w:cstheme="minorEastAsia"/>
        </w:rPr>
      </w:pPr>
      <w:r>
        <w:rPr>
          <w:rFonts w:hint="eastAsia" w:asciiTheme="minorEastAsia" w:hAnsiTheme="minorEastAsia" w:eastAsiaTheme="minorEastAsia" w:cstheme="minorEastAsia"/>
        </w:rPr>
        <w:t>注：(1)“问题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通知”由磋商小组拟定书面形式作出，由采购人或采购代理机构代为发出。</w:t>
      </w:r>
    </w:p>
    <w:p>
      <w:pPr>
        <w:ind w:firstLine="616" w:firstLineChars="257"/>
        <w:rPr>
          <w:rFonts w:asciiTheme="minorEastAsia" w:hAnsiTheme="minorEastAsia" w:eastAsiaTheme="minorEastAsia" w:cstheme="minorEastAsia"/>
          <w:u w:val="single"/>
        </w:rPr>
      </w:pPr>
      <w:r>
        <w:rPr>
          <w:rFonts w:hint="eastAsia" w:asciiTheme="minorEastAsia" w:hAnsiTheme="minorEastAsia" w:eastAsiaTheme="minorEastAsia" w:cstheme="minorEastAsia"/>
        </w:rPr>
        <w:t>(2)发给供应商的“问题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通知”，应删除“磋商小组：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(签字)”一栏，以“采购人或采购代理机构：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(盖单位章或负责人签字)”代替。磋商小组签字的“问题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通知”，应编入评审报告并存档备查。</w:t>
      </w:r>
    </w:p>
    <w:p>
      <w:pPr>
        <w:pStyle w:val="35"/>
        <w:numPr>
          <w:ilvl w:val="1"/>
          <w:numId w:val="0"/>
        </w:numPr>
        <w:ind w:left="480" w:leftChars="200"/>
        <w:rPr>
          <w:rFonts w:asciiTheme="minorEastAsia" w:hAnsiTheme="minorEastAsia" w:eastAsiaTheme="minorEastAsia" w:cstheme="minorEastAsia"/>
        </w:rPr>
      </w:pPr>
      <w:r>
        <w:rPr>
          <w:rFonts w:hint="eastAsia" w:asciiTheme="minorEastAsia" w:hAnsiTheme="minorEastAsia" w:eastAsiaTheme="minorEastAsia" w:cstheme="minorEastAsia"/>
          <w:szCs w:val="21"/>
          <w:u w:val="single"/>
        </w:rPr>
        <w:br w:type="page"/>
      </w:r>
      <w:bookmarkStart w:id="546" w:name="_Toc31095"/>
      <w:bookmarkStart w:id="547" w:name="_Toc3428"/>
      <w:bookmarkStart w:id="548" w:name="_Toc16367"/>
      <w:r>
        <w:rPr>
          <w:rFonts w:hint="eastAsia" w:asciiTheme="minorEastAsia" w:hAnsiTheme="minorEastAsia" w:eastAsiaTheme="minorEastAsia" w:cstheme="minorEastAsia"/>
        </w:rPr>
        <w:t>附件二：问题的澄清、说明、更正</w:t>
      </w:r>
      <w:bookmarkEnd w:id="546"/>
      <w:bookmarkEnd w:id="547"/>
      <w:bookmarkEnd w:id="548"/>
    </w:p>
    <w:p>
      <w:pPr>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问题的澄清、说明、更正</w:t>
      </w:r>
    </w:p>
    <w:p>
      <w:pPr>
        <w:rPr>
          <w:rFonts w:asciiTheme="minorEastAsia" w:hAnsiTheme="minorEastAsia" w:eastAsiaTheme="minorEastAsia" w:cstheme="minorEastAsia"/>
        </w:rPr>
      </w:pPr>
      <w:r>
        <w:rPr>
          <w:rFonts w:hint="eastAsia" w:asciiTheme="minorEastAsia" w:hAnsiTheme="minorEastAsia" w:eastAsiaTheme="minorEastAsia" w:cstheme="minorEastAsia"/>
        </w:rPr>
        <w:t>编号：</w:t>
      </w:r>
    </w:p>
    <w:p>
      <w:pP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(项目名称)竞争性磋商小组：</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问题澄清</w:t>
      </w:r>
      <w:r>
        <w:rPr>
          <w:rFonts w:hint="eastAsia" w:asciiTheme="minorEastAsia" w:hAnsiTheme="minorEastAsia" w:eastAsiaTheme="minorEastAsia" w:cstheme="minorEastAsia"/>
          <w:b/>
        </w:rPr>
        <w:t>、说明、更正</w:t>
      </w:r>
      <w:r>
        <w:rPr>
          <w:rFonts w:hint="eastAsia" w:asciiTheme="minorEastAsia" w:hAnsiTheme="minorEastAsia" w:eastAsiaTheme="minorEastAsia" w:cstheme="minorEastAsia"/>
        </w:rPr>
        <w:t>通知(编号：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)已收悉，现</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如下：</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200" w:firstLineChars="1750"/>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pPr>
        <w:ind w:firstLine="5880" w:firstLineChars="2450"/>
        <w:rPr>
          <w:rFonts w:asciiTheme="minorEastAsia" w:hAnsiTheme="minorEastAsia" w:eastAsiaTheme="minorEastAsia" w:cstheme="minorEastAsia"/>
          <w:u w:val="single"/>
        </w:rPr>
      </w:pPr>
    </w:p>
    <w:p>
      <w:pPr>
        <w:ind w:firstLine="5400" w:firstLineChars="225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注：供应商应按本“</w:t>
      </w:r>
      <w:r>
        <w:rPr>
          <w:rFonts w:hint="eastAsia" w:asciiTheme="minorEastAsia" w:hAnsiTheme="minorEastAsia" w:eastAsiaTheme="minorEastAsia" w:cstheme="minorEastAsia"/>
          <w:b/>
        </w:rPr>
        <w:t>问题的澄清、说明、更正</w:t>
      </w:r>
      <w:r>
        <w:rPr>
          <w:rFonts w:hint="eastAsia" w:asciiTheme="minorEastAsia" w:hAnsiTheme="minorEastAsia" w:eastAsiaTheme="minorEastAsia" w:cstheme="minorEastAsia"/>
        </w:rPr>
        <w:t>”格式回复。</w:t>
      </w:r>
    </w:p>
    <w:p>
      <w:r>
        <w:rPr>
          <w:rFonts w:hint="eastAsia"/>
        </w:rPr>
        <w:br w:type="page"/>
      </w:r>
    </w:p>
    <w:p>
      <w:pPr>
        <w:pStyle w:val="35"/>
        <w:numPr>
          <w:ilvl w:val="1"/>
          <w:numId w:val="0"/>
        </w:numPr>
        <w:ind w:left="480" w:leftChars="200"/>
      </w:pPr>
      <w:bookmarkStart w:id="549" w:name="_Toc8375"/>
      <w:bookmarkStart w:id="550" w:name="_Toc10310"/>
      <w:r>
        <w:rPr>
          <w:rFonts w:hint="eastAsia"/>
        </w:rPr>
        <w:t>附件三：2023年度信用评价服务效果调查表</w:t>
      </w:r>
      <w:bookmarkEnd w:id="549"/>
      <w:bookmarkEnd w:id="550"/>
    </w:p>
    <w:p>
      <w:pPr>
        <w:pStyle w:val="43"/>
        <w:spacing w:before="240" w:beforeLines="100" w:after="240" w:afterLines="100"/>
        <w:jc w:val="center"/>
        <w:rPr>
          <w:b/>
          <w:bCs/>
          <w:sz w:val="36"/>
          <w:szCs w:val="36"/>
        </w:rPr>
      </w:pPr>
      <w:r>
        <w:rPr>
          <w:rFonts w:hint="eastAsia"/>
          <w:b/>
          <w:bCs/>
          <w:sz w:val="36"/>
          <w:szCs w:val="36"/>
        </w:rPr>
        <w:t>2023年度信用评价服务效果调查表(供应商)</w:t>
      </w:r>
    </w:p>
    <w:p>
      <w:pPr>
        <w:pStyle w:val="43"/>
        <w:rPr>
          <w:u w:val="single"/>
        </w:rPr>
      </w:pPr>
      <w:r>
        <w:rPr>
          <w:rFonts w:hint="eastAsia"/>
        </w:rPr>
        <w:t>项目名称：</w:t>
      </w:r>
      <w:r>
        <w:rPr>
          <w:rFonts w:hint="eastAsia"/>
          <w:u w:val="single"/>
        </w:rPr>
        <w:t xml:space="preserve">                               </w:t>
      </w:r>
    </w:p>
    <w:p>
      <w:pPr>
        <w:pStyle w:val="43"/>
        <w:rPr>
          <w:u w:val="single"/>
        </w:rPr>
      </w:pPr>
      <w:r>
        <w:rPr>
          <w:rFonts w:hint="eastAsia"/>
        </w:rPr>
        <w:t>项目编号：</w:t>
      </w:r>
      <w:r>
        <w:rPr>
          <w:rFonts w:hint="eastAsia"/>
          <w:u w:val="single"/>
        </w:rPr>
        <w:t xml:space="preserve">                               </w:t>
      </w:r>
    </w:p>
    <w:p>
      <w:pPr>
        <w:pStyle w:val="43"/>
      </w:pPr>
      <w:r>
        <w:rPr>
          <w:rFonts w:hint="eastAsia"/>
        </w:rPr>
        <w:t>被评价代理机构名称：四川乾新招投标代理有限公司</w:t>
      </w:r>
    </w:p>
    <w:tbl>
      <w:tblPr>
        <w:tblStyle w:val="23"/>
        <w:tblW w:w="9770" w:type="dxa"/>
        <w:tblInd w:w="0" w:type="dxa"/>
        <w:tblLayout w:type="fixed"/>
        <w:tblCellMar>
          <w:top w:w="15" w:type="dxa"/>
          <w:left w:w="15" w:type="dxa"/>
          <w:bottom w:w="15" w:type="dxa"/>
          <w:right w:w="15" w:type="dxa"/>
        </w:tblCellMar>
      </w:tblPr>
      <w:tblGrid>
        <w:gridCol w:w="1219"/>
        <w:gridCol w:w="2430"/>
        <w:gridCol w:w="1530"/>
        <w:gridCol w:w="1530"/>
        <w:gridCol w:w="1530"/>
        <w:gridCol w:w="1531"/>
      </w:tblGrid>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满意</w:t>
            </w:r>
          </w:p>
          <w:p>
            <w:pPr>
              <w:pStyle w:val="45"/>
              <w:rPr>
                <w:b/>
                <w:bCs/>
              </w:rPr>
            </w:pPr>
            <w:r>
              <w:rPr>
                <w:rFonts w:hint="eastAsia"/>
                <w:b/>
                <w:bCs/>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 xml:space="preserve">基本满意 </w:t>
            </w:r>
          </w:p>
          <w:p>
            <w:pPr>
              <w:pStyle w:val="45"/>
              <w:rPr>
                <w:b/>
                <w:bCs/>
              </w:rPr>
            </w:pPr>
            <w:r>
              <w:rPr>
                <w:rFonts w:hint="eastAsia"/>
                <w:b/>
                <w:bCs/>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 xml:space="preserve">一般 </w:t>
            </w:r>
          </w:p>
          <w:p>
            <w:pPr>
              <w:pStyle w:val="45"/>
              <w:rPr>
                <w:b/>
                <w:bCs/>
              </w:rPr>
            </w:pPr>
            <w:r>
              <w:rPr>
                <w:rFonts w:hint="eastAsia"/>
                <w:b/>
                <w:bCs/>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不满意</w:t>
            </w:r>
          </w:p>
          <w:p>
            <w:pPr>
              <w:pStyle w:val="45"/>
              <w:rPr>
                <w:b/>
                <w:bCs/>
              </w:rPr>
            </w:pPr>
            <w:r>
              <w:rPr>
                <w:rFonts w:hint="eastAsia"/>
                <w:b/>
                <w:bCs/>
              </w:rPr>
              <w:t>(0分)</w:t>
            </w: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质疑答复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480"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r>
              <w:rPr>
                <w:rFonts w:hint="eastAsia"/>
                <w:b/>
                <w:bCs/>
              </w:rPr>
              <w:t>对代理机构工作的其他建议：</w:t>
            </w:r>
          </w:p>
        </w:tc>
      </w:tr>
      <w:tr>
        <w:tblPrEx>
          <w:tblCellMar>
            <w:top w:w="15" w:type="dxa"/>
            <w:left w:w="15" w:type="dxa"/>
            <w:bottom w:w="15" w:type="dxa"/>
            <w:right w:w="15" w:type="dxa"/>
          </w:tblCellMar>
        </w:tblPrEx>
        <w:trPr>
          <w:trHeight w:val="3106"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p>
        </w:tc>
      </w:tr>
      <w:tr>
        <w:tblPrEx>
          <w:tblCellMar>
            <w:top w:w="15" w:type="dxa"/>
            <w:left w:w="15" w:type="dxa"/>
            <w:bottom w:w="15" w:type="dxa"/>
            <w:right w:w="15" w:type="dxa"/>
          </w:tblCellMar>
        </w:tblPrEx>
        <w:trPr>
          <w:trHeight w:val="811"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r>
              <w:rPr>
                <w:rFonts w:hint="eastAsia"/>
                <w:b/>
                <w:bCs/>
              </w:rPr>
              <w:t>供应商名称：</w:t>
            </w:r>
            <w:r>
              <w:rPr>
                <w:rFonts w:hint="eastAsia"/>
                <w:b/>
                <w:bCs/>
                <w:u w:val="single"/>
              </w:rPr>
              <w:t xml:space="preserve">                     </w:t>
            </w:r>
            <w:r>
              <w:rPr>
                <w:rFonts w:hint="eastAsia"/>
                <w:b/>
                <w:bCs/>
              </w:rPr>
              <w:t>(加盖鲜章)</w:t>
            </w:r>
          </w:p>
        </w:tc>
      </w:tr>
    </w:tbl>
    <w:p>
      <w:pPr>
        <w:pStyle w:val="47"/>
        <w:ind w:firstLine="482"/>
      </w:pPr>
      <w:r>
        <w:rPr>
          <w:rFonts w:hint="eastAsia"/>
        </w:rPr>
        <w:t>说明：请贵公司根据采购代理机构2023年度采购项目的实际情况，在“满意”、“基本满意”、“一般”、“不满意”四个评价档次栏中选取一栏打“√”，并加盖鲜章。</w:t>
      </w:r>
    </w:p>
    <w:p>
      <w:r>
        <w:rPr>
          <w:rFonts w:hint="eastAsia"/>
        </w:rPr>
        <w:br w:type="page"/>
      </w:r>
    </w:p>
    <w:p>
      <w:pPr>
        <w:pStyle w:val="35"/>
        <w:numPr>
          <w:ilvl w:val="1"/>
          <w:numId w:val="0"/>
        </w:numPr>
        <w:ind w:firstLine="482" w:firstLineChars="200"/>
        <w:rPr>
          <w:rFonts w:asciiTheme="minorEastAsia" w:hAnsiTheme="minorEastAsia" w:eastAsiaTheme="minorEastAsia" w:cstheme="minorEastAsia"/>
        </w:rPr>
      </w:pPr>
      <w:bookmarkStart w:id="551" w:name="_Toc18483"/>
      <w:bookmarkStart w:id="552" w:name="_Toc24348"/>
      <w:r>
        <w:rPr>
          <w:rFonts w:hint="eastAsia" w:asciiTheme="minorEastAsia" w:hAnsiTheme="minorEastAsia" w:eastAsiaTheme="minorEastAsia" w:cstheme="minorEastAsia"/>
        </w:rPr>
        <w:t>附件四：统计上大中小微型企业划分标准</w:t>
      </w:r>
      <w:bookmarkEnd w:id="551"/>
      <w:bookmarkEnd w:id="552"/>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445"/>
        <w:gridCol w:w="747"/>
        <w:gridCol w:w="1186"/>
        <w:gridCol w:w="1796"/>
        <w:gridCol w:w="150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20" w:type="pct"/>
            <w:vAlign w:val="center"/>
          </w:tcPr>
          <w:p>
            <w:pPr>
              <w:widowControl/>
              <w:spacing w:line="240" w:lineRule="exact"/>
              <w:jc w:val="center"/>
              <w:rPr>
                <w:rFonts w:cs="宋体"/>
                <w:b/>
                <w:bCs/>
                <w:kern w:val="0"/>
                <w:sz w:val="15"/>
                <w:szCs w:val="15"/>
              </w:rPr>
            </w:pPr>
            <w:r>
              <w:rPr>
                <w:rFonts w:hint="eastAsia" w:cs="宋体"/>
                <w:b/>
                <w:bCs/>
                <w:kern w:val="0"/>
                <w:sz w:val="15"/>
                <w:szCs w:val="15"/>
              </w:rPr>
              <w:t>行业名称</w:t>
            </w:r>
          </w:p>
        </w:tc>
        <w:tc>
          <w:tcPr>
            <w:tcW w:w="725" w:type="pct"/>
            <w:vAlign w:val="center"/>
          </w:tcPr>
          <w:p>
            <w:pPr>
              <w:widowControl/>
              <w:jc w:val="center"/>
              <w:rPr>
                <w:rFonts w:cs="宋体"/>
                <w:b/>
                <w:bCs/>
                <w:kern w:val="0"/>
                <w:sz w:val="15"/>
                <w:szCs w:val="15"/>
              </w:rPr>
            </w:pPr>
            <w:r>
              <w:rPr>
                <w:rFonts w:hint="eastAsia" w:cs="宋体"/>
                <w:b/>
                <w:bCs/>
                <w:kern w:val="0"/>
                <w:sz w:val="15"/>
                <w:szCs w:val="15"/>
              </w:rPr>
              <w:t>指标名称</w:t>
            </w:r>
          </w:p>
        </w:tc>
        <w:tc>
          <w:tcPr>
            <w:tcW w:w="375" w:type="pct"/>
            <w:vAlign w:val="center"/>
          </w:tcPr>
          <w:p>
            <w:pPr>
              <w:widowControl/>
              <w:jc w:val="center"/>
              <w:rPr>
                <w:rFonts w:cs="宋体"/>
                <w:b/>
                <w:bCs/>
                <w:kern w:val="0"/>
                <w:sz w:val="15"/>
                <w:szCs w:val="15"/>
              </w:rPr>
            </w:pPr>
            <w:r>
              <w:rPr>
                <w:rFonts w:hint="eastAsia" w:cs="宋体"/>
                <w:b/>
                <w:bCs/>
                <w:kern w:val="0"/>
                <w:sz w:val="15"/>
                <w:szCs w:val="15"/>
              </w:rPr>
              <w:t>计量</w:t>
            </w:r>
            <w:r>
              <w:rPr>
                <w:rFonts w:hint="eastAsia" w:cs="宋体"/>
                <w:b/>
                <w:bCs/>
                <w:kern w:val="0"/>
                <w:sz w:val="15"/>
                <w:szCs w:val="15"/>
              </w:rPr>
              <w:br w:type="textWrapping"/>
            </w:r>
            <w:r>
              <w:rPr>
                <w:rFonts w:hint="eastAsia" w:cs="宋体"/>
                <w:b/>
                <w:bCs/>
                <w:kern w:val="0"/>
                <w:sz w:val="15"/>
                <w:szCs w:val="15"/>
              </w:rPr>
              <w:t>单位</w:t>
            </w:r>
          </w:p>
        </w:tc>
        <w:tc>
          <w:tcPr>
            <w:tcW w:w="595" w:type="pct"/>
            <w:vAlign w:val="center"/>
          </w:tcPr>
          <w:p>
            <w:pPr>
              <w:widowControl/>
              <w:jc w:val="center"/>
              <w:rPr>
                <w:rFonts w:cs="宋体"/>
                <w:b/>
                <w:bCs/>
                <w:kern w:val="0"/>
                <w:sz w:val="15"/>
                <w:szCs w:val="15"/>
              </w:rPr>
            </w:pPr>
            <w:r>
              <w:rPr>
                <w:rFonts w:hint="eastAsia" w:cs="宋体"/>
                <w:b/>
                <w:bCs/>
                <w:kern w:val="0"/>
                <w:sz w:val="15"/>
                <w:szCs w:val="15"/>
              </w:rPr>
              <w:t>大型</w:t>
            </w:r>
          </w:p>
        </w:tc>
        <w:tc>
          <w:tcPr>
            <w:tcW w:w="901" w:type="pct"/>
            <w:vAlign w:val="center"/>
          </w:tcPr>
          <w:p>
            <w:pPr>
              <w:widowControl/>
              <w:jc w:val="center"/>
              <w:rPr>
                <w:rFonts w:cs="宋体"/>
                <w:b/>
                <w:bCs/>
                <w:kern w:val="0"/>
                <w:sz w:val="15"/>
                <w:szCs w:val="15"/>
              </w:rPr>
            </w:pPr>
            <w:r>
              <w:rPr>
                <w:rFonts w:hint="eastAsia" w:cs="宋体"/>
                <w:b/>
                <w:bCs/>
                <w:kern w:val="0"/>
                <w:sz w:val="15"/>
                <w:szCs w:val="15"/>
              </w:rPr>
              <w:t>中型</w:t>
            </w:r>
          </w:p>
        </w:tc>
        <w:tc>
          <w:tcPr>
            <w:tcW w:w="755" w:type="pct"/>
            <w:vAlign w:val="center"/>
          </w:tcPr>
          <w:p>
            <w:pPr>
              <w:widowControl/>
              <w:jc w:val="center"/>
              <w:rPr>
                <w:rFonts w:cs="宋体"/>
                <w:b/>
                <w:bCs/>
                <w:kern w:val="0"/>
                <w:sz w:val="15"/>
                <w:szCs w:val="15"/>
              </w:rPr>
            </w:pPr>
            <w:r>
              <w:rPr>
                <w:rFonts w:hint="eastAsia" w:cs="宋体"/>
                <w:b/>
                <w:bCs/>
                <w:kern w:val="0"/>
                <w:sz w:val="15"/>
                <w:szCs w:val="15"/>
              </w:rPr>
              <w:t>小型</w:t>
            </w:r>
          </w:p>
        </w:tc>
        <w:tc>
          <w:tcPr>
            <w:tcW w:w="525" w:type="pct"/>
            <w:vAlign w:val="center"/>
          </w:tcPr>
          <w:p>
            <w:pPr>
              <w:widowControl/>
              <w:jc w:val="center"/>
              <w:rPr>
                <w:rFonts w:cs="宋体"/>
                <w:b/>
                <w:bCs/>
                <w:kern w:val="0"/>
                <w:sz w:val="15"/>
                <w:szCs w:val="15"/>
              </w:rPr>
            </w:pPr>
            <w:r>
              <w:rPr>
                <w:rFonts w:hint="eastAsia" w:cs="宋体"/>
                <w:b/>
                <w:bCs/>
                <w:kern w:val="0"/>
                <w:sz w:val="15"/>
                <w:szCs w:val="15"/>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Align w:val="center"/>
          </w:tcPr>
          <w:p>
            <w:pPr>
              <w:widowControl/>
              <w:spacing w:line="240" w:lineRule="exact"/>
              <w:rPr>
                <w:rFonts w:cs="宋体"/>
                <w:kern w:val="0"/>
                <w:sz w:val="15"/>
                <w:szCs w:val="15"/>
              </w:rPr>
            </w:pPr>
            <w:r>
              <w:rPr>
                <w:rFonts w:hint="eastAsia" w:cs="宋体"/>
                <w:kern w:val="0"/>
                <w:sz w:val="15"/>
                <w:szCs w:val="15"/>
              </w:rPr>
              <w:t>农、林、牧、渔业</w:t>
            </w:r>
          </w:p>
        </w:tc>
        <w:tc>
          <w:tcPr>
            <w:tcW w:w="725" w:type="pct"/>
            <w:vAlign w:val="center"/>
          </w:tcPr>
          <w:p>
            <w:pPr>
              <w:widowControl/>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Y≥20000</w:t>
            </w:r>
          </w:p>
        </w:tc>
        <w:tc>
          <w:tcPr>
            <w:tcW w:w="901" w:type="pct"/>
            <w:vAlign w:val="center"/>
          </w:tcPr>
          <w:p>
            <w:pPr>
              <w:widowControl/>
              <w:jc w:val="center"/>
              <w:rPr>
                <w:rFonts w:cs="宋体"/>
                <w:kern w:val="0"/>
                <w:sz w:val="15"/>
                <w:szCs w:val="15"/>
              </w:rPr>
            </w:pPr>
            <w:r>
              <w:rPr>
                <w:rFonts w:hint="eastAsia" w:cs="宋体"/>
                <w:kern w:val="0"/>
                <w:sz w:val="15"/>
                <w:szCs w:val="15"/>
              </w:rPr>
              <w:t xml:space="preserve"> 500≤Y＜20000</w:t>
            </w:r>
          </w:p>
        </w:tc>
        <w:tc>
          <w:tcPr>
            <w:tcW w:w="755" w:type="pct"/>
            <w:vAlign w:val="center"/>
          </w:tcPr>
          <w:p>
            <w:pPr>
              <w:widowControl/>
              <w:jc w:val="center"/>
              <w:rPr>
                <w:rFonts w:cs="宋体"/>
                <w:kern w:val="0"/>
                <w:sz w:val="15"/>
                <w:szCs w:val="15"/>
              </w:rPr>
            </w:pPr>
            <w:r>
              <w:rPr>
                <w:rFonts w:hint="eastAsia" w:cs="宋体"/>
                <w:kern w:val="0"/>
                <w:sz w:val="15"/>
                <w:szCs w:val="15"/>
              </w:rPr>
              <w:t xml:space="preserve"> 50≤Y＜500</w:t>
            </w:r>
          </w:p>
        </w:tc>
        <w:tc>
          <w:tcPr>
            <w:tcW w:w="525" w:type="pct"/>
            <w:vAlign w:val="center"/>
          </w:tcPr>
          <w:p>
            <w:pPr>
              <w:widowControl/>
              <w:jc w:val="center"/>
              <w:rPr>
                <w:rFonts w:cs="宋体"/>
                <w:kern w:val="0"/>
                <w:sz w:val="15"/>
                <w:szCs w:val="15"/>
              </w:rPr>
            </w:pPr>
            <w:r>
              <w:rPr>
                <w:rFonts w:hint="eastAsia" w:cs="宋体"/>
                <w:kern w:val="0"/>
                <w:sz w:val="15"/>
                <w:szCs w:val="15"/>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工业 *</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X≥1000</w:t>
            </w:r>
          </w:p>
        </w:tc>
        <w:tc>
          <w:tcPr>
            <w:tcW w:w="901" w:type="pct"/>
            <w:vAlign w:val="center"/>
          </w:tcPr>
          <w:p>
            <w:pPr>
              <w:widowControl/>
              <w:jc w:val="center"/>
              <w:rPr>
                <w:rFonts w:cs="宋体"/>
                <w:kern w:val="0"/>
                <w:sz w:val="15"/>
                <w:szCs w:val="15"/>
              </w:rPr>
            </w:pPr>
            <w:r>
              <w:rPr>
                <w:rFonts w:hint="eastAsia" w:cs="宋体"/>
                <w:kern w:val="0"/>
                <w:sz w:val="15"/>
                <w:szCs w:val="15"/>
              </w:rPr>
              <w:t>300≤X＜1000</w:t>
            </w:r>
          </w:p>
        </w:tc>
        <w:tc>
          <w:tcPr>
            <w:tcW w:w="755" w:type="pct"/>
            <w:vAlign w:val="center"/>
          </w:tcPr>
          <w:p>
            <w:pPr>
              <w:widowControl/>
              <w:jc w:val="center"/>
              <w:rPr>
                <w:rFonts w:cs="宋体"/>
                <w:kern w:val="0"/>
                <w:sz w:val="15"/>
                <w:szCs w:val="15"/>
              </w:rPr>
            </w:pPr>
            <w:r>
              <w:rPr>
                <w:rFonts w:hint="eastAsia" w:cs="宋体"/>
                <w:kern w:val="0"/>
                <w:sz w:val="15"/>
                <w:szCs w:val="15"/>
              </w:rPr>
              <w:t xml:space="preserve"> 20≤X＜300</w:t>
            </w:r>
          </w:p>
        </w:tc>
        <w:tc>
          <w:tcPr>
            <w:tcW w:w="525" w:type="pct"/>
            <w:vAlign w:val="center"/>
          </w:tcPr>
          <w:p>
            <w:pPr>
              <w:widowControl/>
              <w:jc w:val="center"/>
              <w:rPr>
                <w:rFonts w:cs="宋体"/>
                <w:kern w:val="0"/>
                <w:sz w:val="15"/>
                <w:szCs w:val="15"/>
              </w:rPr>
            </w:pPr>
            <w:r>
              <w:rPr>
                <w:rFonts w:hint="eastAsia" w:cs="宋体"/>
                <w:kern w:val="0"/>
                <w:sz w:val="15"/>
                <w:szCs w:val="15"/>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Y≥40000</w:t>
            </w:r>
          </w:p>
        </w:tc>
        <w:tc>
          <w:tcPr>
            <w:tcW w:w="901" w:type="pct"/>
            <w:vAlign w:val="center"/>
          </w:tcPr>
          <w:p>
            <w:pPr>
              <w:widowControl/>
              <w:jc w:val="center"/>
              <w:rPr>
                <w:rFonts w:cs="宋体"/>
                <w:kern w:val="0"/>
                <w:sz w:val="15"/>
                <w:szCs w:val="15"/>
              </w:rPr>
            </w:pPr>
            <w:r>
              <w:rPr>
                <w:rFonts w:hint="eastAsia" w:cs="宋体"/>
                <w:kern w:val="0"/>
                <w:sz w:val="15"/>
                <w:szCs w:val="15"/>
              </w:rPr>
              <w:t>2000≤Y＜40000</w:t>
            </w:r>
          </w:p>
        </w:tc>
        <w:tc>
          <w:tcPr>
            <w:tcW w:w="755" w:type="pct"/>
            <w:vAlign w:val="center"/>
          </w:tcPr>
          <w:p>
            <w:pPr>
              <w:widowControl/>
              <w:jc w:val="center"/>
              <w:rPr>
                <w:rFonts w:cs="宋体"/>
                <w:kern w:val="0"/>
                <w:sz w:val="15"/>
                <w:szCs w:val="15"/>
              </w:rPr>
            </w:pPr>
            <w:r>
              <w:rPr>
                <w:rFonts w:hint="eastAsia" w:cs="宋体"/>
                <w:kern w:val="0"/>
                <w:sz w:val="15"/>
                <w:szCs w:val="15"/>
              </w:rPr>
              <w:t xml:space="preserve"> 300≤Y＜2000</w:t>
            </w:r>
          </w:p>
        </w:tc>
        <w:tc>
          <w:tcPr>
            <w:tcW w:w="525" w:type="pct"/>
            <w:vAlign w:val="center"/>
          </w:tcPr>
          <w:p>
            <w:pPr>
              <w:widowControl/>
              <w:jc w:val="center"/>
              <w:rPr>
                <w:rFonts w:cs="宋体"/>
                <w:kern w:val="0"/>
                <w:sz w:val="15"/>
                <w:szCs w:val="15"/>
              </w:rPr>
            </w:pPr>
            <w:r>
              <w:rPr>
                <w:rFonts w:hint="eastAsia" w:cs="宋体"/>
                <w:kern w:val="0"/>
                <w:sz w:val="15"/>
                <w:szCs w:val="15"/>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建筑业</w:t>
            </w:r>
          </w:p>
        </w:tc>
        <w:tc>
          <w:tcPr>
            <w:tcW w:w="725" w:type="pct"/>
            <w:vAlign w:val="center"/>
          </w:tcPr>
          <w:p>
            <w:pPr>
              <w:widowControl/>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Y≥80000</w:t>
            </w:r>
          </w:p>
        </w:tc>
        <w:tc>
          <w:tcPr>
            <w:tcW w:w="901" w:type="pct"/>
            <w:vAlign w:val="center"/>
          </w:tcPr>
          <w:p>
            <w:pPr>
              <w:widowControl/>
              <w:jc w:val="center"/>
              <w:rPr>
                <w:rFonts w:cs="宋体"/>
                <w:kern w:val="0"/>
                <w:sz w:val="15"/>
                <w:szCs w:val="15"/>
              </w:rPr>
            </w:pPr>
            <w:r>
              <w:rPr>
                <w:rFonts w:hint="eastAsia" w:cs="宋体"/>
                <w:kern w:val="0"/>
                <w:sz w:val="15"/>
                <w:szCs w:val="15"/>
              </w:rPr>
              <w:t>6000≤Y＜80000</w:t>
            </w:r>
          </w:p>
        </w:tc>
        <w:tc>
          <w:tcPr>
            <w:tcW w:w="755" w:type="pct"/>
            <w:vAlign w:val="center"/>
          </w:tcPr>
          <w:p>
            <w:pPr>
              <w:widowControl/>
              <w:jc w:val="center"/>
              <w:rPr>
                <w:rFonts w:cs="宋体"/>
                <w:kern w:val="0"/>
                <w:sz w:val="15"/>
                <w:szCs w:val="15"/>
              </w:rPr>
            </w:pPr>
            <w:r>
              <w:rPr>
                <w:rFonts w:hint="eastAsia" w:cs="宋体"/>
                <w:kern w:val="0"/>
                <w:sz w:val="15"/>
                <w:szCs w:val="15"/>
              </w:rPr>
              <w:t xml:space="preserve"> 300≤Y＜6000</w:t>
            </w:r>
          </w:p>
        </w:tc>
        <w:tc>
          <w:tcPr>
            <w:tcW w:w="525" w:type="pct"/>
            <w:vAlign w:val="center"/>
          </w:tcPr>
          <w:p>
            <w:pPr>
              <w:widowControl/>
              <w:jc w:val="center"/>
              <w:rPr>
                <w:rFonts w:cs="宋体"/>
                <w:kern w:val="0"/>
                <w:sz w:val="15"/>
                <w:szCs w:val="15"/>
              </w:rPr>
            </w:pPr>
            <w:r>
              <w:rPr>
                <w:rFonts w:hint="eastAsia" w:cs="宋体"/>
                <w:kern w:val="0"/>
                <w:sz w:val="15"/>
                <w:szCs w:val="15"/>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资产总额(Z)</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Z≥80000</w:t>
            </w:r>
          </w:p>
        </w:tc>
        <w:tc>
          <w:tcPr>
            <w:tcW w:w="901" w:type="pct"/>
            <w:vAlign w:val="center"/>
          </w:tcPr>
          <w:p>
            <w:pPr>
              <w:widowControl/>
              <w:jc w:val="center"/>
              <w:rPr>
                <w:rFonts w:cs="宋体"/>
                <w:kern w:val="0"/>
                <w:sz w:val="15"/>
                <w:szCs w:val="15"/>
              </w:rPr>
            </w:pPr>
            <w:r>
              <w:rPr>
                <w:rFonts w:hint="eastAsia" w:cs="宋体"/>
                <w:kern w:val="0"/>
                <w:sz w:val="15"/>
                <w:szCs w:val="15"/>
              </w:rPr>
              <w:t>5000≤Z＜80000</w:t>
            </w:r>
          </w:p>
        </w:tc>
        <w:tc>
          <w:tcPr>
            <w:tcW w:w="755" w:type="pct"/>
            <w:vAlign w:val="center"/>
          </w:tcPr>
          <w:p>
            <w:pPr>
              <w:widowControl/>
              <w:jc w:val="center"/>
              <w:rPr>
                <w:rFonts w:cs="宋体"/>
                <w:kern w:val="0"/>
                <w:sz w:val="15"/>
                <w:szCs w:val="15"/>
              </w:rPr>
            </w:pPr>
            <w:r>
              <w:rPr>
                <w:rFonts w:hint="eastAsia" w:cs="宋体"/>
                <w:kern w:val="0"/>
                <w:sz w:val="15"/>
                <w:szCs w:val="15"/>
              </w:rPr>
              <w:t xml:space="preserve"> 300≤Z＜5000</w:t>
            </w:r>
          </w:p>
        </w:tc>
        <w:tc>
          <w:tcPr>
            <w:tcW w:w="525" w:type="pct"/>
            <w:vAlign w:val="center"/>
          </w:tcPr>
          <w:p>
            <w:pPr>
              <w:widowControl/>
              <w:jc w:val="center"/>
              <w:rPr>
                <w:rFonts w:cs="宋体"/>
                <w:kern w:val="0"/>
                <w:sz w:val="15"/>
                <w:szCs w:val="15"/>
              </w:rPr>
            </w:pPr>
            <w:r>
              <w:rPr>
                <w:rFonts w:hint="eastAsia" w:cs="宋体"/>
                <w:kern w:val="0"/>
                <w:sz w:val="15"/>
                <w:szCs w:val="15"/>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批发业</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X≥200</w:t>
            </w:r>
          </w:p>
        </w:tc>
        <w:tc>
          <w:tcPr>
            <w:tcW w:w="901" w:type="pct"/>
            <w:vAlign w:val="center"/>
          </w:tcPr>
          <w:p>
            <w:pPr>
              <w:widowControl/>
              <w:jc w:val="center"/>
              <w:rPr>
                <w:rFonts w:cs="宋体"/>
                <w:kern w:val="0"/>
                <w:sz w:val="15"/>
                <w:szCs w:val="15"/>
              </w:rPr>
            </w:pPr>
            <w:r>
              <w:rPr>
                <w:rFonts w:hint="eastAsia" w:cs="宋体"/>
                <w:kern w:val="0"/>
                <w:sz w:val="15"/>
                <w:szCs w:val="15"/>
              </w:rPr>
              <w:t>20≤X＜200</w:t>
            </w:r>
          </w:p>
        </w:tc>
        <w:tc>
          <w:tcPr>
            <w:tcW w:w="755" w:type="pct"/>
            <w:vAlign w:val="center"/>
          </w:tcPr>
          <w:p>
            <w:pPr>
              <w:widowControl/>
              <w:jc w:val="center"/>
              <w:rPr>
                <w:rFonts w:cs="宋体"/>
                <w:kern w:val="0"/>
                <w:sz w:val="15"/>
                <w:szCs w:val="15"/>
              </w:rPr>
            </w:pPr>
            <w:r>
              <w:rPr>
                <w:rFonts w:hint="eastAsia" w:cs="宋体"/>
                <w:kern w:val="0"/>
                <w:sz w:val="15"/>
                <w:szCs w:val="15"/>
              </w:rPr>
              <w:t xml:space="preserve"> 5≤X＜20</w:t>
            </w:r>
          </w:p>
        </w:tc>
        <w:tc>
          <w:tcPr>
            <w:tcW w:w="525" w:type="pct"/>
            <w:vAlign w:val="center"/>
          </w:tcPr>
          <w:p>
            <w:pPr>
              <w:widowControl/>
              <w:jc w:val="center"/>
              <w:rPr>
                <w:rFonts w:cs="宋体"/>
                <w:kern w:val="0"/>
                <w:sz w:val="15"/>
                <w:szCs w:val="15"/>
              </w:rPr>
            </w:pPr>
            <w:r>
              <w:rPr>
                <w:rFonts w:hint="eastAsia" w:cs="宋体"/>
                <w:kern w:val="0"/>
                <w:sz w:val="15"/>
                <w:szCs w:val="15"/>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Y≥40000</w:t>
            </w:r>
          </w:p>
        </w:tc>
        <w:tc>
          <w:tcPr>
            <w:tcW w:w="901" w:type="pct"/>
            <w:vAlign w:val="center"/>
          </w:tcPr>
          <w:p>
            <w:pPr>
              <w:widowControl/>
              <w:jc w:val="center"/>
              <w:rPr>
                <w:rFonts w:cs="宋体"/>
                <w:kern w:val="0"/>
                <w:sz w:val="15"/>
                <w:szCs w:val="15"/>
              </w:rPr>
            </w:pPr>
            <w:r>
              <w:rPr>
                <w:rFonts w:hint="eastAsia" w:cs="宋体"/>
                <w:kern w:val="0"/>
                <w:sz w:val="15"/>
                <w:szCs w:val="15"/>
              </w:rPr>
              <w:t>5000≤Y＜40000</w:t>
            </w:r>
          </w:p>
        </w:tc>
        <w:tc>
          <w:tcPr>
            <w:tcW w:w="755" w:type="pct"/>
            <w:vAlign w:val="center"/>
          </w:tcPr>
          <w:p>
            <w:pPr>
              <w:widowControl/>
              <w:ind w:left="-1" w:leftChars="-1" w:hanging="1"/>
              <w:jc w:val="center"/>
              <w:rPr>
                <w:rFonts w:cs="宋体"/>
                <w:kern w:val="0"/>
                <w:sz w:val="15"/>
                <w:szCs w:val="15"/>
              </w:rPr>
            </w:pPr>
            <w:r>
              <w:rPr>
                <w:rFonts w:hint="eastAsia" w:cs="宋体"/>
                <w:kern w:val="0"/>
                <w:sz w:val="15"/>
                <w:szCs w:val="15"/>
              </w:rPr>
              <w:t>1000≤Y＜5000</w:t>
            </w:r>
          </w:p>
        </w:tc>
        <w:tc>
          <w:tcPr>
            <w:tcW w:w="525" w:type="pct"/>
            <w:vAlign w:val="center"/>
          </w:tcPr>
          <w:p>
            <w:pPr>
              <w:widowControl/>
              <w:jc w:val="center"/>
              <w:rPr>
                <w:rFonts w:cs="宋体"/>
                <w:kern w:val="0"/>
                <w:sz w:val="15"/>
                <w:szCs w:val="15"/>
              </w:rPr>
            </w:pPr>
            <w:r>
              <w:rPr>
                <w:rFonts w:hint="eastAsia" w:cs="宋体"/>
                <w:kern w:val="0"/>
                <w:sz w:val="15"/>
                <w:szCs w:val="15"/>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零售业</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X≥300</w:t>
            </w:r>
          </w:p>
        </w:tc>
        <w:tc>
          <w:tcPr>
            <w:tcW w:w="901" w:type="pct"/>
            <w:vAlign w:val="center"/>
          </w:tcPr>
          <w:p>
            <w:pPr>
              <w:widowControl/>
              <w:jc w:val="center"/>
              <w:rPr>
                <w:rFonts w:cs="宋体"/>
                <w:kern w:val="0"/>
                <w:sz w:val="15"/>
                <w:szCs w:val="15"/>
              </w:rPr>
            </w:pPr>
            <w:r>
              <w:rPr>
                <w:rFonts w:hint="eastAsia" w:cs="宋体"/>
                <w:kern w:val="0"/>
                <w:sz w:val="15"/>
                <w:szCs w:val="15"/>
              </w:rPr>
              <w:t>50≤X＜300</w:t>
            </w:r>
          </w:p>
        </w:tc>
        <w:tc>
          <w:tcPr>
            <w:tcW w:w="755" w:type="pct"/>
            <w:vAlign w:val="center"/>
          </w:tcPr>
          <w:p>
            <w:pPr>
              <w:widowControl/>
              <w:ind w:left="-1" w:leftChars="-1" w:hanging="1"/>
              <w:jc w:val="center"/>
              <w:rPr>
                <w:rFonts w:cs="宋体"/>
                <w:kern w:val="0"/>
                <w:sz w:val="15"/>
                <w:szCs w:val="15"/>
              </w:rPr>
            </w:pPr>
            <w:r>
              <w:rPr>
                <w:rFonts w:hint="eastAsia" w:cs="宋体"/>
                <w:kern w:val="0"/>
                <w:sz w:val="15"/>
                <w:szCs w:val="15"/>
              </w:rPr>
              <w:t xml:space="preserve">10≤X＜50 </w:t>
            </w:r>
          </w:p>
        </w:tc>
        <w:tc>
          <w:tcPr>
            <w:tcW w:w="525" w:type="pct"/>
            <w:vAlign w:val="center"/>
          </w:tcPr>
          <w:p>
            <w:pPr>
              <w:widowControl/>
              <w:jc w:val="center"/>
              <w:rPr>
                <w:rFonts w:cs="宋体"/>
                <w:kern w:val="0"/>
                <w:sz w:val="15"/>
                <w:szCs w:val="15"/>
              </w:rPr>
            </w:pPr>
            <w:r>
              <w:rPr>
                <w:rFonts w:hint="eastAsia" w:cs="宋体"/>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Y≥20000</w:t>
            </w:r>
          </w:p>
        </w:tc>
        <w:tc>
          <w:tcPr>
            <w:tcW w:w="901" w:type="pct"/>
            <w:vAlign w:val="center"/>
          </w:tcPr>
          <w:p>
            <w:pPr>
              <w:widowControl/>
              <w:jc w:val="center"/>
              <w:rPr>
                <w:rFonts w:cs="宋体"/>
                <w:kern w:val="0"/>
                <w:sz w:val="15"/>
                <w:szCs w:val="15"/>
              </w:rPr>
            </w:pPr>
            <w:r>
              <w:rPr>
                <w:rFonts w:hint="eastAsia" w:cs="宋体"/>
                <w:kern w:val="0"/>
                <w:sz w:val="15"/>
                <w:szCs w:val="15"/>
              </w:rPr>
              <w:t xml:space="preserve"> 500≤Y＜20000</w:t>
            </w:r>
          </w:p>
        </w:tc>
        <w:tc>
          <w:tcPr>
            <w:tcW w:w="755" w:type="pct"/>
            <w:vAlign w:val="center"/>
          </w:tcPr>
          <w:p>
            <w:pPr>
              <w:widowControl/>
              <w:ind w:left="-1" w:leftChars="-1" w:hanging="1"/>
              <w:jc w:val="center"/>
              <w:rPr>
                <w:rFonts w:cs="宋体"/>
                <w:kern w:val="0"/>
                <w:sz w:val="15"/>
                <w:szCs w:val="15"/>
              </w:rPr>
            </w:pPr>
            <w:r>
              <w:rPr>
                <w:rFonts w:hint="eastAsia" w:cs="宋体"/>
                <w:kern w:val="0"/>
                <w:sz w:val="15"/>
                <w:szCs w:val="15"/>
              </w:rPr>
              <w:t xml:space="preserve">100≤Y＜500 </w:t>
            </w:r>
          </w:p>
        </w:tc>
        <w:tc>
          <w:tcPr>
            <w:tcW w:w="525" w:type="pct"/>
            <w:vAlign w:val="center"/>
          </w:tcPr>
          <w:p>
            <w:pPr>
              <w:widowControl/>
              <w:jc w:val="center"/>
              <w:rPr>
                <w:rFonts w:cs="宋体"/>
                <w:kern w:val="0"/>
                <w:sz w:val="15"/>
                <w:szCs w:val="15"/>
              </w:rPr>
            </w:pPr>
            <w:r>
              <w:rPr>
                <w:rFonts w:hint="eastAsia" w:cs="宋体"/>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交通运输业 *</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X≥1000</w:t>
            </w:r>
          </w:p>
        </w:tc>
        <w:tc>
          <w:tcPr>
            <w:tcW w:w="901" w:type="pct"/>
            <w:vAlign w:val="center"/>
          </w:tcPr>
          <w:p>
            <w:pPr>
              <w:widowControl/>
              <w:jc w:val="center"/>
              <w:rPr>
                <w:rFonts w:cs="宋体"/>
                <w:kern w:val="0"/>
                <w:sz w:val="15"/>
                <w:szCs w:val="15"/>
              </w:rPr>
            </w:pPr>
            <w:r>
              <w:rPr>
                <w:rFonts w:hint="eastAsia" w:cs="宋体"/>
                <w:kern w:val="0"/>
                <w:sz w:val="15"/>
                <w:szCs w:val="15"/>
              </w:rPr>
              <w:t>300≤X＜1000</w:t>
            </w:r>
          </w:p>
        </w:tc>
        <w:tc>
          <w:tcPr>
            <w:tcW w:w="755" w:type="pct"/>
            <w:vAlign w:val="center"/>
          </w:tcPr>
          <w:p>
            <w:pPr>
              <w:widowControl/>
              <w:jc w:val="center"/>
              <w:rPr>
                <w:rFonts w:cs="宋体"/>
                <w:kern w:val="0"/>
                <w:sz w:val="15"/>
                <w:szCs w:val="15"/>
              </w:rPr>
            </w:pPr>
            <w:r>
              <w:rPr>
                <w:rFonts w:hint="eastAsia" w:cs="宋体"/>
                <w:kern w:val="0"/>
                <w:sz w:val="15"/>
                <w:szCs w:val="15"/>
              </w:rPr>
              <w:t xml:space="preserve"> 20≤X＜300</w:t>
            </w:r>
          </w:p>
        </w:tc>
        <w:tc>
          <w:tcPr>
            <w:tcW w:w="525" w:type="pct"/>
            <w:vAlign w:val="center"/>
          </w:tcPr>
          <w:p>
            <w:pPr>
              <w:widowControl/>
              <w:jc w:val="center"/>
              <w:rPr>
                <w:rFonts w:cs="宋体"/>
                <w:kern w:val="0"/>
                <w:sz w:val="15"/>
                <w:szCs w:val="15"/>
              </w:rPr>
            </w:pPr>
            <w:r>
              <w:rPr>
                <w:rFonts w:hint="eastAsia" w:cs="宋体"/>
                <w:kern w:val="0"/>
                <w:sz w:val="15"/>
                <w:szCs w:val="15"/>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Y≥30000</w:t>
            </w:r>
          </w:p>
        </w:tc>
        <w:tc>
          <w:tcPr>
            <w:tcW w:w="901" w:type="pct"/>
            <w:vAlign w:val="center"/>
          </w:tcPr>
          <w:p>
            <w:pPr>
              <w:widowControl/>
              <w:jc w:val="center"/>
              <w:rPr>
                <w:rFonts w:cs="宋体"/>
                <w:kern w:val="0"/>
                <w:sz w:val="15"/>
                <w:szCs w:val="15"/>
              </w:rPr>
            </w:pPr>
            <w:r>
              <w:rPr>
                <w:rFonts w:hint="eastAsia" w:cs="宋体"/>
                <w:kern w:val="0"/>
                <w:sz w:val="15"/>
                <w:szCs w:val="15"/>
              </w:rPr>
              <w:t>3000≤Y＜30000</w:t>
            </w:r>
          </w:p>
        </w:tc>
        <w:tc>
          <w:tcPr>
            <w:tcW w:w="755" w:type="pct"/>
            <w:vAlign w:val="center"/>
          </w:tcPr>
          <w:p>
            <w:pPr>
              <w:widowControl/>
              <w:jc w:val="center"/>
              <w:rPr>
                <w:rFonts w:cs="宋体"/>
                <w:kern w:val="0"/>
                <w:sz w:val="15"/>
                <w:szCs w:val="15"/>
              </w:rPr>
            </w:pPr>
            <w:r>
              <w:rPr>
                <w:rFonts w:hint="eastAsia" w:cs="宋体"/>
                <w:kern w:val="0"/>
                <w:sz w:val="15"/>
                <w:szCs w:val="15"/>
              </w:rPr>
              <w:t xml:space="preserve"> 200≤Y＜3000</w:t>
            </w:r>
          </w:p>
        </w:tc>
        <w:tc>
          <w:tcPr>
            <w:tcW w:w="525" w:type="pct"/>
            <w:vAlign w:val="center"/>
          </w:tcPr>
          <w:p>
            <w:pPr>
              <w:widowControl/>
              <w:jc w:val="center"/>
              <w:rPr>
                <w:rFonts w:cs="宋体"/>
                <w:kern w:val="0"/>
                <w:sz w:val="15"/>
                <w:szCs w:val="15"/>
              </w:rPr>
            </w:pPr>
            <w:r>
              <w:rPr>
                <w:rFonts w:hint="eastAsia" w:cs="宋体"/>
                <w:kern w:val="0"/>
                <w:sz w:val="15"/>
                <w:szCs w:val="15"/>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仓储业*</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X≥200</w:t>
            </w:r>
          </w:p>
        </w:tc>
        <w:tc>
          <w:tcPr>
            <w:tcW w:w="901" w:type="pct"/>
            <w:vAlign w:val="center"/>
          </w:tcPr>
          <w:p>
            <w:pPr>
              <w:widowControl/>
              <w:ind w:left="-32" w:leftChars="-51" w:hanging="90" w:hangingChars="60"/>
              <w:jc w:val="center"/>
              <w:rPr>
                <w:rFonts w:cs="宋体"/>
                <w:kern w:val="0"/>
                <w:sz w:val="15"/>
                <w:szCs w:val="15"/>
              </w:rPr>
            </w:pPr>
            <w:r>
              <w:rPr>
                <w:rFonts w:hint="eastAsia" w:cs="宋体"/>
                <w:kern w:val="0"/>
                <w:sz w:val="15"/>
                <w:szCs w:val="15"/>
              </w:rPr>
              <w:t>100≤X＜200</w:t>
            </w:r>
          </w:p>
        </w:tc>
        <w:tc>
          <w:tcPr>
            <w:tcW w:w="755" w:type="pct"/>
            <w:vAlign w:val="center"/>
          </w:tcPr>
          <w:p>
            <w:pPr>
              <w:widowControl/>
              <w:jc w:val="center"/>
              <w:rPr>
                <w:rFonts w:cs="宋体"/>
                <w:kern w:val="0"/>
                <w:sz w:val="15"/>
                <w:szCs w:val="15"/>
              </w:rPr>
            </w:pPr>
            <w:r>
              <w:rPr>
                <w:rFonts w:hint="eastAsia" w:cs="宋体"/>
                <w:kern w:val="0"/>
                <w:sz w:val="15"/>
                <w:szCs w:val="15"/>
              </w:rPr>
              <w:t xml:space="preserve"> 20≤X＜100</w:t>
            </w:r>
          </w:p>
        </w:tc>
        <w:tc>
          <w:tcPr>
            <w:tcW w:w="525" w:type="pct"/>
            <w:vAlign w:val="center"/>
          </w:tcPr>
          <w:p>
            <w:pPr>
              <w:widowControl/>
              <w:jc w:val="center"/>
              <w:rPr>
                <w:rFonts w:cs="宋体"/>
                <w:kern w:val="0"/>
                <w:sz w:val="15"/>
                <w:szCs w:val="15"/>
              </w:rPr>
            </w:pPr>
            <w:r>
              <w:rPr>
                <w:rFonts w:hint="eastAsia" w:cs="宋体"/>
                <w:kern w:val="0"/>
                <w:sz w:val="15"/>
                <w:szCs w:val="15"/>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Y≥30000</w:t>
            </w:r>
          </w:p>
        </w:tc>
        <w:tc>
          <w:tcPr>
            <w:tcW w:w="901" w:type="pct"/>
            <w:vAlign w:val="center"/>
          </w:tcPr>
          <w:p>
            <w:pPr>
              <w:widowControl/>
              <w:jc w:val="center"/>
              <w:rPr>
                <w:rFonts w:cs="宋体"/>
                <w:kern w:val="0"/>
                <w:sz w:val="15"/>
                <w:szCs w:val="15"/>
              </w:rPr>
            </w:pPr>
            <w:r>
              <w:rPr>
                <w:rFonts w:hint="eastAsia" w:cs="宋体"/>
                <w:kern w:val="0"/>
                <w:sz w:val="15"/>
                <w:szCs w:val="15"/>
              </w:rPr>
              <w:t>1000≤Y＜30000</w:t>
            </w:r>
          </w:p>
        </w:tc>
        <w:tc>
          <w:tcPr>
            <w:tcW w:w="755" w:type="pct"/>
            <w:vAlign w:val="center"/>
          </w:tcPr>
          <w:p>
            <w:pPr>
              <w:widowControl/>
              <w:jc w:val="center"/>
              <w:rPr>
                <w:rFonts w:cs="宋体"/>
                <w:kern w:val="0"/>
                <w:sz w:val="15"/>
                <w:szCs w:val="15"/>
              </w:rPr>
            </w:pPr>
            <w:r>
              <w:rPr>
                <w:rFonts w:hint="eastAsia" w:cs="宋体"/>
                <w:kern w:val="0"/>
                <w:sz w:val="15"/>
                <w:szCs w:val="15"/>
              </w:rPr>
              <w:t xml:space="preserve"> 100≤Y＜1000</w:t>
            </w:r>
          </w:p>
        </w:tc>
        <w:tc>
          <w:tcPr>
            <w:tcW w:w="525" w:type="pct"/>
            <w:vAlign w:val="center"/>
          </w:tcPr>
          <w:p>
            <w:pPr>
              <w:widowControl/>
              <w:jc w:val="center"/>
              <w:rPr>
                <w:rFonts w:cs="宋体"/>
                <w:kern w:val="0"/>
                <w:sz w:val="15"/>
                <w:szCs w:val="15"/>
              </w:rPr>
            </w:pPr>
            <w:r>
              <w:rPr>
                <w:rFonts w:hint="eastAsia" w:cs="宋体"/>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邮政业</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X≥1000</w:t>
            </w:r>
          </w:p>
        </w:tc>
        <w:tc>
          <w:tcPr>
            <w:tcW w:w="901" w:type="pct"/>
            <w:vAlign w:val="center"/>
          </w:tcPr>
          <w:p>
            <w:pPr>
              <w:widowControl/>
              <w:jc w:val="center"/>
              <w:rPr>
                <w:rFonts w:cs="宋体"/>
                <w:kern w:val="0"/>
                <w:sz w:val="15"/>
                <w:szCs w:val="15"/>
              </w:rPr>
            </w:pPr>
            <w:r>
              <w:rPr>
                <w:rFonts w:hint="eastAsia" w:cs="宋体"/>
                <w:kern w:val="0"/>
                <w:sz w:val="15"/>
                <w:szCs w:val="15"/>
              </w:rPr>
              <w:t>300≤X＜1000</w:t>
            </w:r>
          </w:p>
        </w:tc>
        <w:tc>
          <w:tcPr>
            <w:tcW w:w="755" w:type="pct"/>
            <w:vAlign w:val="center"/>
          </w:tcPr>
          <w:p>
            <w:pPr>
              <w:widowControl/>
              <w:jc w:val="center"/>
              <w:rPr>
                <w:rFonts w:cs="宋体"/>
                <w:kern w:val="0"/>
                <w:sz w:val="15"/>
                <w:szCs w:val="15"/>
              </w:rPr>
            </w:pPr>
            <w:r>
              <w:rPr>
                <w:rFonts w:hint="eastAsia" w:cs="宋体"/>
                <w:kern w:val="0"/>
                <w:sz w:val="15"/>
                <w:szCs w:val="15"/>
              </w:rPr>
              <w:t xml:space="preserve"> 20≤X＜300</w:t>
            </w:r>
          </w:p>
        </w:tc>
        <w:tc>
          <w:tcPr>
            <w:tcW w:w="525" w:type="pct"/>
            <w:vAlign w:val="center"/>
          </w:tcPr>
          <w:p>
            <w:pPr>
              <w:widowControl/>
              <w:jc w:val="center"/>
              <w:rPr>
                <w:rFonts w:cs="宋体"/>
                <w:kern w:val="0"/>
                <w:sz w:val="15"/>
                <w:szCs w:val="15"/>
              </w:rPr>
            </w:pPr>
            <w:r>
              <w:rPr>
                <w:rFonts w:hint="eastAsia" w:cs="宋体"/>
                <w:kern w:val="0"/>
                <w:sz w:val="15"/>
                <w:szCs w:val="15"/>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Y≥30000</w:t>
            </w:r>
          </w:p>
        </w:tc>
        <w:tc>
          <w:tcPr>
            <w:tcW w:w="901" w:type="pct"/>
            <w:vAlign w:val="center"/>
          </w:tcPr>
          <w:p>
            <w:pPr>
              <w:widowControl/>
              <w:jc w:val="center"/>
              <w:rPr>
                <w:rFonts w:cs="宋体"/>
                <w:kern w:val="0"/>
                <w:sz w:val="15"/>
                <w:szCs w:val="15"/>
              </w:rPr>
            </w:pPr>
            <w:r>
              <w:rPr>
                <w:rFonts w:hint="eastAsia" w:cs="宋体"/>
                <w:kern w:val="0"/>
                <w:sz w:val="15"/>
                <w:szCs w:val="15"/>
              </w:rPr>
              <w:t>2000≤Y＜30000</w:t>
            </w:r>
          </w:p>
        </w:tc>
        <w:tc>
          <w:tcPr>
            <w:tcW w:w="755" w:type="pct"/>
            <w:vAlign w:val="center"/>
          </w:tcPr>
          <w:p>
            <w:pPr>
              <w:widowControl/>
              <w:jc w:val="center"/>
              <w:rPr>
                <w:rFonts w:cs="宋体"/>
                <w:kern w:val="0"/>
                <w:sz w:val="15"/>
                <w:szCs w:val="15"/>
              </w:rPr>
            </w:pPr>
            <w:r>
              <w:rPr>
                <w:rFonts w:hint="eastAsia" w:cs="宋体"/>
                <w:kern w:val="0"/>
                <w:sz w:val="15"/>
                <w:szCs w:val="15"/>
              </w:rPr>
              <w:t xml:space="preserve"> 100≤Y＜2000</w:t>
            </w:r>
          </w:p>
        </w:tc>
        <w:tc>
          <w:tcPr>
            <w:tcW w:w="525" w:type="pct"/>
            <w:vAlign w:val="center"/>
          </w:tcPr>
          <w:p>
            <w:pPr>
              <w:widowControl/>
              <w:jc w:val="center"/>
              <w:rPr>
                <w:rFonts w:cs="宋体"/>
                <w:kern w:val="0"/>
                <w:sz w:val="15"/>
                <w:szCs w:val="15"/>
              </w:rPr>
            </w:pPr>
            <w:r>
              <w:rPr>
                <w:rFonts w:hint="eastAsia" w:cs="宋体"/>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住宿业</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X≥300</w:t>
            </w:r>
          </w:p>
        </w:tc>
        <w:tc>
          <w:tcPr>
            <w:tcW w:w="901" w:type="pct"/>
            <w:vAlign w:val="center"/>
          </w:tcPr>
          <w:p>
            <w:pPr>
              <w:widowControl/>
              <w:ind w:left="-32" w:leftChars="-51" w:hanging="90" w:hangingChars="60"/>
              <w:jc w:val="center"/>
              <w:rPr>
                <w:rFonts w:cs="宋体"/>
                <w:kern w:val="0"/>
                <w:sz w:val="15"/>
                <w:szCs w:val="15"/>
              </w:rPr>
            </w:pPr>
            <w:r>
              <w:rPr>
                <w:rFonts w:hint="eastAsia" w:cs="宋体"/>
                <w:kern w:val="0"/>
                <w:sz w:val="15"/>
                <w:szCs w:val="15"/>
              </w:rPr>
              <w:t xml:space="preserve">100≤X＜300 </w:t>
            </w:r>
          </w:p>
        </w:tc>
        <w:tc>
          <w:tcPr>
            <w:tcW w:w="755" w:type="pct"/>
            <w:vAlign w:val="center"/>
          </w:tcPr>
          <w:p>
            <w:pPr>
              <w:widowControl/>
              <w:jc w:val="center"/>
              <w:rPr>
                <w:rFonts w:cs="宋体"/>
                <w:kern w:val="0"/>
                <w:sz w:val="15"/>
                <w:szCs w:val="15"/>
              </w:rPr>
            </w:pPr>
            <w:r>
              <w:rPr>
                <w:rFonts w:hint="eastAsia" w:cs="宋体"/>
                <w:kern w:val="0"/>
                <w:sz w:val="15"/>
                <w:szCs w:val="15"/>
              </w:rPr>
              <w:t xml:space="preserve"> 10≤X＜100</w:t>
            </w:r>
          </w:p>
        </w:tc>
        <w:tc>
          <w:tcPr>
            <w:tcW w:w="525" w:type="pct"/>
            <w:vAlign w:val="center"/>
          </w:tcPr>
          <w:p>
            <w:pPr>
              <w:widowControl/>
              <w:jc w:val="center"/>
              <w:rPr>
                <w:rFonts w:cs="宋体"/>
                <w:kern w:val="0"/>
                <w:sz w:val="15"/>
                <w:szCs w:val="15"/>
              </w:rPr>
            </w:pPr>
            <w:r>
              <w:rPr>
                <w:rFonts w:hint="eastAsia" w:cs="宋体"/>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Y≥10000</w:t>
            </w:r>
          </w:p>
        </w:tc>
        <w:tc>
          <w:tcPr>
            <w:tcW w:w="901" w:type="pct"/>
            <w:vAlign w:val="center"/>
          </w:tcPr>
          <w:p>
            <w:pPr>
              <w:widowControl/>
              <w:jc w:val="center"/>
              <w:rPr>
                <w:rFonts w:cs="宋体"/>
                <w:kern w:val="0"/>
                <w:sz w:val="15"/>
                <w:szCs w:val="15"/>
              </w:rPr>
            </w:pPr>
            <w:r>
              <w:rPr>
                <w:rFonts w:hint="eastAsia" w:cs="宋体"/>
                <w:kern w:val="0"/>
                <w:sz w:val="15"/>
                <w:szCs w:val="15"/>
              </w:rPr>
              <w:t>2000≤Y＜10000</w:t>
            </w:r>
          </w:p>
        </w:tc>
        <w:tc>
          <w:tcPr>
            <w:tcW w:w="755" w:type="pct"/>
            <w:vAlign w:val="center"/>
          </w:tcPr>
          <w:p>
            <w:pPr>
              <w:widowControl/>
              <w:jc w:val="center"/>
              <w:rPr>
                <w:rFonts w:cs="宋体"/>
                <w:kern w:val="0"/>
                <w:sz w:val="15"/>
                <w:szCs w:val="15"/>
              </w:rPr>
            </w:pPr>
            <w:r>
              <w:rPr>
                <w:rFonts w:hint="eastAsia" w:cs="宋体"/>
                <w:kern w:val="0"/>
                <w:sz w:val="15"/>
                <w:szCs w:val="15"/>
              </w:rPr>
              <w:t xml:space="preserve"> 100≤Y＜2000</w:t>
            </w:r>
          </w:p>
        </w:tc>
        <w:tc>
          <w:tcPr>
            <w:tcW w:w="525" w:type="pct"/>
            <w:vAlign w:val="center"/>
          </w:tcPr>
          <w:p>
            <w:pPr>
              <w:widowControl/>
              <w:jc w:val="center"/>
              <w:rPr>
                <w:rFonts w:cs="宋体"/>
                <w:kern w:val="0"/>
                <w:sz w:val="15"/>
                <w:szCs w:val="15"/>
              </w:rPr>
            </w:pPr>
            <w:r>
              <w:rPr>
                <w:rFonts w:hint="eastAsia" w:cs="宋体"/>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餐饮业</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X≥300</w:t>
            </w:r>
          </w:p>
        </w:tc>
        <w:tc>
          <w:tcPr>
            <w:tcW w:w="901" w:type="pct"/>
            <w:vAlign w:val="center"/>
          </w:tcPr>
          <w:p>
            <w:pPr>
              <w:widowControl/>
              <w:ind w:left="-32" w:leftChars="-51" w:hanging="90" w:hangingChars="60"/>
              <w:jc w:val="center"/>
              <w:rPr>
                <w:rFonts w:cs="宋体"/>
                <w:kern w:val="0"/>
                <w:sz w:val="15"/>
                <w:szCs w:val="15"/>
              </w:rPr>
            </w:pPr>
            <w:r>
              <w:rPr>
                <w:rFonts w:hint="eastAsia" w:cs="宋体"/>
                <w:kern w:val="0"/>
                <w:sz w:val="15"/>
                <w:szCs w:val="15"/>
              </w:rPr>
              <w:t xml:space="preserve">100≤X＜300 </w:t>
            </w:r>
          </w:p>
        </w:tc>
        <w:tc>
          <w:tcPr>
            <w:tcW w:w="755" w:type="pct"/>
            <w:vAlign w:val="center"/>
          </w:tcPr>
          <w:p>
            <w:pPr>
              <w:widowControl/>
              <w:jc w:val="center"/>
              <w:rPr>
                <w:rFonts w:cs="宋体"/>
                <w:kern w:val="0"/>
                <w:sz w:val="15"/>
                <w:szCs w:val="15"/>
              </w:rPr>
            </w:pPr>
            <w:r>
              <w:rPr>
                <w:rFonts w:hint="eastAsia" w:cs="宋体"/>
                <w:kern w:val="0"/>
                <w:sz w:val="15"/>
                <w:szCs w:val="15"/>
              </w:rPr>
              <w:t xml:space="preserve"> 10≤X＜100</w:t>
            </w:r>
          </w:p>
        </w:tc>
        <w:tc>
          <w:tcPr>
            <w:tcW w:w="525" w:type="pct"/>
            <w:vAlign w:val="center"/>
          </w:tcPr>
          <w:p>
            <w:pPr>
              <w:widowControl/>
              <w:jc w:val="center"/>
              <w:rPr>
                <w:rFonts w:cs="宋体"/>
                <w:kern w:val="0"/>
                <w:sz w:val="15"/>
                <w:szCs w:val="15"/>
              </w:rPr>
            </w:pPr>
            <w:r>
              <w:rPr>
                <w:rFonts w:hint="eastAsia" w:cs="宋体"/>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Y≥10000</w:t>
            </w:r>
          </w:p>
        </w:tc>
        <w:tc>
          <w:tcPr>
            <w:tcW w:w="901" w:type="pct"/>
            <w:vAlign w:val="center"/>
          </w:tcPr>
          <w:p>
            <w:pPr>
              <w:widowControl/>
              <w:jc w:val="center"/>
              <w:rPr>
                <w:rFonts w:cs="宋体"/>
                <w:kern w:val="0"/>
                <w:sz w:val="15"/>
                <w:szCs w:val="15"/>
              </w:rPr>
            </w:pPr>
            <w:r>
              <w:rPr>
                <w:rFonts w:hint="eastAsia" w:cs="宋体"/>
                <w:kern w:val="0"/>
                <w:sz w:val="15"/>
                <w:szCs w:val="15"/>
              </w:rPr>
              <w:t>2000≤Y＜10000</w:t>
            </w:r>
          </w:p>
        </w:tc>
        <w:tc>
          <w:tcPr>
            <w:tcW w:w="755" w:type="pct"/>
            <w:vAlign w:val="center"/>
          </w:tcPr>
          <w:p>
            <w:pPr>
              <w:widowControl/>
              <w:jc w:val="center"/>
              <w:rPr>
                <w:rFonts w:cs="宋体"/>
                <w:kern w:val="0"/>
                <w:sz w:val="15"/>
                <w:szCs w:val="15"/>
              </w:rPr>
            </w:pPr>
            <w:r>
              <w:rPr>
                <w:rFonts w:hint="eastAsia" w:cs="宋体"/>
                <w:kern w:val="0"/>
                <w:sz w:val="15"/>
                <w:szCs w:val="15"/>
              </w:rPr>
              <w:t xml:space="preserve"> 100≤Y＜2000</w:t>
            </w:r>
          </w:p>
        </w:tc>
        <w:tc>
          <w:tcPr>
            <w:tcW w:w="525" w:type="pct"/>
            <w:vAlign w:val="center"/>
          </w:tcPr>
          <w:p>
            <w:pPr>
              <w:widowControl/>
              <w:jc w:val="center"/>
              <w:rPr>
                <w:rFonts w:cs="宋体"/>
                <w:kern w:val="0"/>
                <w:sz w:val="15"/>
                <w:szCs w:val="15"/>
              </w:rPr>
            </w:pPr>
            <w:r>
              <w:rPr>
                <w:rFonts w:hint="eastAsia" w:cs="宋体"/>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信息传输业 *</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X≥2000</w:t>
            </w:r>
          </w:p>
        </w:tc>
        <w:tc>
          <w:tcPr>
            <w:tcW w:w="901" w:type="pct"/>
            <w:vAlign w:val="center"/>
          </w:tcPr>
          <w:p>
            <w:pPr>
              <w:widowControl/>
              <w:jc w:val="center"/>
              <w:rPr>
                <w:rFonts w:cs="宋体"/>
                <w:kern w:val="0"/>
                <w:sz w:val="15"/>
                <w:szCs w:val="15"/>
              </w:rPr>
            </w:pPr>
            <w:r>
              <w:rPr>
                <w:rFonts w:hint="eastAsia" w:cs="宋体"/>
                <w:kern w:val="0"/>
                <w:sz w:val="15"/>
                <w:szCs w:val="15"/>
              </w:rPr>
              <w:t>100≤X＜2000</w:t>
            </w:r>
          </w:p>
        </w:tc>
        <w:tc>
          <w:tcPr>
            <w:tcW w:w="755" w:type="pct"/>
            <w:vAlign w:val="center"/>
          </w:tcPr>
          <w:p>
            <w:pPr>
              <w:widowControl/>
              <w:jc w:val="center"/>
              <w:rPr>
                <w:rFonts w:cs="宋体"/>
                <w:kern w:val="0"/>
                <w:sz w:val="15"/>
                <w:szCs w:val="15"/>
              </w:rPr>
            </w:pPr>
            <w:r>
              <w:rPr>
                <w:rFonts w:hint="eastAsia" w:cs="宋体"/>
                <w:kern w:val="0"/>
                <w:sz w:val="15"/>
                <w:szCs w:val="15"/>
              </w:rPr>
              <w:t xml:space="preserve"> 10≤X＜100</w:t>
            </w:r>
          </w:p>
        </w:tc>
        <w:tc>
          <w:tcPr>
            <w:tcW w:w="525" w:type="pct"/>
            <w:vAlign w:val="center"/>
          </w:tcPr>
          <w:p>
            <w:pPr>
              <w:widowControl/>
              <w:jc w:val="center"/>
              <w:rPr>
                <w:rFonts w:cs="宋体"/>
                <w:kern w:val="0"/>
                <w:sz w:val="15"/>
                <w:szCs w:val="15"/>
              </w:rPr>
            </w:pPr>
            <w:r>
              <w:rPr>
                <w:rFonts w:hint="eastAsia" w:cs="宋体"/>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Y≥100000</w:t>
            </w:r>
          </w:p>
        </w:tc>
        <w:tc>
          <w:tcPr>
            <w:tcW w:w="901" w:type="pct"/>
            <w:vAlign w:val="center"/>
          </w:tcPr>
          <w:p>
            <w:pPr>
              <w:widowControl/>
              <w:jc w:val="center"/>
              <w:rPr>
                <w:rFonts w:cs="宋体"/>
                <w:kern w:val="0"/>
                <w:sz w:val="15"/>
                <w:szCs w:val="15"/>
              </w:rPr>
            </w:pPr>
            <w:r>
              <w:rPr>
                <w:rFonts w:hint="eastAsia" w:cs="宋体"/>
                <w:kern w:val="0"/>
                <w:sz w:val="15"/>
                <w:szCs w:val="15"/>
              </w:rPr>
              <w:t xml:space="preserve"> 1000≤Y＜100000</w:t>
            </w:r>
          </w:p>
        </w:tc>
        <w:tc>
          <w:tcPr>
            <w:tcW w:w="755" w:type="pct"/>
            <w:vAlign w:val="center"/>
          </w:tcPr>
          <w:p>
            <w:pPr>
              <w:widowControl/>
              <w:jc w:val="center"/>
              <w:rPr>
                <w:rFonts w:cs="宋体"/>
                <w:kern w:val="0"/>
                <w:sz w:val="15"/>
                <w:szCs w:val="15"/>
              </w:rPr>
            </w:pPr>
            <w:r>
              <w:rPr>
                <w:rFonts w:hint="eastAsia" w:cs="宋体"/>
                <w:kern w:val="0"/>
                <w:sz w:val="15"/>
                <w:szCs w:val="15"/>
              </w:rPr>
              <w:t xml:space="preserve"> 100≤Y＜1000</w:t>
            </w:r>
          </w:p>
        </w:tc>
        <w:tc>
          <w:tcPr>
            <w:tcW w:w="525" w:type="pct"/>
            <w:vAlign w:val="center"/>
          </w:tcPr>
          <w:p>
            <w:pPr>
              <w:widowControl/>
              <w:jc w:val="center"/>
              <w:rPr>
                <w:rFonts w:cs="宋体"/>
                <w:kern w:val="0"/>
                <w:sz w:val="15"/>
                <w:szCs w:val="15"/>
              </w:rPr>
            </w:pPr>
            <w:r>
              <w:rPr>
                <w:rFonts w:hint="eastAsia" w:cs="宋体"/>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120" w:type="pct"/>
            <w:vMerge w:val="restart"/>
            <w:vAlign w:val="center"/>
          </w:tcPr>
          <w:p>
            <w:pPr>
              <w:widowControl/>
              <w:spacing w:line="240" w:lineRule="exact"/>
              <w:rPr>
                <w:rFonts w:cs="宋体"/>
                <w:spacing w:val="-12"/>
                <w:kern w:val="0"/>
                <w:sz w:val="15"/>
                <w:szCs w:val="15"/>
              </w:rPr>
            </w:pPr>
            <w:r>
              <w:rPr>
                <w:rFonts w:hint="eastAsia" w:cs="宋体"/>
                <w:spacing w:val="-12"/>
                <w:kern w:val="0"/>
                <w:sz w:val="15"/>
                <w:szCs w:val="15"/>
              </w:rPr>
              <w:t>软件和信息技术服</w:t>
            </w:r>
            <w:r>
              <w:rPr>
                <w:rFonts w:hint="eastAsia" w:cs="宋体"/>
                <w:kern w:val="0"/>
                <w:sz w:val="15"/>
                <w:szCs w:val="15"/>
              </w:rPr>
              <w:t>务业</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X≥300</w:t>
            </w:r>
          </w:p>
        </w:tc>
        <w:tc>
          <w:tcPr>
            <w:tcW w:w="901" w:type="pct"/>
            <w:vAlign w:val="center"/>
          </w:tcPr>
          <w:p>
            <w:pPr>
              <w:widowControl/>
              <w:ind w:left="-32" w:leftChars="-51" w:hanging="90" w:hangingChars="60"/>
              <w:jc w:val="center"/>
              <w:rPr>
                <w:rFonts w:cs="宋体"/>
                <w:kern w:val="0"/>
                <w:sz w:val="15"/>
                <w:szCs w:val="15"/>
              </w:rPr>
            </w:pPr>
            <w:r>
              <w:rPr>
                <w:rFonts w:hint="eastAsia" w:cs="宋体"/>
                <w:kern w:val="0"/>
                <w:sz w:val="15"/>
                <w:szCs w:val="15"/>
              </w:rPr>
              <w:t xml:space="preserve">100≤X＜300 </w:t>
            </w:r>
          </w:p>
        </w:tc>
        <w:tc>
          <w:tcPr>
            <w:tcW w:w="755" w:type="pct"/>
            <w:vAlign w:val="center"/>
          </w:tcPr>
          <w:p>
            <w:pPr>
              <w:widowControl/>
              <w:jc w:val="center"/>
              <w:rPr>
                <w:rFonts w:cs="宋体"/>
                <w:kern w:val="0"/>
                <w:sz w:val="15"/>
                <w:szCs w:val="15"/>
              </w:rPr>
            </w:pPr>
            <w:r>
              <w:rPr>
                <w:rFonts w:hint="eastAsia" w:cs="宋体"/>
                <w:kern w:val="0"/>
                <w:sz w:val="15"/>
                <w:szCs w:val="15"/>
              </w:rPr>
              <w:t xml:space="preserve"> 10≤X＜100</w:t>
            </w:r>
          </w:p>
        </w:tc>
        <w:tc>
          <w:tcPr>
            <w:tcW w:w="525" w:type="pct"/>
            <w:vAlign w:val="center"/>
          </w:tcPr>
          <w:p>
            <w:pPr>
              <w:widowControl/>
              <w:jc w:val="center"/>
              <w:rPr>
                <w:rFonts w:cs="宋体"/>
                <w:kern w:val="0"/>
                <w:sz w:val="15"/>
                <w:szCs w:val="15"/>
              </w:rPr>
            </w:pPr>
            <w:r>
              <w:rPr>
                <w:rFonts w:hint="eastAsia" w:cs="宋体"/>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120" w:type="pct"/>
            <w:vMerge w:val="continue"/>
            <w:vAlign w:val="center"/>
          </w:tcPr>
          <w:p>
            <w:pPr>
              <w:widowControl/>
              <w:rPr>
                <w:rFonts w:cs="宋体"/>
                <w:spacing w:val="-12"/>
                <w:kern w:val="0"/>
                <w:sz w:val="15"/>
                <w:szCs w:val="15"/>
              </w:rPr>
            </w:pPr>
          </w:p>
        </w:tc>
        <w:tc>
          <w:tcPr>
            <w:tcW w:w="725" w:type="pct"/>
            <w:vAlign w:val="center"/>
          </w:tcPr>
          <w:p>
            <w:pPr>
              <w:widowControl/>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Y≥10000</w:t>
            </w:r>
          </w:p>
        </w:tc>
        <w:tc>
          <w:tcPr>
            <w:tcW w:w="901" w:type="pct"/>
            <w:vAlign w:val="center"/>
          </w:tcPr>
          <w:p>
            <w:pPr>
              <w:widowControl/>
              <w:jc w:val="center"/>
              <w:rPr>
                <w:rFonts w:cs="宋体"/>
                <w:kern w:val="0"/>
                <w:sz w:val="15"/>
                <w:szCs w:val="15"/>
              </w:rPr>
            </w:pPr>
            <w:r>
              <w:rPr>
                <w:rFonts w:hint="eastAsia" w:cs="宋体"/>
                <w:kern w:val="0"/>
                <w:sz w:val="15"/>
                <w:szCs w:val="15"/>
              </w:rPr>
              <w:t>1000≤Y＜10000</w:t>
            </w:r>
          </w:p>
        </w:tc>
        <w:tc>
          <w:tcPr>
            <w:tcW w:w="755" w:type="pct"/>
            <w:vAlign w:val="center"/>
          </w:tcPr>
          <w:p>
            <w:pPr>
              <w:widowControl/>
              <w:jc w:val="center"/>
              <w:rPr>
                <w:rFonts w:cs="宋体"/>
                <w:kern w:val="0"/>
                <w:sz w:val="15"/>
                <w:szCs w:val="15"/>
              </w:rPr>
            </w:pPr>
            <w:r>
              <w:rPr>
                <w:rFonts w:hint="eastAsia" w:cs="宋体"/>
                <w:kern w:val="0"/>
                <w:sz w:val="15"/>
                <w:szCs w:val="15"/>
              </w:rPr>
              <w:t xml:space="preserve">  50≤Y＜1000</w:t>
            </w:r>
          </w:p>
        </w:tc>
        <w:tc>
          <w:tcPr>
            <w:tcW w:w="525" w:type="pct"/>
            <w:vAlign w:val="center"/>
          </w:tcPr>
          <w:p>
            <w:pPr>
              <w:widowControl/>
              <w:jc w:val="center"/>
              <w:rPr>
                <w:rFonts w:cs="宋体"/>
                <w:kern w:val="0"/>
                <w:sz w:val="15"/>
                <w:szCs w:val="15"/>
              </w:rPr>
            </w:pPr>
            <w:r>
              <w:rPr>
                <w:rFonts w:hint="eastAsia" w:cs="宋体"/>
                <w:kern w:val="0"/>
                <w:sz w:val="15"/>
                <w:szCs w:val="15"/>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房地产开发经营</w:t>
            </w:r>
          </w:p>
        </w:tc>
        <w:tc>
          <w:tcPr>
            <w:tcW w:w="725" w:type="pct"/>
            <w:vAlign w:val="center"/>
          </w:tcPr>
          <w:p>
            <w:pPr>
              <w:widowControl/>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Y≥200000</w:t>
            </w:r>
          </w:p>
        </w:tc>
        <w:tc>
          <w:tcPr>
            <w:tcW w:w="901" w:type="pct"/>
            <w:vAlign w:val="center"/>
          </w:tcPr>
          <w:p>
            <w:pPr>
              <w:widowControl/>
              <w:jc w:val="center"/>
              <w:rPr>
                <w:rFonts w:cs="宋体"/>
                <w:kern w:val="0"/>
                <w:sz w:val="15"/>
                <w:szCs w:val="15"/>
              </w:rPr>
            </w:pPr>
            <w:r>
              <w:rPr>
                <w:rFonts w:hint="eastAsia" w:cs="宋体"/>
                <w:kern w:val="0"/>
                <w:sz w:val="15"/>
                <w:szCs w:val="15"/>
              </w:rPr>
              <w:t xml:space="preserve"> 1000≤Y＜200000</w:t>
            </w:r>
          </w:p>
        </w:tc>
        <w:tc>
          <w:tcPr>
            <w:tcW w:w="755" w:type="pct"/>
            <w:vAlign w:val="center"/>
          </w:tcPr>
          <w:p>
            <w:pPr>
              <w:widowControl/>
              <w:jc w:val="center"/>
              <w:rPr>
                <w:rFonts w:cs="宋体"/>
                <w:kern w:val="0"/>
                <w:sz w:val="15"/>
                <w:szCs w:val="15"/>
              </w:rPr>
            </w:pPr>
            <w:r>
              <w:rPr>
                <w:rFonts w:hint="eastAsia" w:cs="宋体"/>
                <w:kern w:val="0"/>
                <w:sz w:val="15"/>
                <w:szCs w:val="15"/>
              </w:rPr>
              <w:t xml:space="preserve"> 100≤Y＜1000</w:t>
            </w:r>
          </w:p>
        </w:tc>
        <w:tc>
          <w:tcPr>
            <w:tcW w:w="525" w:type="pct"/>
            <w:vAlign w:val="center"/>
          </w:tcPr>
          <w:p>
            <w:pPr>
              <w:widowControl/>
              <w:jc w:val="center"/>
              <w:rPr>
                <w:rFonts w:cs="宋体"/>
                <w:kern w:val="0"/>
                <w:sz w:val="15"/>
                <w:szCs w:val="15"/>
              </w:rPr>
            </w:pPr>
            <w:r>
              <w:rPr>
                <w:rFonts w:hint="eastAsia" w:cs="宋体"/>
                <w:kern w:val="0"/>
                <w:sz w:val="15"/>
                <w:szCs w:val="15"/>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资产总额(Z)</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Z≥10000</w:t>
            </w:r>
          </w:p>
        </w:tc>
        <w:tc>
          <w:tcPr>
            <w:tcW w:w="901" w:type="pct"/>
            <w:vAlign w:val="center"/>
          </w:tcPr>
          <w:p>
            <w:pPr>
              <w:widowControl/>
              <w:jc w:val="center"/>
              <w:rPr>
                <w:rFonts w:cs="宋体"/>
                <w:kern w:val="0"/>
                <w:sz w:val="15"/>
                <w:szCs w:val="15"/>
              </w:rPr>
            </w:pPr>
            <w:r>
              <w:rPr>
                <w:rFonts w:hint="eastAsia" w:cs="宋体"/>
                <w:kern w:val="0"/>
                <w:sz w:val="15"/>
                <w:szCs w:val="15"/>
              </w:rPr>
              <w:t>5000≤Z＜10000</w:t>
            </w:r>
          </w:p>
        </w:tc>
        <w:tc>
          <w:tcPr>
            <w:tcW w:w="755" w:type="pct"/>
            <w:vAlign w:val="center"/>
          </w:tcPr>
          <w:p>
            <w:pPr>
              <w:widowControl/>
              <w:jc w:val="center"/>
              <w:rPr>
                <w:rFonts w:cs="宋体"/>
                <w:kern w:val="0"/>
                <w:sz w:val="15"/>
                <w:szCs w:val="15"/>
              </w:rPr>
            </w:pPr>
            <w:r>
              <w:rPr>
                <w:rFonts w:hint="eastAsia" w:cs="宋体"/>
                <w:kern w:val="0"/>
                <w:sz w:val="15"/>
                <w:szCs w:val="15"/>
              </w:rPr>
              <w:t xml:space="preserve">2000≤Z＜5000   </w:t>
            </w:r>
          </w:p>
        </w:tc>
        <w:tc>
          <w:tcPr>
            <w:tcW w:w="525" w:type="pct"/>
            <w:vAlign w:val="center"/>
          </w:tcPr>
          <w:p>
            <w:pPr>
              <w:widowControl/>
              <w:jc w:val="center"/>
              <w:rPr>
                <w:rFonts w:cs="宋体"/>
                <w:kern w:val="0"/>
                <w:sz w:val="15"/>
                <w:szCs w:val="15"/>
              </w:rPr>
            </w:pPr>
            <w:r>
              <w:rPr>
                <w:rFonts w:hint="eastAsia" w:cs="宋体"/>
                <w:kern w:val="0"/>
                <w:sz w:val="15"/>
                <w:szCs w:val="15"/>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物业管理</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X≥1000</w:t>
            </w:r>
          </w:p>
        </w:tc>
        <w:tc>
          <w:tcPr>
            <w:tcW w:w="901" w:type="pct"/>
            <w:vAlign w:val="center"/>
          </w:tcPr>
          <w:p>
            <w:pPr>
              <w:widowControl/>
              <w:jc w:val="center"/>
              <w:rPr>
                <w:rFonts w:cs="宋体"/>
                <w:kern w:val="0"/>
                <w:sz w:val="15"/>
                <w:szCs w:val="15"/>
              </w:rPr>
            </w:pPr>
            <w:r>
              <w:rPr>
                <w:rFonts w:hint="eastAsia" w:cs="宋体"/>
                <w:kern w:val="0"/>
                <w:sz w:val="15"/>
                <w:szCs w:val="15"/>
              </w:rPr>
              <w:t>300≤X＜1000</w:t>
            </w:r>
          </w:p>
        </w:tc>
        <w:tc>
          <w:tcPr>
            <w:tcW w:w="755" w:type="pct"/>
            <w:vAlign w:val="center"/>
          </w:tcPr>
          <w:p>
            <w:pPr>
              <w:widowControl/>
              <w:jc w:val="center"/>
              <w:rPr>
                <w:rFonts w:cs="宋体"/>
                <w:kern w:val="0"/>
                <w:sz w:val="15"/>
                <w:szCs w:val="15"/>
              </w:rPr>
            </w:pPr>
            <w:r>
              <w:rPr>
                <w:rFonts w:hint="eastAsia" w:cs="宋体"/>
                <w:kern w:val="0"/>
                <w:sz w:val="15"/>
                <w:szCs w:val="15"/>
              </w:rPr>
              <w:t xml:space="preserve">100≤X＜300 </w:t>
            </w:r>
          </w:p>
        </w:tc>
        <w:tc>
          <w:tcPr>
            <w:tcW w:w="525" w:type="pct"/>
            <w:vAlign w:val="center"/>
          </w:tcPr>
          <w:p>
            <w:pPr>
              <w:widowControl/>
              <w:jc w:val="center"/>
              <w:rPr>
                <w:rFonts w:cs="宋体"/>
                <w:kern w:val="0"/>
                <w:sz w:val="15"/>
                <w:szCs w:val="15"/>
              </w:rPr>
            </w:pPr>
            <w:r>
              <w:rPr>
                <w:rFonts w:hint="eastAsia" w:cs="宋体"/>
                <w:kern w:val="0"/>
                <w:sz w:val="15"/>
                <w:szCs w:val="15"/>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营业收入(Y)</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Y≥5000</w:t>
            </w:r>
          </w:p>
        </w:tc>
        <w:tc>
          <w:tcPr>
            <w:tcW w:w="901" w:type="pct"/>
            <w:vAlign w:val="center"/>
          </w:tcPr>
          <w:p>
            <w:pPr>
              <w:widowControl/>
              <w:ind w:left="-32" w:leftChars="-51" w:hanging="90" w:hangingChars="60"/>
              <w:jc w:val="center"/>
              <w:rPr>
                <w:rFonts w:cs="宋体"/>
                <w:kern w:val="0"/>
                <w:sz w:val="15"/>
                <w:szCs w:val="15"/>
              </w:rPr>
            </w:pPr>
            <w:r>
              <w:rPr>
                <w:rFonts w:hint="eastAsia" w:cs="宋体"/>
                <w:kern w:val="0"/>
                <w:sz w:val="15"/>
                <w:szCs w:val="15"/>
              </w:rPr>
              <w:t xml:space="preserve">1000≤Y＜5000 </w:t>
            </w:r>
          </w:p>
        </w:tc>
        <w:tc>
          <w:tcPr>
            <w:tcW w:w="755" w:type="pct"/>
            <w:vAlign w:val="center"/>
          </w:tcPr>
          <w:p>
            <w:pPr>
              <w:widowControl/>
              <w:jc w:val="center"/>
              <w:rPr>
                <w:rFonts w:cs="宋体"/>
                <w:kern w:val="0"/>
                <w:sz w:val="15"/>
                <w:szCs w:val="15"/>
              </w:rPr>
            </w:pPr>
            <w:r>
              <w:rPr>
                <w:rFonts w:hint="eastAsia" w:cs="宋体"/>
                <w:kern w:val="0"/>
                <w:sz w:val="15"/>
                <w:szCs w:val="15"/>
              </w:rPr>
              <w:t xml:space="preserve"> 500≤Y＜1000</w:t>
            </w:r>
          </w:p>
        </w:tc>
        <w:tc>
          <w:tcPr>
            <w:tcW w:w="525" w:type="pct"/>
            <w:vAlign w:val="center"/>
          </w:tcPr>
          <w:p>
            <w:pPr>
              <w:widowControl/>
              <w:jc w:val="center"/>
              <w:rPr>
                <w:rFonts w:cs="宋体"/>
                <w:kern w:val="0"/>
                <w:sz w:val="15"/>
                <w:szCs w:val="15"/>
              </w:rPr>
            </w:pPr>
            <w:r>
              <w:rPr>
                <w:rFonts w:hint="eastAsia" w:cs="宋体"/>
                <w:kern w:val="0"/>
                <w:sz w:val="15"/>
                <w:szCs w:val="15"/>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20" w:type="pct"/>
            <w:vMerge w:val="restart"/>
            <w:vAlign w:val="center"/>
          </w:tcPr>
          <w:p>
            <w:pPr>
              <w:widowControl/>
              <w:spacing w:line="240" w:lineRule="exact"/>
              <w:rPr>
                <w:rFonts w:cs="宋体"/>
                <w:kern w:val="0"/>
                <w:sz w:val="15"/>
                <w:szCs w:val="15"/>
              </w:rPr>
            </w:pPr>
            <w:r>
              <w:rPr>
                <w:rFonts w:hint="eastAsia" w:cs="宋体"/>
                <w:kern w:val="0"/>
                <w:sz w:val="15"/>
                <w:szCs w:val="15"/>
              </w:rPr>
              <w:t>租赁和商务服务业</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X≥300</w:t>
            </w:r>
          </w:p>
        </w:tc>
        <w:tc>
          <w:tcPr>
            <w:tcW w:w="901" w:type="pct"/>
            <w:vAlign w:val="center"/>
          </w:tcPr>
          <w:p>
            <w:pPr>
              <w:widowControl/>
              <w:ind w:left="-32" w:leftChars="-51" w:hanging="90" w:hangingChars="60"/>
              <w:jc w:val="center"/>
              <w:rPr>
                <w:rFonts w:cs="宋体"/>
                <w:kern w:val="0"/>
                <w:sz w:val="15"/>
                <w:szCs w:val="15"/>
              </w:rPr>
            </w:pPr>
            <w:r>
              <w:rPr>
                <w:rFonts w:hint="eastAsia" w:cs="宋体"/>
                <w:kern w:val="0"/>
                <w:sz w:val="15"/>
                <w:szCs w:val="15"/>
              </w:rPr>
              <w:t xml:space="preserve">100≤X＜300 </w:t>
            </w:r>
          </w:p>
        </w:tc>
        <w:tc>
          <w:tcPr>
            <w:tcW w:w="755" w:type="pct"/>
            <w:vAlign w:val="center"/>
          </w:tcPr>
          <w:p>
            <w:pPr>
              <w:widowControl/>
              <w:jc w:val="center"/>
              <w:rPr>
                <w:rFonts w:cs="宋体"/>
                <w:kern w:val="0"/>
                <w:sz w:val="15"/>
                <w:szCs w:val="15"/>
              </w:rPr>
            </w:pPr>
            <w:r>
              <w:rPr>
                <w:rFonts w:hint="eastAsia" w:cs="宋体"/>
                <w:kern w:val="0"/>
                <w:sz w:val="15"/>
                <w:szCs w:val="15"/>
              </w:rPr>
              <w:t xml:space="preserve"> 10≤X＜100</w:t>
            </w:r>
          </w:p>
        </w:tc>
        <w:tc>
          <w:tcPr>
            <w:tcW w:w="525" w:type="pct"/>
            <w:vAlign w:val="center"/>
          </w:tcPr>
          <w:p>
            <w:pPr>
              <w:widowControl/>
              <w:jc w:val="center"/>
              <w:rPr>
                <w:rFonts w:cs="宋体"/>
                <w:kern w:val="0"/>
                <w:sz w:val="15"/>
                <w:szCs w:val="15"/>
              </w:rPr>
            </w:pPr>
            <w:r>
              <w:rPr>
                <w:rFonts w:hint="eastAsia" w:cs="宋体"/>
                <w:kern w:val="0"/>
                <w:sz w:val="15"/>
                <w:szCs w:val="15"/>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vAlign w:val="center"/>
          </w:tcPr>
          <w:p>
            <w:pPr>
              <w:widowControl/>
              <w:rPr>
                <w:rFonts w:cs="宋体"/>
                <w:kern w:val="0"/>
                <w:sz w:val="15"/>
                <w:szCs w:val="15"/>
              </w:rPr>
            </w:pPr>
          </w:p>
        </w:tc>
        <w:tc>
          <w:tcPr>
            <w:tcW w:w="725" w:type="pct"/>
            <w:vAlign w:val="center"/>
          </w:tcPr>
          <w:p>
            <w:pPr>
              <w:widowControl/>
              <w:spacing w:line="240" w:lineRule="exact"/>
              <w:jc w:val="center"/>
              <w:rPr>
                <w:rFonts w:cs="宋体"/>
                <w:kern w:val="0"/>
                <w:sz w:val="15"/>
                <w:szCs w:val="15"/>
              </w:rPr>
            </w:pPr>
            <w:r>
              <w:rPr>
                <w:rFonts w:hint="eastAsia" w:cs="宋体"/>
                <w:kern w:val="0"/>
                <w:sz w:val="15"/>
                <w:szCs w:val="15"/>
              </w:rPr>
              <w:t>资产总额(Z)</w:t>
            </w:r>
          </w:p>
        </w:tc>
        <w:tc>
          <w:tcPr>
            <w:tcW w:w="375" w:type="pct"/>
            <w:vAlign w:val="center"/>
          </w:tcPr>
          <w:p>
            <w:pPr>
              <w:widowControl/>
              <w:jc w:val="center"/>
              <w:rPr>
                <w:rFonts w:cs="宋体"/>
                <w:kern w:val="0"/>
                <w:sz w:val="15"/>
                <w:szCs w:val="15"/>
              </w:rPr>
            </w:pPr>
            <w:r>
              <w:rPr>
                <w:rFonts w:hint="eastAsia" w:cs="宋体"/>
                <w:kern w:val="0"/>
                <w:sz w:val="15"/>
                <w:szCs w:val="15"/>
              </w:rPr>
              <w:t>万元</w:t>
            </w:r>
          </w:p>
        </w:tc>
        <w:tc>
          <w:tcPr>
            <w:tcW w:w="595" w:type="pct"/>
            <w:vAlign w:val="center"/>
          </w:tcPr>
          <w:p>
            <w:pPr>
              <w:widowControl/>
              <w:jc w:val="center"/>
              <w:rPr>
                <w:rFonts w:cs="宋体"/>
                <w:kern w:val="0"/>
                <w:sz w:val="15"/>
                <w:szCs w:val="15"/>
              </w:rPr>
            </w:pPr>
            <w:r>
              <w:rPr>
                <w:rFonts w:hint="eastAsia" w:cs="宋体"/>
                <w:kern w:val="0"/>
                <w:sz w:val="15"/>
                <w:szCs w:val="15"/>
              </w:rPr>
              <w:t>Z≥120000</w:t>
            </w:r>
          </w:p>
        </w:tc>
        <w:tc>
          <w:tcPr>
            <w:tcW w:w="901" w:type="pct"/>
            <w:vAlign w:val="center"/>
          </w:tcPr>
          <w:p>
            <w:pPr>
              <w:widowControl/>
              <w:jc w:val="center"/>
              <w:rPr>
                <w:rFonts w:cs="宋体"/>
                <w:kern w:val="0"/>
                <w:sz w:val="15"/>
                <w:szCs w:val="15"/>
              </w:rPr>
            </w:pPr>
            <w:r>
              <w:rPr>
                <w:rFonts w:hint="eastAsia" w:cs="宋体"/>
                <w:kern w:val="0"/>
                <w:sz w:val="15"/>
                <w:szCs w:val="15"/>
              </w:rPr>
              <w:t xml:space="preserve"> 8000≤Z＜120000</w:t>
            </w:r>
          </w:p>
        </w:tc>
        <w:tc>
          <w:tcPr>
            <w:tcW w:w="755" w:type="pct"/>
            <w:vAlign w:val="center"/>
          </w:tcPr>
          <w:p>
            <w:pPr>
              <w:widowControl/>
              <w:jc w:val="center"/>
              <w:rPr>
                <w:rFonts w:cs="宋体"/>
                <w:kern w:val="0"/>
                <w:sz w:val="15"/>
                <w:szCs w:val="15"/>
              </w:rPr>
            </w:pPr>
            <w:r>
              <w:rPr>
                <w:rFonts w:hint="eastAsia" w:cs="宋体"/>
                <w:kern w:val="0"/>
                <w:sz w:val="15"/>
                <w:szCs w:val="15"/>
              </w:rPr>
              <w:t xml:space="preserve"> 100≤Z＜8000</w:t>
            </w:r>
          </w:p>
        </w:tc>
        <w:tc>
          <w:tcPr>
            <w:tcW w:w="525" w:type="pct"/>
            <w:vAlign w:val="center"/>
          </w:tcPr>
          <w:p>
            <w:pPr>
              <w:widowControl/>
              <w:jc w:val="center"/>
              <w:rPr>
                <w:rFonts w:cs="宋体"/>
                <w:kern w:val="0"/>
                <w:sz w:val="15"/>
                <w:szCs w:val="15"/>
              </w:rPr>
            </w:pPr>
            <w:r>
              <w:rPr>
                <w:rFonts w:hint="eastAsia" w:cs="宋体"/>
                <w:kern w:val="0"/>
                <w:sz w:val="15"/>
                <w:szCs w:val="15"/>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120" w:type="pct"/>
            <w:vAlign w:val="center"/>
          </w:tcPr>
          <w:p>
            <w:pPr>
              <w:widowControl/>
              <w:spacing w:line="240" w:lineRule="exact"/>
              <w:rPr>
                <w:rFonts w:cs="宋体"/>
                <w:kern w:val="0"/>
                <w:sz w:val="15"/>
                <w:szCs w:val="15"/>
              </w:rPr>
            </w:pPr>
            <w:r>
              <w:rPr>
                <w:rFonts w:hint="eastAsia" w:cs="宋体"/>
                <w:kern w:val="0"/>
                <w:sz w:val="15"/>
                <w:szCs w:val="15"/>
              </w:rPr>
              <w:t>其他未列明行业 *</w:t>
            </w:r>
          </w:p>
        </w:tc>
        <w:tc>
          <w:tcPr>
            <w:tcW w:w="725" w:type="pct"/>
            <w:vAlign w:val="center"/>
          </w:tcPr>
          <w:p>
            <w:pPr>
              <w:widowControl/>
              <w:jc w:val="center"/>
              <w:rPr>
                <w:rFonts w:cs="宋体"/>
                <w:kern w:val="0"/>
                <w:sz w:val="15"/>
                <w:szCs w:val="15"/>
              </w:rPr>
            </w:pPr>
            <w:r>
              <w:rPr>
                <w:rFonts w:hint="eastAsia" w:cs="宋体"/>
                <w:kern w:val="0"/>
                <w:sz w:val="15"/>
                <w:szCs w:val="15"/>
              </w:rPr>
              <w:t>从业人员(X)</w:t>
            </w:r>
          </w:p>
        </w:tc>
        <w:tc>
          <w:tcPr>
            <w:tcW w:w="375" w:type="pct"/>
            <w:vAlign w:val="center"/>
          </w:tcPr>
          <w:p>
            <w:pPr>
              <w:widowControl/>
              <w:jc w:val="center"/>
              <w:rPr>
                <w:rFonts w:cs="宋体"/>
                <w:kern w:val="0"/>
                <w:sz w:val="15"/>
                <w:szCs w:val="15"/>
              </w:rPr>
            </w:pPr>
            <w:r>
              <w:rPr>
                <w:rFonts w:hint="eastAsia" w:cs="宋体"/>
                <w:kern w:val="0"/>
                <w:sz w:val="15"/>
                <w:szCs w:val="15"/>
              </w:rPr>
              <w:t>人</w:t>
            </w:r>
          </w:p>
        </w:tc>
        <w:tc>
          <w:tcPr>
            <w:tcW w:w="595" w:type="pct"/>
            <w:vAlign w:val="center"/>
          </w:tcPr>
          <w:p>
            <w:pPr>
              <w:widowControl/>
              <w:jc w:val="center"/>
              <w:rPr>
                <w:rFonts w:cs="宋体"/>
                <w:kern w:val="0"/>
                <w:sz w:val="15"/>
                <w:szCs w:val="15"/>
              </w:rPr>
            </w:pPr>
            <w:r>
              <w:rPr>
                <w:rFonts w:hint="eastAsia" w:cs="宋体"/>
                <w:kern w:val="0"/>
                <w:sz w:val="15"/>
                <w:szCs w:val="15"/>
              </w:rPr>
              <w:t>X≥300</w:t>
            </w:r>
          </w:p>
        </w:tc>
        <w:tc>
          <w:tcPr>
            <w:tcW w:w="901" w:type="pct"/>
            <w:vAlign w:val="center"/>
          </w:tcPr>
          <w:p>
            <w:pPr>
              <w:widowControl/>
              <w:ind w:left="-32" w:leftChars="-51" w:hanging="90" w:hangingChars="60"/>
              <w:jc w:val="center"/>
              <w:rPr>
                <w:rFonts w:cs="宋体"/>
                <w:kern w:val="0"/>
                <w:sz w:val="15"/>
                <w:szCs w:val="15"/>
              </w:rPr>
            </w:pPr>
            <w:r>
              <w:rPr>
                <w:rFonts w:hint="eastAsia" w:cs="宋体"/>
                <w:kern w:val="0"/>
                <w:sz w:val="15"/>
                <w:szCs w:val="15"/>
              </w:rPr>
              <w:t xml:space="preserve">100≤X＜300 </w:t>
            </w:r>
          </w:p>
        </w:tc>
        <w:tc>
          <w:tcPr>
            <w:tcW w:w="755" w:type="pct"/>
            <w:vAlign w:val="center"/>
          </w:tcPr>
          <w:p>
            <w:pPr>
              <w:widowControl/>
              <w:jc w:val="center"/>
              <w:rPr>
                <w:rFonts w:cs="宋体"/>
                <w:kern w:val="0"/>
                <w:sz w:val="15"/>
                <w:szCs w:val="15"/>
              </w:rPr>
            </w:pPr>
            <w:r>
              <w:rPr>
                <w:rFonts w:hint="eastAsia" w:cs="宋体"/>
                <w:kern w:val="0"/>
                <w:sz w:val="15"/>
                <w:szCs w:val="15"/>
              </w:rPr>
              <w:t xml:space="preserve"> 10≤X＜100</w:t>
            </w:r>
          </w:p>
        </w:tc>
        <w:tc>
          <w:tcPr>
            <w:tcW w:w="525" w:type="pct"/>
            <w:vAlign w:val="center"/>
          </w:tcPr>
          <w:p>
            <w:pPr>
              <w:widowControl/>
              <w:jc w:val="center"/>
              <w:rPr>
                <w:rFonts w:cs="宋体"/>
                <w:kern w:val="0"/>
                <w:sz w:val="15"/>
                <w:szCs w:val="15"/>
              </w:rPr>
            </w:pPr>
            <w:r>
              <w:rPr>
                <w:rFonts w:hint="eastAsia" w:cs="宋体"/>
                <w:kern w:val="0"/>
                <w:sz w:val="15"/>
                <w:szCs w:val="15"/>
              </w:rPr>
              <w:t>X＜10</w:t>
            </w:r>
          </w:p>
        </w:tc>
      </w:tr>
    </w:tbl>
    <w:p>
      <w:pPr>
        <w:widowControl/>
        <w:adjustRightInd/>
        <w:snapToGrid/>
        <w:ind w:firstLine="512" w:firstLineChars="200"/>
        <w:rPr>
          <w:rFonts w:cs="宋体"/>
          <w:spacing w:val="8"/>
          <w:kern w:val="0"/>
        </w:rPr>
      </w:pPr>
      <w:r>
        <w:rPr>
          <w:rFonts w:hint="eastAsia" w:cs="宋体"/>
          <w:spacing w:val="8"/>
          <w:kern w:val="0"/>
        </w:rPr>
        <w:t>说明：</w:t>
      </w:r>
    </w:p>
    <w:p>
      <w:pPr>
        <w:adjustRightInd/>
        <w:snapToGrid/>
        <w:ind w:firstLine="512" w:firstLineChars="200"/>
        <w:rPr>
          <w:rFonts w:cs="宋体"/>
          <w:spacing w:val="8"/>
          <w:kern w:val="0"/>
        </w:rPr>
      </w:pPr>
      <w:r>
        <w:rPr>
          <w:rFonts w:hint="eastAsia" w:cs="宋体"/>
          <w:spacing w:val="8"/>
          <w:kern w:val="0"/>
        </w:rPr>
        <w:t>1.大型、中型和小型企业须同时满足所列指标的下限，否则下划一档；微型企业只须满足所列指标中的一项即可。</w:t>
      </w:r>
    </w:p>
    <w:p>
      <w:pPr>
        <w:adjustRightInd/>
        <w:snapToGrid/>
        <w:ind w:firstLine="512" w:firstLineChars="200"/>
        <w:rPr>
          <w:rFonts w:cs="宋体"/>
          <w:spacing w:val="8"/>
          <w:kern w:val="0"/>
        </w:rPr>
      </w:pPr>
      <w:r>
        <w:rPr>
          <w:rFonts w:hint="eastAsia" w:cs="宋体"/>
          <w:spacing w:val="8"/>
          <w:kern w:val="0"/>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ind w:firstLine="512" w:firstLineChars="200"/>
      </w:pPr>
      <w:r>
        <w:rPr>
          <w:rFonts w:hint="eastAsia" w:cs="宋体"/>
          <w:spacing w:val="8"/>
          <w:kern w:val="0"/>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sectPr>
      <w:headerReference r:id="rId15" w:type="first"/>
      <w:footerReference r:id="rId17" w:type="first"/>
      <w:headerReference r:id="rId14" w:type="default"/>
      <w:footerReference r:id="rId16" w:type="default"/>
      <w:pgSz w:w="11906" w:h="16838"/>
      <w:pgMar w:top="1440" w:right="1080" w:bottom="1440" w:left="1080" w:header="851" w:footer="992" w:gutter="0"/>
      <w:pgNumType w:fmt="decimal"/>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D14EA-EF89-42A5-9517-D9F2B21946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B8C948-2AE7-481B-8E1F-931FDBB65A82}"/>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F621922C-BA17-49AA-95B1-846D7C64D2D3}"/>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0"/>
      </w:tabs>
      <w:ind w:right="360"/>
      <w:rPr>
        <w:sz w:val="15"/>
        <w:szCs w:val="15"/>
      </w:rPr>
    </w:pPr>
    <w:r>
      <w:rPr>
        <w:rFonts w:hAnsi="Calibri" w:cs="黑体"/>
        <w:sz w:val="15"/>
        <w:szCs w:val="20"/>
      </w:rPr>
      <mc:AlternateContent>
        <mc:Choice Requires="wps">
          <w:drawing>
            <wp:anchor distT="0" distB="0" distL="114300" distR="114300" simplePos="0" relativeHeight="251661312"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rPr>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61312;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edfWAAAABwEAAA8AAAAAAAAAAQAgAAAAIgAAAGRycy9kb3ducmV2&#10;LnhtbFBLAQIUABQAAAAIAIdO4kBuI/RkxQEAAIoDAAAOAAAAAAAAAAEAIAAAACUBAABkcnMvZTJv&#10;RG9jLnhtbFBLBQYAAAAABgAGAFkBAABcBQAAAAA=&#10;">
              <v:fill on="f" focussize="0,0"/>
              <v:stroke on="f"/>
              <v:imagedata o:title=""/>
              <o:lock v:ext="edit" aspectratio="f"/>
              <v:textbox inset="0mm,0mm,0mm,0mm" style="mso-fit-shape-to-text:t;">
                <w:txbxContent>
                  <w:p>
                    <w:pPr>
                      <w:rPr>
                        <w:sz w:val="18"/>
                      </w:rPr>
                    </w:pPr>
                  </w:p>
                </w:txbxContent>
              </v:textbox>
            </v:rect>
          </w:pict>
        </mc:Fallback>
      </mc:AlternateContent>
    </w:r>
    <w:r>
      <w:rPr>
        <w:rFonts w:hint="eastAsia"/>
        <w:sz w:val="15"/>
        <w:szCs w:val="15"/>
      </w:rPr>
      <w:t>地址：成都市高新区吉庆三路333号蜀都中心二期一号楼一单元401号                                         邮政编码：610041</w:t>
    </w:r>
  </w:p>
  <w:p>
    <w:pPr>
      <w:pStyle w:val="15"/>
      <w:tabs>
        <w:tab w:val="center" w:pos="4153"/>
        <w:tab w:val="right" w:pos="8306"/>
        <w:tab w:val="clear" w:pos="0"/>
      </w:tabs>
      <w:ind w:right="360"/>
    </w:pPr>
    <w:r>
      <w:rPr>
        <w:rFonts w:hint="eastAsia"/>
        <w:sz w:val="15"/>
        <w:szCs w:val="15"/>
      </w:rPr>
      <w:t>电话(TEL)：86-028-61375575、62600820、62630990                                                            传真(FAX)：028-83381268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0"/>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enter" w:pos="4153"/>
        <w:tab w:val="right" w:pos="8306"/>
        <w:tab w:val="clear" w:pos="0"/>
      </w:tabs>
      <w:jc w:val="left"/>
      <w:rPr>
        <w:b/>
        <w:bCs/>
      </w:rPr>
    </w:pPr>
    <w:r>
      <w:rPr>
        <w:rFonts w:hAnsi="Calibri" w:cs="黑体"/>
        <w:sz w:val="20"/>
        <w:szCs w:val="11"/>
      </w:rPr>
      <w:drawing>
        <wp:anchor distT="0" distB="0" distL="114300" distR="114300" simplePos="0" relativeHeight="251659264"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sz w:val="21"/>
        <w:szCs w:val="21"/>
      </w:rPr>
      <w:t xml:space="preserve">       </w:t>
    </w:r>
    <w:r>
      <w:rPr>
        <w:rFonts w:hint="eastAsia"/>
        <w:b/>
        <w:bCs/>
      </w:rPr>
      <w:t>四川乾新招投标代理有限公司</w:t>
    </w:r>
  </w:p>
  <w:p>
    <w:pPr>
      <w:pStyle w:val="16"/>
      <w:pBdr>
        <w:bottom w:val="single" w:color="auto" w:sz="4" w:space="1"/>
      </w:pBdr>
      <w:tabs>
        <w:tab w:val="center" w:pos="4153"/>
        <w:tab w:val="right" w:pos="8306"/>
        <w:tab w:val="clear" w:pos="0"/>
      </w:tabs>
      <w:jc w:val="left"/>
    </w:pPr>
    <w:r>
      <w:rPr>
        <w:rFonts w:hint="eastAsia"/>
        <w:b/>
        <w:bCs/>
      </w:rPr>
      <w:t xml:space="preserve">        Si Chuan Qian Xin Tendering and Bidding Agency Co.Ltd                             不止专注 更懂托付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enter" w:pos="4153"/>
        <w:tab w:val="right" w:pos="8306"/>
        <w:tab w:val="clear" w:pos="0"/>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enter" w:pos="4153"/>
        <w:tab w:val="right" w:pos="8306"/>
        <w:tab w:val="clear" w:pos="0"/>
      </w:tabs>
      <w:jc w:val="left"/>
      <w:rPr>
        <w:rFonts w:asciiTheme="minorEastAsia" w:hAnsiTheme="minorEastAsia" w:cstheme="minor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enter" w:pos="4153"/>
        <w:tab w:val="right" w:pos="8306"/>
        <w:tab w:val="clear" w:pos="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0DA6"/>
    <w:multiLevelType w:val="singleLevel"/>
    <w:tmpl w:val="85A60DA6"/>
    <w:lvl w:ilvl="0" w:tentative="0">
      <w:start w:val="1"/>
      <w:numFmt w:val="chineseCounting"/>
      <w:suff w:val="nothing"/>
      <w:lvlText w:val="%1、"/>
      <w:lvlJc w:val="left"/>
      <w:pPr>
        <w:ind w:left="0" w:firstLine="420"/>
      </w:pPr>
      <w:rPr>
        <w:rFonts w:hint="eastAsia"/>
      </w:rPr>
    </w:lvl>
  </w:abstractNum>
  <w:abstractNum w:abstractNumId="1">
    <w:nsid w:val="984AAC84"/>
    <w:multiLevelType w:val="singleLevel"/>
    <w:tmpl w:val="984AAC84"/>
    <w:lvl w:ilvl="0" w:tentative="0">
      <w:start w:val="1"/>
      <w:numFmt w:val="decimal"/>
      <w:lvlText w:val="(%1)"/>
      <w:lvlJc w:val="left"/>
      <w:pPr>
        <w:ind w:left="425" w:hanging="425"/>
      </w:pPr>
      <w:rPr>
        <w:rFonts w:hint="default"/>
      </w:rPr>
    </w:lvl>
  </w:abstractNum>
  <w:abstractNum w:abstractNumId="2">
    <w:nsid w:val="A80635A9"/>
    <w:multiLevelType w:val="singleLevel"/>
    <w:tmpl w:val="A80635A9"/>
    <w:lvl w:ilvl="0" w:tentative="0">
      <w:start w:val="1"/>
      <w:numFmt w:val="chineseCounting"/>
      <w:pStyle w:val="66"/>
      <w:suff w:val="nothing"/>
      <w:lvlText w:val="第%1条  "/>
      <w:lvlJc w:val="left"/>
      <w:pPr>
        <w:ind w:left="0" w:firstLine="0"/>
      </w:pPr>
      <w:rPr>
        <w:rFonts w:hint="eastAsia"/>
      </w:rPr>
    </w:lvl>
  </w:abstractNum>
  <w:abstractNum w:abstractNumId="3">
    <w:nsid w:val="B04D8E0A"/>
    <w:multiLevelType w:val="multilevel"/>
    <w:tmpl w:val="B04D8E0A"/>
    <w:lvl w:ilvl="0" w:tentative="0">
      <w:start w:val="1"/>
      <w:numFmt w:val="chineseCounting"/>
      <w:pStyle w:val="48"/>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5"/>
      <w:suff w:val="nothing"/>
      <w:lvlText w:val="%2、"/>
      <w:lvlJc w:val="left"/>
      <w:pPr>
        <w:ind w:left="0" w:firstLine="0"/>
      </w:pPr>
      <w:rPr>
        <w:rFonts w:hint="eastAsia" w:ascii="宋体" w:hAnsi="宋体" w:eastAsia="宋体" w:cs="宋体"/>
      </w:rPr>
    </w:lvl>
    <w:lvl w:ilvl="2" w:tentative="0">
      <w:start w:val="1"/>
      <w:numFmt w:val="chineseCounting"/>
      <w:pStyle w:val="49"/>
      <w:suff w:val="nothing"/>
      <w:lvlText w:val="(%3)"/>
      <w:lvlJc w:val="left"/>
      <w:pPr>
        <w:tabs>
          <w:tab w:val="left" w:pos="0"/>
        </w:tabs>
        <w:ind w:left="0" w:firstLine="0"/>
      </w:pPr>
      <w:rPr>
        <w:rFonts w:hint="eastAsia" w:ascii="宋体" w:hAnsi="宋体" w:eastAsia="宋体" w:cs="宋体"/>
      </w:rPr>
    </w:lvl>
    <w:lvl w:ilvl="3" w:tentative="0">
      <w:start w:val="1"/>
      <w:numFmt w:val="decimal"/>
      <w:pStyle w:val="63"/>
      <w:suff w:val="nothing"/>
      <w:lvlText w:val="%4."/>
      <w:lvlJc w:val="left"/>
      <w:pPr>
        <w:tabs>
          <w:tab w:val="left" w:pos="0"/>
        </w:tabs>
        <w:ind w:left="0" w:firstLine="0"/>
      </w:pPr>
      <w:rPr>
        <w:rFonts w:hint="eastAsia" w:ascii="宋体" w:hAnsi="宋体" w:eastAsia="宋体" w:cs="宋体"/>
      </w:rPr>
    </w:lvl>
    <w:lvl w:ilvl="4" w:tentative="0">
      <w:start w:val="1"/>
      <w:numFmt w:val="decimal"/>
      <w:pStyle w:val="64"/>
      <w:suff w:val="nothing"/>
      <w:lvlText w:val="%4.%5"/>
      <w:lvlJc w:val="left"/>
      <w:pPr>
        <w:ind w:left="0" w:firstLine="0"/>
      </w:pPr>
      <w:rPr>
        <w:rFonts w:hint="eastAsia" w:ascii="宋体" w:hAnsi="宋体" w:eastAsia="宋体" w:cs="宋体"/>
      </w:rPr>
    </w:lvl>
    <w:lvl w:ilvl="5" w:tentative="0">
      <w:start w:val="1"/>
      <w:numFmt w:val="decimal"/>
      <w:pStyle w:val="65"/>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C7F53590"/>
    <w:multiLevelType w:val="multilevel"/>
    <w:tmpl w:val="C7F53590"/>
    <w:lvl w:ilvl="0" w:tentative="0">
      <w:start w:val="1"/>
      <w:numFmt w:val="decimal"/>
      <w:pStyle w:val="39"/>
      <w:suff w:val="nothing"/>
      <w:lvlText w:val="%1."/>
      <w:lvlJc w:val="left"/>
      <w:pPr>
        <w:tabs>
          <w:tab w:val="left" w:pos="420"/>
        </w:tabs>
        <w:ind w:left="0" w:firstLine="0"/>
      </w:pPr>
      <w:rPr>
        <w:rFonts w:hint="default" w:ascii="宋体" w:hAnsi="宋体" w:eastAsia="宋体" w:cs="宋体"/>
        <w:b w:val="0"/>
        <w:bCs w:val="0"/>
      </w:rPr>
    </w:lvl>
    <w:lvl w:ilvl="1" w:tentative="0">
      <w:start w:val="1"/>
      <w:numFmt w:val="decimal"/>
      <w:pStyle w:val="40"/>
      <w:suff w:val="nothing"/>
      <w:lvlText w:val="%1.%2"/>
      <w:lvlJc w:val="left"/>
      <w:pPr>
        <w:tabs>
          <w:tab w:val="left" w:pos="420"/>
        </w:tabs>
        <w:ind w:left="0" w:firstLine="0"/>
      </w:pPr>
      <w:rPr>
        <w:rFonts w:hint="default" w:ascii="宋体" w:hAnsi="宋体" w:eastAsia="宋体" w:cs="宋体"/>
      </w:rPr>
    </w:lvl>
    <w:lvl w:ilvl="2" w:tentative="0">
      <w:start w:val="1"/>
      <w:numFmt w:val="decimal"/>
      <w:pStyle w:val="41"/>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CA240A61"/>
    <w:multiLevelType w:val="singleLevel"/>
    <w:tmpl w:val="CA240A61"/>
    <w:lvl w:ilvl="0" w:tentative="0">
      <w:start w:val="1"/>
      <w:numFmt w:val="chineseCounting"/>
      <w:pStyle w:val="70"/>
      <w:suff w:val="nothing"/>
      <w:lvlText w:val="(%1)"/>
      <w:lvlJc w:val="left"/>
      <w:pPr>
        <w:ind w:left="0" w:firstLine="0"/>
      </w:pPr>
      <w:rPr>
        <w:rFonts w:hint="eastAsia"/>
      </w:rPr>
    </w:lvl>
  </w:abstractNum>
  <w:abstractNum w:abstractNumId="6">
    <w:nsid w:val="D7D5D425"/>
    <w:multiLevelType w:val="singleLevel"/>
    <w:tmpl w:val="D7D5D425"/>
    <w:lvl w:ilvl="0" w:tentative="0">
      <w:start w:val="1"/>
      <w:numFmt w:val="chineseCounting"/>
      <w:suff w:val="nothing"/>
      <w:lvlText w:val="%1、"/>
      <w:lvlJc w:val="left"/>
      <w:pPr>
        <w:ind w:left="0" w:firstLine="420"/>
      </w:pPr>
      <w:rPr>
        <w:rFonts w:hint="eastAsia"/>
      </w:rPr>
    </w:lvl>
  </w:abstractNum>
  <w:abstractNum w:abstractNumId="7">
    <w:nsid w:val="DC5F828C"/>
    <w:multiLevelType w:val="singleLevel"/>
    <w:tmpl w:val="DC5F828C"/>
    <w:lvl w:ilvl="0" w:tentative="0">
      <w:start w:val="1"/>
      <w:numFmt w:val="decimal"/>
      <w:lvlText w:val="(%1)"/>
      <w:lvlJc w:val="left"/>
      <w:pPr>
        <w:ind w:left="425" w:hanging="425"/>
      </w:pPr>
      <w:rPr>
        <w:rFonts w:hint="default"/>
      </w:rPr>
    </w:lvl>
  </w:abstractNum>
  <w:abstractNum w:abstractNumId="8">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3"/>
      <w:suff w:val="nothing"/>
      <w:lvlText w:val="(%2)"/>
      <w:lvlJc w:val="left"/>
      <w:pPr>
        <w:ind w:left="0" w:firstLine="0"/>
      </w:pPr>
      <w:rPr>
        <w:rFonts w:hint="eastAsia" w:ascii="宋体" w:hAnsi="宋体" w:eastAsia="宋体" w:cs="宋体"/>
      </w:rPr>
    </w:lvl>
    <w:lvl w:ilvl="2" w:tentative="0">
      <w:start w:val="1"/>
      <w:numFmt w:val="decimal"/>
      <w:pStyle w:val="36"/>
      <w:suff w:val="nothing"/>
      <w:lvlText w:val="%3."/>
      <w:lvlJc w:val="left"/>
      <w:pPr>
        <w:ind w:left="0" w:firstLine="0"/>
      </w:pPr>
      <w:rPr>
        <w:rFonts w:hint="eastAsia" w:ascii="宋体" w:hAnsi="宋体" w:eastAsia="宋体" w:cs="宋体"/>
      </w:rPr>
    </w:lvl>
    <w:lvl w:ilvl="3" w:tentative="0">
      <w:start w:val="1"/>
      <w:numFmt w:val="decimal"/>
      <w:pStyle w:val="37"/>
      <w:suff w:val="nothing"/>
      <w:lvlText w:val="%3.%4"/>
      <w:lvlJc w:val="left"/>
      <w:pPr>
        <w:ind w:left="0" w:firstLine="0"/>
      </w:pPr>
      <w:rPr>
        <w:rFonts w:hint="eastAsia" w:ascii="宋体" w:hAnsi="宋体" w:eastAsia="宋体" w:cs="宋体"/>
      </w:rPr>
    </w:lvl>
    <w:lvl w:ilvl="4" w:tentative="0">
      <w:start w:val="1"/>
      <w:numFmt w:val="decimal"/>
      <w:pStyle w:val="38"/>
      <w:suff w:val="nothing"/>
      <w:lvlText w:val="(%5)"/>
      <w:lvlJc w:val="left"/>
      <w:pPr>
        <w:ind w:left="0" w:firstLine="0"/>
      </w:pPr>
      <w:rPr>
        <w:rFonts w:hint="eastAsia" w:ascii="宋体" w:hAnsi="宋体" w:eastAsia="宋体" w:cs="宋体"/>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9">
    <w:nsid w:val="EA1AE71F"/>
    <w:multiLevelType w:val="singleLevel"/>
    <w:tmpl w:val="EA1AE71F"/>
    <w:lvl w:ilvl="0" w:tentative="0">
      <w:start w:val="1"/>
      <w:numFmt w:val="decimal"/>
      <w:lvlText w:val="%1."/>
      <w:lvlJc w:val="left"/>
      <w:pPr>
        <w:tabs>
          <w:tab w:val="left" w:pos="312"/>
        </w:tabs>
      </w:pPr>
    </w:lvl>
  </w:abstractNum>
  <w:abstractNum w:abstractNumId="10">
    <w:nsid w:val="EB6083F9"/>
    <w:multiLevelType w:val="singleLevel"/>
    <w:tmpl w:val="EB6083F9"/>
    <w:lvl w:ilvl="0" w:tentative="0">
      <w:start w:val="1"/>
      <w:numFmt w:val="chineseCounting"/>
      <w:suff w:val="nothing"/>
      <w:lvlText w:val="%1、"/>
      <w:lvlJc w:val="left"/>
      <w:pPr>
        <w:ind w:left="0" w:firstLine="420"/>
      </w:pPr>
      <w:rPr>
        <w:rFonts w:hint="eastAsia"/>
      </w:rPr>
    </w:lvl>
  </w:abstractNum>
  <w:abstractNum w:abstractNumId="11">
    <w:nsid w:val="0D3DD0CB"/>
    <w:multiLevelType w:val="singleLevel"/>
    <w:tmpl w:val="0D3DD0CB"/>
    <w:lvl w:ilvl="0" w:tentative="0">
      <w:start w:val="1"/>
      <w:numFmt w:val="decimal"/>
      <w:lvlText w:val="%1."/>
      <w:lvlJc w:val="left"/>
      <w:pPr>
        <w:tabs>
          <w:tab w:val="left" w:pos="312"/>
        </w:tabs>
      </w:pPr>
    </w:lvl>
  </w:abstractNum>
  <w:abstractNum w:abstractNumId="12">
    <w:nsid w:val="18D05056"/>
    <w:multiLevelType w:val="singleLevel"/>
    <w:tmpl w:val="18D05056"/>
    <w:lvl w:ilvl="0" w:tentative="0">
      <w:start w:val="1"/>
      <w:numFmt w:val="decimal"/>
      <w:lvlText w:val="%1."/>
      <w:lvlJc w:val="left"/>
      <w:pPr>
        <w:tabs>
          <w:tab w:val="left" w:pos="312"/>
        </w:tabs>
      </w:pPr>
    </w:lvl>
  </w:abstractNum>
  <w:abstractNum w:abstractNumId="13">
    <w:nsid w:val="23BBA9F2"/>
    <w:multiLevelType w:val="singleLevel"/>
    <w:tmpl w:val="23BBA9F2"/>
    <w:lvl w:ilvl="0" w:tentative="0">
      <w:start w:val="1"/>
      <w:numFmt w:val="decimal"/>
      <w:lvlText w:val="%1."/>
      <w:lvlJc w:val="left"/>
      <w:pPr>
        <w:tabs>
          <w:tab w:val="left" w:pos="312"/>
        </w:tabs>
      </w:pPr>
    </w:lvl>
  </w:abstractNum>
  <w:abstractNum w:abstractNumId="14">
    <w:nsid w:val="3BE96167"/>
    <w:multiLevelType w:val="singleLevel"/>
    <w:tmpl w:val="3BE96167"/>
    <w:lvl w:ilvl="0" w:tentative="0">
      <w:start w:val="1"/>
      <w:numFmt w:val="chineseCounting"/>
      <w:suff w:val="nothing"/>
      <w:lvlText w:val="%1、"/>
      <w:lvlJc w:val="left"/>
      <w:pPr>
        <w:ind w:left="0" w:firstLine="420"/>
      </w:pPr>
      <w:rPr>
        <w:rFonts w:hint="eastAsia"/>
      </w:rPr>
    </w:lvl>
  </w:abstractNum>
  <w:abstractNum w:abstractNumId="15">
    <w:nsid w:val="3C10C3C5"/>
    <w:multiLevelType w:val="singleLevel"/>
    <w:tmpl w:val="3C10C3C5"/>
    <w:lvl w:ilvl="0" w:tentative="0">
      <w:start w:val="1"/>
      <w:numFmt w:val="decimal"/>
      <w:lvlText w:val="%1."/>
      <w:lvlJc w:val="left"/>
      <w:pPr>
        <w:tabs>
          <w:tab w:val="left" w:pos="312"/>
        </w:tabs>
      </w:p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5912557E"/>
    <w:multiLevelType w:val="singleLevel"/>
    <w:tmpl w:val="5912557E"/>
    <w:lvl w:ilvl="0" w:tentative="0">
      <w:start w:val="1"/>
      <w:numFmt w:val="chineseCounting"/>
      <w:suff w:val="nothing"/>
      <w:lvlText w:val="%1、"/>
      <w:lvlJc w:val="left"/>
      <w:rPr>
        <w:rFonts w:hint="eastAsia"/>
      </w:rPr>
    </w:lvl>
  </w:abstractNum>
  <w:abstractNum w:abstractNumId="18">
    <w:nsid w:val="79578A8E"/>
    <w:multiLevelType w:val="singleLevel"/>
    <w:tmpl w:val="79578A8E"/>
    <w:lvl w:ilvl="0" w:tentative="0">
      <w:start w:val="1"/>
      <w:numFmt w:val="decimal"/>
      <w:lvlText w:val="%1"/>
      <w:lvlJc w:val="left"/>
      <w:pPr>
        <w:tabs>
          <w:tab w:val="left" w:pos="0"/>
        </w:tabs>
        <w:ind w:left="0" w:firstLine="0"/>
      </w:pPr>
      <w:rPr>
        <w:rFonts w:hint="default"/>
      </w:rPr>
    </w:lvl>
  </w:abstractNum>
  <w:abstractNum w:abstractNumId="19">
    <w:nsid w:val="7CB2FB7C"/>
    <w:multiLevelType w:val="singleLevel"/>
    <w:tmpl w:val="7CB2FB7C"/>
    <w:lvl w:ilvl="0" w:tentative="0">
      <w:start w:val="1"/>
      <w:numFmt w:val="decimal"/>
      <w:lvlText w:val="%1."/>
      <w:lvlJc w:val="left"/>
      <w:pPr>
        <w:tabs>
          <w:tab w:val="left" w:pos="312"/>
        </w:tabs>
      </w:pPr>
    </w:lvl>
  </w:abstractNum>
  <w:num w:numId="1">
    <w:abstractNumId w:val="8"/>
  </w:num>
  <w:num w:numId="2">
    <w:abstractNumId w:val="16"/>
  </w:num>
  <w:num w:numId="3">
    <w:abstractNumId w:val="3"/>
  </w:num>
  <w:num w:numId="4">
    <w:abstractNumId w:val="4"/>
  </w:num>
  <w:num w:numId="5">
    <w:abstractNumId w:val="2"/>
  </w:num>
  <w:num w:numId="6">
    <w:abstractNumId w:val="5"/>
  </w:num>
  <w:num w:numId="7">
    <w:abstractNumId w:val="14"/>
  </w:num>
  <w:num w:numId="8">
    <w:abstractNumId w:val="18"/>
  </w:num>
  <w:num w:numId="9">
    <w:abstractNumId w:val="9"/>
  </w:num>
  <w:num w:numId="10">
    <w:abstractNumId w:val="17"/>
  </w:num>
  <w:num w:numId="11">
    <w:abstractNumId w:val="11"/>
  </w:num>
  <w:num w:numId="12">
    <w:abstractNumId w:val="12"/>
  </w:num>
  <w:num w:numId="13">
    <w:abstractNumId w:val="19"/>
  </w:num>
  <w:num w:numId="14">
    <w:abstractNumId w:val="7"/>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0"/>
  <w:drawingGridHorizontalSpacing w:val="2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YzA1NDIxM2U5NDM4YjdhOWYzZjU0NGUzNzdkOTgifQ=="/>
  </w:docVars>
  <w:rsids>
    <w:rsidRoot w:val="00172A27"/>
    <w:rsid w:val="0000400A"/>
    <w:rsid w:val="000168D4"/>
    <w:rsid w:val="000504D4"/>
    <w:rsid w:val="00050929"/>
    <w:rsid w:val="00071F90"/>
    <w:rsid w:val="00080967"/>
    <w:rsid w:val="00083410"/>
    <w:rsid w:val="00083A85"/>
    <w:rsid w:val="000902A9"/>
    <w:rsid w:val="000A22EE"/>
    <w:rsid w:val="000D7DD0"/>
    <w:rsid w:val="0010191C"/>
    <w:rsid w:val="00101AE9"/>
    <w:rsid w:val="001025A9"/>
    <w:rsid w:val="0010309E"/>
    <w:rsid w:val="0012071D"/>
    <w:rsid w:val="00127F82"/>
    <w:rsid w:val="00152049"/>
    <w:rsid w:val="00172A27"/>
    <w:rsid w:val="001747EE"/>
    <w:rsid w:val="0017535B"/>
    <w:rsid w:val="00180AAC"/>
    <w:rsid w:val="00190708"/>
    <w:rsid w:val="001B6050"/>
    <w:rsid w:val="001C42C5"/>
    <w:rsid w:val="001E2AED"/>
    <w:rsid w:val="001E6888"/>
    <w:rsid w:val="00212B05"/>
    <w:rsid w:val="002214E7"/>
    <w:rsid w:val="00225683"/>
    <w:rsid w:val="00234073"/>
    <w:rsid w:val="002435A0"/>
    <w:rsid w:val="00243FF7"/>
    <w:rsid w:val="00247B38"/>
    <w:rsid w:val="0025536B"/>
    <w:rsid w:val="002565E2"/>
    <w:rsid w:val="00267611"/>
    <w:rsid w:val="00280B56"/>
    <w:rsid w:val="00282CD9"/>
    <w:rsid w:val="00290AF1"/>
    <w:rsid w:val="002B5D9A"/>
    <w:rsid w:val="002B6AE7"/>
    <w:rsid w:val="002B79CA"/>
    <w:rsid w:val="002E06BF"/>
    <w:rsid w:val="002E1A1C"/>
    <w:rsid w:val="002E5F48"/>
    <w:rsid w:val="002F05A6"/>
    <w:rsid w:val="002F3BB7"/>
    <w:rsid w:val="00315B60"/>
    <w:rsid w:val="003274CB"/>
    <w:rsid w:val="003368A3"/>
    <w:rsid w:val="00344015"/>
    <w:rsid w:val="00346B27"/>
    <w:rsid w:val="00353E82"/>
    <w:rsid w:val="00391C4A"/>
    <w:rsid w:val="00396369"/>
    <w:rsid w:val="003B2228"/>
    <w:rsid w:val="003C13E4"/>
    <w:rsid w:val="003D21F1"/>
    <w:rsid w:val="003E1DCC"/>
    <w:rsid w:val="003F4651"/>
    <w:rsid w:val="00410967"/>
    <w:rsid w:val="00411E40"/>
    <w:rsid w:val="00415E21"/>
    <w:rsid w:val="00445ADF"/>
    <w:rsid w:val="0046727E"/>
    <w:rsid w:val="00481283"/>
    <w:rsid w:val="00482071"/>
    <w:rsid w:val="00483674"/>
    <w:rsid w:val="004861AE"/>
    <w:rsid w:val="00486D20"/>
    <w:rsid w:val="00495036"/>
    <w:rsid w:val="004A6781"/>
    <w:rsid w:val="004A7D40"/>
    <w:rsid w:val="004B4092"/>
    <w:rsid w:val="004E0FDD"/>
    <w:rsid w:val="004F2F95"/>
    <w:rsid w:val="00502679"/>
    <w:rsid w:val="00506600"/>
    <w:rsid w:val="005075D7"/>
    <w:rsid w:val="00526D76"/>
    <w:rsid w:val="00551430"/>
    <w:rsid w:val="00554499"/>
    <w:rsid w:val="00557A19"/>
    <w:rsid w:val="00570E40"/>
    <w:rsid w:val="00573162"/>
    <w:rsid w:val="005F3F05"/>
    <w:rsid w:val="0060449E"/>
    <w:rsid w:val="006058A4"/>
    <w:rsid w:val="006109FE"/>
    <w:rsid w:val="00614BF4"/>
    <w:rsid w:val="00616545"/>
    <w:rsid w:val="00616B6E"/>
    <w:rsid w:val="00633858"/>
    <w:rsid w:val="00635E1D"/>
    <w:rsid w:val="006360BD"/>
    <w:rsid w:val="00670841"/>
    <w:rsid w:val="006708EE"/>
    <w:rsid w:val="006934B4"/>
    <w:rsid w:val="00694C4F"/>
    <w:rsid w:val="006B1D4C"/>
    <w:rsid w:val="006C21DD"/>
    <w:rsid w:val="006F6EF3"/>
    <w:rsid w:val="00722E70"/>
    <w:rsid w:val="00735F80"/>
    <w:rsid w:val="0074524D"/>
    <w:rsid w:val="00784579"/>
    <w:rsid w:val="007B1F36"/>
    <w:rsid w:val="007B50D9"/>
    <w:rsid w:val="007D09EC"/>
    <w:rsid w:val="007F300C"/>
    <w:rsid w:val="008003F4"/>
    <w:rsid w:val="008016F9"/>
    <w:rsid w:val="00803FE9"/>
    <w:rsid w:val="008062AE"/>
    <w:rsid w:val="00811328"/>
    <w:rsid w:val="00815C57"/>
    <w:rsid w:val="00815F35"/>
    <w:rsid w:val="0082614F"/>
    <w:rsid w:val="00850B71"/>
    <w:rsid w:val="0085639C"/>
    <w:rsid w:val="0087454D"/>
    <w:rsid w:val="00890D7F"/>
    <w:rsid w:val="008A0EB1"/>
    <w:rsid w:val="008A2076"/>
    <w:rsid w:val="008E659E"/>
    <w:rsid w:val="008F1529"/>
    <w:rsid w:val="008F1CB6"/>
    <w:rsid w:val="008F39FF"/>
    <w:rsid w:val="008F717E"/>
    <w:rsid w:val="008F74EB"/>
    <w:rsid w:val="00902627"/>
    <w:rsid w:val="0090455E"/>
    <w:rsid w:val="009278AD"/>
    <w:rsid w:val="00931981"/>
    <w:rsid w:val="00932AFD"/>
    <w:rsid w:val="00942ED3"/>
    <w:rsid w:val="00945986"/>
    <w:rsid w:val="00946F94"/>
    <w:rsid w:val="00990893"/>
    <w:rsid w:val="009C43E6"/>
    <w:rsid w:val="009D01D2"/>
    <w:rsid w:val="009E1E4F"/>
    <w:rsid w:val="009F5992"/>
    <w:rsid w:val="00A07369"/>
    <w:rsid w:val="00A23AFB"/>
    <w:rsid w:val="00A3273B"/>
    <w:rsid w:val="00A33E9A"/>
    <w:rsid w:val="00A466E6"/>
    <w:rsid w:val="00A47F1F"/>
    <w:rsid w:val="00A508D1"/>
    <w:rsid w:val="00A54688"/>
    <w:rsid w:val="00A75A1A"/>
    <w:rsid w:val="00A837A5"/>
    <w:rsid w:val="00A95C07"/>
    <w:rsid w:val="00AA4C47"/>
    <w:rsid w:val="00AA51C1"/>
    <w:rsid w:val="00AB65CA"/>
    <w:rsid w:val="00AB67D8"/>
    <w:rsid w:val="00AC2F78"/>
    <w:rsid w:val="00AC5E59"/>
    <w:rsid w:val="00AF3998"/>
    <w:rsid w:val="00B07B2E"/>
    <w:rsid w:val="00B17E42"/>
    <w:rsid w:val="00B31CC3"/>
    <w:rsid w:val="00B44B56"/>
    <w:rsid w:val="00BA614F"/>
    <w:rsid w:val="00BA69F4"/>
    <w:rsid w:val="00BA6D13"/>
    <w:rsid w:val="00BB299F"/>
    <w:rsid w:val="00BE1766"/>
    <w:rsid w:val="00BF0880"/>
    <w:rsid w:val="00BF4E9E"/>
    <w:rsid w:val="00C00F81"/>
    <w:rsid w:val="00C17A63"/>
    <w:rsid w:val="00C32340"/>
    <w:rsid w:val="00C35487"/>
    <w:rsid w:val="00C43BC1"/>
    <w:rsid w:val="00C711E4"/>
    <w:rsid w:val="00CA0AAA"/>
    <w:rsid w:val="00CD401B"/>
    <w:rsid w:val="00CD437E"/>
    <w:rsid w:val="00CD43B3"/>
    <w:rsid w:val="00CD58A7"/>
    <w:rsid w:val="00CE226F"/>
    <w:rsid w:val="00CE7025"/>
    <w:rsid w:val="00CF53F3"/>
    <w:rsid w:val="00D174EB"/>
    <w:rsid w:val="00D23AEC"/>
    <w:rsid w:val="00D373B2"/>
    <w:rsid w:val="00D37D24"/>
    <w:rsid w:val="00D80201"/>
    <w:rsid w:val="00D827D3"/>
    <w:rsid w:val="00D87B92"/>
    <w:rsid w:val="00D87C93"/>
    <w:rsid w:val="00D94D25"/>
    <w:rsid w:val="00DA65C9"/>
    <w:rsid w:val="00DB5C76"/>
    <w:rsid w:val="00DC4298"/>
    <w:rsid w:val="00DC68DD"/>
    <w:rsid w:val="00DD654B"/>
    <w:rsid w:val="00DF10BC"/>
    <w:rsid w:val="00E04823"/>
    <w:rsid w:val="00E2173D"/>
    <w:rsid w:val="00E53568"/>
    <w:rsid w:val="00E60A72"/>
    <w:rsid w:val="00E7258B"/>
    <w:rsid w:val="00E74CE9"/>
    <w:rsid w:val="00E7539A"/>
    <w:rsid w:val="00E76276"/>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714C7"/>
    <w:rsid w:val="00F84E6F"/>
    <w:rsid w:val="00F9177B"/>
    <w:rsid w:val="00F92C30"/>
    <w:rsid w:val="00FD2CEE"/>
    <w:rsid w:val="010F1DA1"/>
    <w:rsid w:val="011E300A"/>
    <w:rsid w:val="013D1C8A"/>
    <w:rsid w:val="013F0F7C"/>
    <w:rsid w:val="01464694"/>
    <w:rsid w:val="015258FF"/>
    <w:rsid w:val="01601E7A"/>
    <w:rsid w:val="016F329F"/>
    <w:rsid w:val="01782F69"/>
    <w:rsid w:val="017C6290"/>
    <w:rsid w:val="01876A1F"/>
    <w:rsid w:val="018B3842"/>
    <w:rsid w:val="018C1643"/>
    <w:rsid w:val="018F03FE"/>
    <w:rsid w:val="01917322"/>
    <w:rsid w:val="019377A3"/>
    <w:rsid w:val="01993D60"/>
    <w:rsid w:val="01A40160"/>
    <w:rsid w:val="01A96BB6"/>
    <w:rsid w:val="01AB6348"/>
    <w:rsid w:val="01AE15BA"/>
    <w:rsid w:val="01B763DC"/>
    <w:rsid w:val="01BC53AC"/>
    <w:rsid w:val="01BD35AB"/>
    <w:rsid w:val="01C20BC1"/>
    <w:rsid w:val="01C91C5F"/>
    <w:rsid w:val="01D57332"/>
    <w:rsid w:val="01DA5F1D"/>
    <w:rsid w:val="01E366FD"/>
    <w:rsid w:val="01EE75D4"/>
    <w:rsid w:val="02132164"/>
    <w:rsid w:val="02195753"/>
    <w:rsid w:val="022117A3"/>
    <w:rsid w:val="022D7471"/>
    <w:rsid w:val="023372E3"/>
    <w:rsid w:val="02362CC5"/>
    <w:rsid w:val="02380E83"/>
    <w:rsid w:val="024669DA"/>
    <w:rsid w:val="024E06A7"/>
    <w:rsid w:val="02676F4A"/>
    <w:rsid w:val="02691984"/>
    <w:rsid w:val="026D704D"/>
    <w:rsid w:val="02735026"/>
    <w:rsid w:val="027655B6"/>
    <w:rsid w:val="02792F82"/>
    <w:rsid w:val="02806689"/>
    <w:rsid w:val="02825F13"/>
    <w:rsid w:val="02833BCB"/>
    <w:rsid w:val="028430AA"/>
    <w:rsid w:val="02867E41"/>
    <w:rsid w:val="028879D9"/>
    <w:rsid w:val="02A1111E"/>
    <w:rsid w:val="02A12F56"/>
    <w:rsid w:val="02A14D74"/>
    <w:rsid w:val="02B43DAD"/>
    <w:rsid w:val="02B71517"/>
    <w:rsid w:val="02BC4E5F"/>
    <w:rsid w:val="02CC42EB"/>
    <w:rsid w:val="02DC1FED"/>
    <w:rsid w:val="02DD3DF1"/>
    <w:rsid w:val="02DE4088"/>
    <w:rsid w:val="02E247AD"/>
    <w:rsid w:val="02E3266E"/>
    <w:rsid w:val="02ED4364"/>
    <w:rsid w:val="02F71628"/>
    <w:rsid w:val="03035935"/>
    <w:rsid w:val="0306250D"/>
    <w:rsid w:val="030B2A3C"/>
    <w:rsid w:val="031218D5"/>
    <w:rsid w:val="031C70D4"/>
    <w:rsid w:val="0321449C"/>
    <w:rsid w:val="03304250"/>
    <w:rsid w:val="033436B4"/>
    <w:rsid w:val="0337738D"/>
    <w:rsid w:val="033F7AFD"/>
    <w:rsid w:val="034175A9"/>
    <w:rsid w:val="034561FE"/>
    <w:rsid w:val="03486A36"/>
    <w:rsid w:val="034E1F5E"/>
    <w:rsid w:val="0350391F"/>
    <w:rsid w:val="035717DD"/>
    <w:rsid w:val="03644B36"/>
    <w:rsid w:val="036E7CB0"/>
    <w:rsid w:val="03770FAA"/>
    <w:rsid w:val="0388610D"/>
    <w:rsid w:val="039261BA"/>
    <w:rsid w:val="03A013D6"/>
    <w:rsid w:val="03B32D25"/>
    <w:rsid w:val="03C23BAF"/>
    <w:rsid w:val="03C249D5"/>
    <w:rsid w:val="03C40ABE"/>
    <w:rsid w:val="03D60077"/>
    <w:rsid w:val="03DC7E66"/>
    <w:rsid w:val="03E3449B"/>
    <w:rsid w:val="03F050BD"/>
    <w:rsid w:val="03F7077E"/>
    <w:rsid w:val="03F90DB1"/>
    <w:rsid w:val="03FB00F1"/>
    <w:rsid w:val="040172D5"/>
    <w:rsid w:val="04053316"/>
    <w:rsid w:val="040746F2"/>
    <w:rsid w:val="041E23EC"/>
    <w:rsid w:val="04256CBB"/>
    <w:rsid w:val="042711D5"/>
    <w:rsid w:val="042E0EC7"/>
    <w:rsid w:val="0431295A"/>
    <w:rsid w:val="0433224A"/>
    <w:rsid w:val="0438590F"/>
    <w:rsid w:val="04455AD9"/>
    <w:rsid w:val="044D771D"/>
    <w:rsid w:val="044F225E"/>
    <w:rsid w:val="0453127A"/>
    <w:rsid w:val="0461636B"/>
    <w:rsid w:val="04671AF4"/>
    <w:rsid w:val="0467789F"/>
    <w:rsid w:val="046F52E9"/>
    <w:rsid w:val="047B1E84"/>
    <w:rsid w:val="047C5E12"/>
    <w:rsid w:val="04802939"/>
    <w:rsid w:val="0482288A"/>
    <w:rsid w:val="04841778"/>
    <w:rsid w:val="04864A9B"/>
    <w:rsid w:val="0488238D"/>
    <w:rsid w:val="04892F7A"/>
    <w:rsid w:val="04A20B39"/>
    <w:rsid w:val="04B830C1"/>
    <w:rsid w:val="04BC5D9C"/>
    <w:rsid w:val="04C0476A"/>
    <w:rsid w:val="04C759C7"/>
    <w:rsid w:val="04C9670A"/>
    <w:rsid w:val="04D035F5"/>
    <w:rsid w:val="04DE5CC1"/>
    <w:rsid w:val="04EB042F"/>
    <w:rsid w:val="04F10481"/>
    <w:rsid w:val="04F30120"/>
    <w:rsid w:val="04F51041"/>
    <w:rsid w:val="04F72D3C"/>
    <w:rsid w:val="04FB6CA5"/>
    <w:rsid w:val="04FF4175"/>
    <w:rsid w:val="05191440"/>
    <w:rsid w:val="05204AF2"/>
    <w:rsid w:val="05232BB3"/>
    <w:rsid w:val="052E656D"/>
    <w:rsid w:val="053C2598"/>
    <w:rsid w:val="054364BD"/>
    <w:rsid w:val="05533444"/>
    <w:rsid w:val="05551283"/>
    <w:rsid w:val="05551447"/>
    <w:rsid w:val="05665D07"/>
    <w:rsid w:val="056D77F4"/>
    <w:rsid w:val="057C1154"/>
    <w:rsid w:val="0586026D"/>
    <w:rsid w:val="059052A1"/>
    <w:rsid w:val="059211F2"/>
    <w:rsid w:val="059377C2"/>
    <w:rsid w:val="05981791"/>
    <w:rsid w:val="05A0746B"/>
    <w:rsid w:val="05AA6ECF"/>
    <w:rsid w:val="05B55267"/>
    <w:rsid w:val="05B60A3D"/>
    <w:rsid w:val="05BD44C2"/>
    <w:rsid w:val="05C14E93"/>
    <w:rsid w:val="05C313AC"/>
    <w:rsid w:val="05EE7A21"/>
    <w:rsid w:val="05F74FD6"/>
    <w:rsid w:val="06015BFD"/>
    <w:rsid w:val="06042A70"/>
    <w:rsid w:val="06157620"/>
    <w:rsid w:val="0616597F"/>
    <w:rsid w:val="0620235A"/>
    <w:rsid w:val="062A4F87"/>
    <w:rsid w:val="062F0344"/>
    <w:rsid w:val="063161BD"/>
    <w:rsid w:val="06322365"/>
    <w:rsid w:val="06336531"/>
    <w:rsid w:val="063B7194"/>
    <w:rsid w:val="0644691C"/>
    <w:rsid w:val="06473E71"/>
    <w:rsid w:val="064C13DA"/>
    <w:rsid w:val="065904CC"/>
    <w:rsid w:val="06607022"/>
    <w:rsid w:val="06640B64"/>
    <w:rsid w:val="06657762"/>
    <w:rsid w:val="066D09E8"/>
    <w:rsid w:val="066D20E0"/>
    <w:rsid w:val="06791870"/>
    <w:rsid w:val="067F52D3"/>
    <w:rsid w:val="06AB172E"/>
    <w:rsid w:val="06AB30A9"/>
    <w:rsid w:val="06AB7088"/>
    <w:rsid w:val="06AC39F1"/>
    <w:rsid w:val="06C12E7B"/>
    <w:rsid w:val="06C14990"/>
    <w:rsid w:val="06C255FB"/>
    <w:rsid w:val="06C466BB"/>
    <w:rsid w:val="06C54CB0"/>
    <w:rsid w:val="06CD24E2"/>
    <w:rsid w:val="06D33870"/>
    <w:rsid w:val="06DC4238"/>
    <w:rsid w:val="06E11AE9"/>
    <w:rsid w:val="06E91B3A"/>
    <w:rsid w:val="06F23D1E"/>
    <w:rsid w:val="06FF392B"/>
    <w:rsid w:val="07057562"/>
    <w:rsid w:val="0724643B"/>
    <w:rsid w:val="072A238A"/>
    <w:rsid w:val="0736320D"/>
    <w:rsid w:val="073B634E"/>
    <w:rsid w:val="073C2D1E"/>
    <w:rsid w:val="074C58DC"/>
    <w:rsid w:val="075615A8"/>
    <w:rsid w:val="07641D0D"/>
    <w:rsid w:val="07662674"/>
    <w:rsid w:val="0767483A"/>
    <w:rsid w:val="076D1160"/>
    <w:rsid w:val="07834FAC"/>
    <w:rsid w:val="078F30CB"/>
    <w:rsid w:val="07A01F66"/>
    <w:rsid w:val="07A31B05"/>
    <w:rsid w:val="07AC0B45"/>
    <w:rsid w:val="07BF6ABC"/>
    <w:rsid w:val="07C40FCD"/>
    <w:rsid w:val="07D21D7A"/>
    <w:rsid w:val="07D879E1"/>
    <w:rsid w:val="07E0507A"/>
    <w:rsid w:val="07E761B7"/>
    <w:rsid w:val="07E91DAA"/>
    <w:rsid w:val="07EB4F03"/>
    <w:rsid w:val="07F41CF0"/>
    <w:rsid w:val="07F73864"/>
    <w:rsid w:val="080203D0"/>
    <w:rsid w:val="080F372F"/>
    <w:rsid w:val="081A6BAD"/>
    <w:rsid w:val="08273974"/>
    <w:rsid w:val="082A73B9"/>
    <w:rsid w:val="082F56F4"/>
    <w:rsid w:val="08372ED5"/>
    <w:rsid w:val="083D7026"/>
    <w:rsid w:val="08400F85"/>
    <w:rsid w:val="08444585"/>
    <w:rsid w:val="084D1037"/>
    <w:rsid w:val="085049F9"/>
    <w:rsid w:val="08505652"/>
    <w:rsid w:val="08541F2D"/>
    <w:rsid w:val="08591B53"/>
    <w:rsid w:val="085D7896"/>
    <w:rsid w:val="086379DD"/>
    <w:rsid w:val="08795873"/>
    <w:rsid w:val="08807C62"/>
    <w:rsid w:val="08874B60"/>
    <w:rsid w:val="08885FE3"/>
    <w:rsid w:val="08903BD8"/>
    <w:rsid w:val="08907099"/>
    <w:rsid w:val="089815BC"/>
    <w:rsid w:val="08A4283A"/>
    <w:rsid w:val="08B0513C"/>
    <w:rsid w:val="08B72C3A"/>
    <w:rsid w:val="08BE07C4"/>
    <w:rsid w:val="08C0336E"/>
    <w:rsid w:val="08C203AB"/>
    <w:rsid w:val="08C665C7"/>
    <w:rsid w:val="08CF3947"/>
    <w:rsid w:val="08D539E3"/>
    <w:rsid w:val="08D84396"/>
    <w:rsid w:val="08DB73B0"/>
    <w:rsid w:val="08DE1C47"/>
    <w:rsid w:val="08EC63BA"/>
    <w:rsid w:val="08EE6DAF"/>
    <w:rsid w:val="08EF3D6F"/>
    <w:rsid w:val="090E0B90"/>
    <w:rsid w:val="09137F54"/>
    <w:rsid w:val="09187ED2"/>
    <w:rsid w:val="091D71CF"/>
    <w:rsid w:val="092D2818"/>
    <w:rsid w:val="09376339"/>
    <w:rsid w:val="093B5F9E"/>
    <w:rsid w:val="09474FBC"/>
    <w:rsid w:val="094D4667"/>
    <w:rsid w:val="095520D8"/>
    <w:rsid w:val="095D0797"/>
    <w:rsid w:val="09640E51"/>
    <w:rsid w:val="096B20A4"/>
    <w:rsid w:val="0978425B"/>
    <w:rsid w:val="0980411B"/>
    <w:rsid w:val="098826BB"/>
    <w:rsid w:val="098E57E7"/>
    <w:rsid w:val="09946A19"/>
    <w:rsid w:val="09B024F6"/>
    <w:rsid w:val="09B421E7"/>
    <w:rsid w:val="09BC791B"/>
    <w:rsid w:val="09BE25B6"/>
    <w:rsid w:val="09C676BC"/>
    <w:rsid w:val="09CA0BB9"/>
    <w:rsid w:val="09CC3BAD"/>
    <w:rsid w:val="09E244D3"/>
    <w:rsid w:val="09E40044"/>
    <w:rsid w:val="09E44204"/>
    <w:rsid w:val="09F410FD"/>
    <w:rsid w:val="09F63AFE"/>
    <w:rsid w:val="0A141092"/>
    <w:rsid w:val="0A157CFC"/>
    <w:rsid w:val="0A18215B"/>
    <w:rsid w:val="0A1C206E"/>
    <w:rsid w:val="0A1F3AFB"/>
    <w:rsid w:val="0A214D17"/>
    <w:rsid w:val="0A2316C1"/>
    <w:rsid w:val="0A374116"/>
    <w:rsid w:val="0A3B1828"/>
    <w:rsid w:val="0A3D4730"/>
    <w:rsid w:val="0A406793"/>
    <w:rsid w:val="0A4F2112"/>
    <w:rsid w:val="0A562EAD"/>
    <w:rsid w:val="0A60366D"/>
    <w:rsid w:val="0A6A4DCF"/>
    <w:rsid w:val="0A6F1B02"/>
    <w:rsid w:val="0A88671B"/>
    <w:rsid w:val="0A8A08A5"/>
    <w:rsid w:val="0A941E7B"/>
    <w:rsid w:val="0A9A0D24"/>
    <w:rsid w:val="0AAE43D8"/>
    <w:rsid w:val="0ABC5CC2"/>
    <w:rsid w:val="0ABF45E0"/>
    <w:rsid w:val="0AC253B8"/>
    <w:rsid w:val="0ACB4F8A"/>
    <w:rsid w:val="0AD029E3"/>
    <w:rsid w:val="0AD20D78"/>
    <w:rsid w:val="0AD319F0"/>
    <w:rsid w:val="0AD95FEE"/>
    <w:rsid w:val="0AEB1D55"/>
    <w:rsid w:val="0AEF28BE"/>
    <w:rsid w:val="0AFB1A29"/>
    <w:rsid w:val="0AFC7C23"/>
    <w:rsid w:val="0B030A0E"/>
    <w:rsid w:val="0B165FCB"/>
    <w:rsid w:val="0B27100A"/>
    <w:rsid w:val="0B283403"/>
    <w:rsid w:val="0B302931"/>
    <w:rsid w:val="0B373A25"/>
    <w:rsid w:val="0B380146"/>
    <w:rsid w:val="0B3F7726"/>
    <w:rsid w:val="0B490628"/>
    <w:rsid w:val="0B4D084E"/>
    <w:rsid w:val="0B5001FD"/>
    <w:rsid w:val="0B5D62E7"/>
    <w:rsid w:val="0B5E6C1B"/>
    <w:rsid w:val="0B7C78A1"/>
    <w:rsid w:val="0B8E3A06"/>
    <w:rsid w:val="0B94665C"/>
    <w:rsid w:val="0B964EC9"/>
    <w:rsid w:val="0B9B3CCE"/>
    <w:rsid w:val="0B9D5FFB"/>
    <w:rsid w:val="0BA62356"/>
    <w:rsid w:val="0BA63302"/>
    <w:rsid w:val="0BB91FA4"/>
    <w:rsid w:val="0BC71F3A"/>
    <w:rsid w:val="0BCF0D6E"/>
    <w:rsid w:val="0BDA2FAB"/>
    <w:rsid w:val="0BDD0790"/>
    <w:rsid w:val="0BDD4638"/>
    <w:rsid w:val="0BF5093F"/>
    <w:rsid w:val="0C095932"/>
    <w:rsid w:val="0C0D7E74"/>
    <w:rsid w:val="0C0E77A3"/>
    <w:rsid w:val="0C154760"/>
    <w:rsid w:val="0C166DCE"/>
    <w:rsid w:val="0C371FE2"/>
    <w:rsid w:val="0C426E10"/>
    <w:rsid w:val="0C4358FB"/>
    <w:rsid w:val="0C593A85"/>
    <w:rsid w:val="0C6236CC"/>
    <w:rsid w:val="0C6658D4"/>
    <w:rsid w:val="0C6C00A7"/>
    <w:rsid w:val="0C6F3B75"/>
    <w:rsid w:val="0C7F1DC2"/>
    <w:rsid w:val="0C825B1D"/>
    <w:rsid w:val="0C87727B"/>
    <w:rsid w:val="0C8C56BB"/>
    <w:rsid w:val="0CA53F3A"/>
    <w:rsid w:val="0CA87886"/>
    <w:rsid w:val="0CAF57CC"/>
    <w:rsid w:val="0CB41A43"/>
    <w:rsid w:val="0CB952B6"/>
    <w:rsid w:val="0CBD53F9"/>
    <w:rsid w:val="0CC06DC6"/>
    <w:rsid w:val="0CC12374"/>
    <w:rsid w:val="0CCC52F8"/>
    <w:rsid w:val="0CD023D1"/>
    <w:rsid w:val="0CDA7707"/>
    <w:rsid w:val="0CDC30C8"/>
    <w:rsid w:val="0CE9136E"/>
    <w:rsid w:val="0CE94F94"/>
    <w:rsid w:val="0CED067B"/>
    <w:rsid w:val="0CFC6488"/>
    <w:rsid w:val="0D004C93"/>
    <w:rsid w:val="0D1158BC"/>
    <w:rsid w:val="0D1D5BF4"/>
    <w:rsid w:val="0D2210AE"/>
    <w:rsid w:val="0D290E15"/>
    <w:rsid w:val="0D2E7CDA"/>
    <w:rsid w:val="0D3161DB"/>
    <w:rsid w:val="0D38710E"/>
    <w:rsid w:val="0D3A5B22"/>
    <w:rsid w:val="0D3A63F7"/>
    <w:rsid w:val="0D443071"/>
    <w:rsid w:val="0D4A61F6"/>
    <w:rsid w:val="0D5A4C9D"/>
    <w:rsid w:val="0D5E127F"/>
    <w:rsid w:val="0D636535"/>
    <w:rsid w:val="0D652404"/>
    <w:rsid w:val="0D692839"/>
    <w:rsid w:val="0D7824BD"/>
    <w:rsid w:val="0D790005"/>
    <w:rsid w:val="0D793F75"/>
    <w:rsid w:val="0D8323B8"/>
    <w:rsid w:val="0D8D3FD0"/>
    <w:rsid w:val="0D941DD9"/>
    <w:rsid w:val="0D947DEF"/>
    <w:rsid w:val="0D9960F6"/>
    <w:rsid w:val="0D9B3836"/>
    <w:rsid w:val="0D9D017D"/>
    <w:rsid w:val="0DA0651A"/>
    <w:rsid w:val="0DAF57C7"/>
    <w:rsid w:val="0DB1600D"/>
    <w:rsid w:val="0DB87064"/>
    <w:rsid w:val="0DC23414"/>
    <w:rsid w:val="0DC45258"/>
    <w:rsid w:val="0DD37D4F"/>
    <w:rsid w:val="0DF20A80"/>
    <w:rsid w:val="0E0974BC"/>
    <w:rsid w:val="0E0D58BA"/>
    <w:rsid w:val="0E105F97"/>
    <w:rsid w:val="0E117299"/>
    <w:rsid w:val="0E1D4C94"/>
    <w:rsid w:val="0E1E01D2"/>
    <w:rsid w:val="0E237ECF"/>
    <w:rsid w:val="0E29601F"/>
    <w:rsid w:val="0E2A646C"/>
    <w:rsid w:val="0E2C57A6"/>
    <w:rsid w:val="0E3B4AAC"/>
    <w:rsid w:val="0E406DCA"/>
    <w:rsid w:val="0E444E25"/>
    <w:rsid w:val="0E4528EE"/>
    <w:rsid w:val="0E463F6A"/>
    <w:rsid w:val="0E4E095A"/>
    <w:rsid w:val="0E511B01"/>
    <w:rsid w:val="0E533A22"/>
    <w:rsid w:val="0E5400D2"/>
    <w:rsid w:val="0E5852DB"/>
    <w:rsid w:val="0E5D50FC"/>
    <w:rsid w:val="0E5E0B3E"/>
    <w:rsid w:val="0E676C43"/>
    <w:rsid w:val="0E6E07F5"/>
    <w:rsid w:val="0E7E2314"/>
    <w:rsid w:val="0E80608C"/>
    <w:rsid w:val="0E8D2FCC"/>
    <w:rsid w:val="0E9658AF"/>
    <w:rsid w:val="0E9944EA"/>
    <w:rsid w:val="0EA0228A"/>
    <w:rsid w:val="0EA578A0"/>
    <w:rsid w:val="0EB331E4"/>
    <w:rsid w:val="0EB5186D"/>
    <w:rsid w:val="0EBA7291"/>
    <w:rsid w:val="0EC73CBB"/>
    <w:rsid w:val="0ED45063"/>
    <w:rsid w:val="0EE00334"/>
    <w:rsid w:val="0EEC54CF"/>
    <w:rsid w:val="0F090320"/>
    <w:rsid w:val="0F296FB7"/>
    <w:rsid w:val="0F2D4847"/>
    <w:rsid w:val="0F3A26DF"/>
    <w:rsid w:val="0F3B6457"/>
    <w:rsid w:val="0F3E4FBF"/>
    <w:rsid w:val="0F4277E5"/>
    <w:rsid w:val="0F451083"/>
    <w:rsid w:val="0F4527B9"/>
    <w:rsid w:val="0F503CB0"/>
    <w:rsid w:val="0F552295"/>
    <w:rsid w:val="0F555D3E"/>
    <w:rsid w:val="0F68165A"/>
    <w:rsid w:val="0F7331B1"/>
    <w:rsid w:val="0F790888"/>
    <w:rsid w:val="0F830CF9"/>
    <w:rsid w:val="0F8807D3"/>
    <w:rsid w:val="0F961643"/>
    <w:rsid w:val="0F985025"/>
    <w:rsid w:val="0F993EA0"/>
    <w:rsid w:val="0FA715B7"/>
    <w:rsid w:val="0FA8483D"/>
    <w:rsid w:val="0FAB0735"/>
    <w:rsid w:val="0FAB73CF"/>
    <w:rsid w:val="0FBA136E"/>
    <w:rsid w:val="0FC67596"/>
    <w:rsid w:val="0FD0094D"/>
    <w:rsid w:val="0FD23538"/>
    <w:rsid w:val="0FEA7956"/>
    <w:rsid w:val="0FED54E5"/>
    <w:rsid w:val="0FF22FB9"/>
    <w:rsid w:val="0FF24D67"/>
    <w:rsid w:val="0FF2619D"/>
    <w:rsid w:val="0FF91388"/>
    <w:rsid w:val="10002E78"/>
    <w:rsid w:val="10051186"/>
    <w:rsid w:val="10082322"/>
    <w:rsid w:val="100827DD"/>
    <w:rsid w:val="100A088B"/>
    <w:rsid w:val="101E557F"/>
    <w:rsid w:val="10206168"/>
    <w:rsid w:val="10220902"/>
    <w:rsid w:val="10262C63"/>
    <w:rsid w:val="102832C0"/>
    <w:rsid w:val="1030329B"/>
    <w:rsid w:val="103627B4"/>
    <w:rsid w:val="10476538"/>
    <w:rsid w:val="107921C2"/>
    <w:rsid w:val="107A6B0B"/>
    <w:rsid w:val="107D4754"/>
    <w:rsid w:val="107E07FE"/>
    <w:rsid w:val="10805044"/>
    <w:rsid w:val="108654B0"/>
    <w:rsid w:val="108A45AA"/>
    <w:rsid w:val="108B5C75"/>
    <w:rsid w:val="1090632E"/>
    <w:rsid w:val="10927871"/>
    <w:rsid w:val="109B2457"/>
    <w:rsid w:val="10A80202"/>
    <w:rsid w:val="10A86948"/>
    <w:rsid w:val="10A91F3A"/>
    <w:rsid w:val="10BD4B6E"/>
    <w:rsid w:val="10C05016"/>
    <w:rsid w:val="10CF50A9"/>
    <w:rsid w:val="10DC5341"/>
    <w:rsid w:val="10DC5DE2"/>
    <w:rsid w:val="10DE77F2"/>
    <w:rsid w:val="10E55858"/>
    <w:rsid w:val="10E8122E"/>
    <w:rsid w:val="10F16B8E"/>
    <w:rsid w:val="10F973AA"/>
    <w:rsid w:val="11002024"/>
    <w:rsid w:val="1101215E"/>
    <w:rsid w:val="1107086A"/>
    <w:rsid w:val="110C00AB"/>
    <w:rsid w:val="112673D2"/>
    <w:rsid w:val="11272A81"/>
    <w:rsid w:val="11323E5A"/>
    <w:rsid w:val="11343C71"/>
    <w:rsid w:val="1140061F"/>
    <w:rsid w:val="11420D5D"/>
    <w:rsid w:val="11511756"/>
    <w:rsid w:val="11596BD4"/>
    <w:rsid w:val="1166278E"/>
    <w:rsid w:val="116A6B7F"/>
    <w:rsid w:val="118151C6"/>
    <w:rsid w:val="11871BD0"/>
    <w:rsid w:val="119F4A7B"/>
    <w:rsid w:val="11A3453B"/>
    <w:rsid w:val="11AF7CCD"/>
    <w:rsid w:val="11B13A44"/>
    <w:rsid w:val="11B64B9D"/>
    <w:rsid w:val="11C219B6"/>
    <w:rsid w:val="11C34C5A"/>
    <w:rsid w:val="11CE54FA"/>
    <w:rsid w:val="11D64215"/>
    <w:rsid w:val="11D7281B"/>
    <w:rsid w:val="11D93657"/>
    <w:rsid w:val="11DD37F5"/>
    <w:rsid w:val="11DD55A3"/>
    <w:rsid w:val="11E62926"/>
    <w:rsid w:val="11E7019B"/>
    <w:rsid w:val="12041F1C"/>
    <w:rsid w:val="120C30E2"/>
    <w:rsid w:val="121D1E44"/>
    <w:rsid w:val="124675EC"/>
    <w:rsid w:val="12486EC1"/>
    <w:rsid w:val="125C1D36"/>
    <w:rsid w:val="125D03B5"/>
    <w:rsid w:val="126F4111"/>
    <w:rsid w:val="126F5ED9"/>
    <w:rsid w:val="128A25F6"/>
    <w:rsid w:val="128B7C0F"/>
    <w:rsid w:val="1299328B"/>
    <w:rsid w:val="12A04B9A"/>
    <w:rsid w:val="12A30DA6"/>
    <w:rsid w:val="12B50BED"/>
    <w:rsid w:val="12C23A7C"/>
    <w:rsid w:val="12C32F26"/>
    <w:rsid w:val="12C6156A"/>
    <w:rsid w:val="12CA4DA3"/>
    <w:rsid w:val="12D20E80"/>
    <w:rsid w:val="12D37006"/>
    <w:rsid w:val="12D919C1"/>
    <w:rsid w:val="12E61CD4"/>
    <w:rsid w:val="12E94BA8"/>
    <w:rsid w:val="12F55F70"/>
    <w:rsid w:val="13021765"/>
    <w:rsid w:val="1304111F"/>
    <w:rsid w:val="13041B90"/>
    <w:rsid w:val="130A3353"/>
    <w:rsid w:val="130B7334"/>
    <w:rsid w:val="13197966"/>
    <w:rsid w:val="131B0C66"/>
    <w:rsid w:val="13380869"/>
    <w:rsid w:val="13525B1D"/>
    <w:rsid w:val="135C15A5"/>
    <w:rsid w:val="136B30DD"/>
    <w:rsid w:val="13755EB2"/>
    <w:rsid w:val="13800B97"/>
    <w:rsid w:val="13877DCB"/>
    <w:rsid w:val="13881341"/>
    <w:rsid w:val="13887B1A"/>
    <w:rsid w:val="13904FC3"/>
    <w:rsid w:val="139F2E5E"/>
    <w:rsid w:val="13A04ADA"/>
    <w:rsid w:val="13A23B9A"/>
    <w:rsid w:val="13A35911"/>
    <w:rsid w:val="13A47BFE"/>
    <w:rsid w:val="13A646F2"/>
    <w:rsid w:val="13AD2096"/>
    <w:rsid w:val="13AE0DA1"/>
    <w:rsid w:val="13B773EB"/>
    <w:rsid w:val="13C4002F"/>
    <w:rsid w:val="13C63319"/>
    <w:rsid w:val="13C7475D"/>
    <w:rsid w:val="13E67824"/>
    <w:rsid w:val="13ED6898"/>
    <w:rsid w:val="140137CB"/>
    <w:rsid w:val="14063E97"/>
    <w:rsid w:val="14166484"/>
    <w:rsid w:val="14171240"/>
    <w:rsid w:val="14197E9B"/>
    <w:rsid w:val="14242A9B"/>
    <w:rsid w:val="14293FDD"/>
    <w:rsid w:val="142B4770"/>
    <w:rsid w:val="143105E6"/>
    <w:rsid w:val="14335E33"/>
    <w:rsid w:val="144E2788"/>
    <w:rsid w:val="144F3B92"/>
    <w:rsid w:val="145D7218"/>
    <w:rsid w:val="145E21A7"/>
    <w:rsid w:val="14663754"/>
    <w:rsid w:val="146D0E60"/>
    <w:rsid w:val="1470604A"/>
    <w:rsid w:val="1479294C"/>
    <w:rsid w:val="148037BC"/>
    <w:rsid w:val="14857BC8"/>
    <w:rsid w:val="148A09EC"/>
    <w:rsid w:val="148E0DD7"/>
    <w:rsid w:val="14960E91"/>
    <w:rsid w:val="149E54BE"/>
    <w:rsid w:val="14A979BF"/>
    <w:rsid w:val="14B4083D"/>
    <w:rsid w:val="14BE3BD0"/>
    <w:rsid w:val="14C03686"/>
    <w:rsid w:val="14CA2C11"/>
    <w:rsid w:val="14CB202B"/>
    <w:rsid w:val="14CF2CA5"/>
    <w:rsid w:val="14D4721A"/>
    <w:rsid w:val="14D53920"/>
    <w:rsid w:val="14D94748"/>
    <w:rsid w:val="14DB226E"/>
    <w:rsid w:val="14DE3402"/>
    <w:rsid w:val="14E36FB1"/>
    <w:rsid w:val="14E60E10"/>
    <w:rsid w:val="14E813D5"/>
    <w:rsid w:val="14F71157"/>
    <w:rsid w:val="15072773"/>
    <w:rsid w:val="15127C5A"/>
    <w:rsid w:val="151D60E3"/>
    <w:rsid w:val="152165F3"/>
    <w:rsid w:val="1530340C"/>
    <w:rsid w:val="15443470"/>
    <w:rsid w:val="154D2A40"/>
    <w:rsid w:val="154F09D4"/>
    <w:rsid w:val="155A6AAB"/>
    <w:rsid w:val="155B6F0B"/>
    <w:rsid w:val="155D44F6"/>
    <w:rsid w:val="1568195A"/>
    <w:rsid w:val="156825AE"/>
    <w:rsid w:val="157648A9"/>
    <w:rsid w:val="157B7989"/>
    <w:rsid w:val="157D25F1"/>
    <w:rsid w:val="158013B3"/>
    <w:rsid w:val="15897466"/>
    <w:rsid w:val="159266A5"/>
    <w:rsid w:val="159D2AA8"/>
    <w:rsid w:val="15BC3A0F"/>
    <w:rsid w:val="15BF05AC"/>
    <w:rsid w:val="15CF3C06"/>
    <w:rsid w:val="15CF6FF0"/>
    <w:rsid w:val="15D62A35"/>
    <w:rsid w:val="15E044A0"/>
    <w:rsid w:val="15E40909"/>
    <w:rsid w:val="15E72E94"/>
    <w:rsid w:val="15EF3AF7"/>
    <w:rsid w:val="15F32BDF"/>
    <w:rsid w:val="15F95FB4"/>
    <w:rsid w:val="15F97B47"/>
    <w:rsid w:val="16071DD9"/>
    <w:rsid w:val="1609105D"/>
    <w:rsid w:val="160C5D02"/>
    <w:rsid w:val="16184098"/>
    <w:rsid w:val="161F7166"/>
    <w:rsid w:val="162426FB"/>
    <w:rsid w:val="16290D5F"/>
    <w:rsid w:val="162C4C37"/>
    <w:rsid w:val="163409FD"/>
    <w:rsid w:val="163F05DA"/>
    <w:rsid w:val="164925E6"/>
    <w:rsid w:val="16564ED8"/>
    <w:rsid w:val="166556E6"/>
    <w:rsid w:val="16695F27"/>
    <w:rsid w:val="166B2C03"/>
    <w:rsid w:val="166B2D98"/>
    <w:rsid w:val="167A093E"/>
    <w:rsid w:val="167E6CA3"/>
    <w:rsid w:val="167F4B95"/>
    <w:rsid w:val="169327D0"/>
    <w:rsid w:val="169D0E74"/>
    <w:rsid w:val="16A0455F"/>
    <w:rsid w:val="16A25BC1"/>
    <w:rsid w:val="16AB4CC3"/>
    <w:rsid w:val="16BC7E7D"/>
    <w:rsid w:val="16BD04E5"/>
    <w:rsid w:val="16C419E8"/>
    <w:rsid w:val="16D1700E"/>
    <w:rsid w:val="16DA045E"/>
    <w:rsid w:val="16E21427"/>
    <w:rsid w:val="16E57675"/>
    <w:rsid w:val="16E66CA8"/>
    <w:rsid w:val="16EB53B1"/>
    <w:rsid w:val="17033117"/>
    <w:rsid w:val="170535D2"/>
    <w:rsid w:val="170A61ED"/>
    <w:rsid w:val="170C6A21"/>
    <w:rsid w:val="170C751B"/>
    <w:rsid w:val="1711641B"/>
    <w:rsid w:val="17166620"/>
    <w:rsid w:val="17174AB2"/>
    <w:rsid w:val="172B1C15"/>
    <w:rsid w:val="172F59B8"/>
    <w:rsid w:val="173C59AC"/>
    <w:rsid w:val="173E4D36"/>
    <w:rsid w:val="173F20E2"/>
    <w:rsid w:val="174D4F79"/>
    <w:rsid w:val="175D4AA9"/>
    <w:rsid w:val="17606A5A"/>
    <w:rsid w:val="17740853"/>
    <w:rsid w:val="177F62FA"/>
    <w:rsid w:val="1780009A"/>
    <w:rsid w:val="178E0BAF"/>
    <w:rsid w:val="1791130A"/>
    <w:rsid w:val="17987B34"/>
    <w:rsid w:val="17990FA9"/>
    <w:rsid w:val="17A10E21"/>
    <w:rsid w:val="17B60D70"/>
    <w:rsid w:val="17C271C7"/>
    <w:rsid w:val="17DE3FD2"/>
    <w:rsid w:val="17E21B65"/>
    <w:rsid w:val="17E25684"/>
    <w:rsid w:val="17EC02EE"/>
    <w:rsid w:val="17F3167D"/>
    <w:rsid w:val="17F51899"/>
    <w:rsid w:val="17FA253A"/>
    <w:rsid w:val="18071145"/>
    <w:rsid w:val="180D1861"/>
    <w:rsid w:val="1824021D"/>
    <w:rsid w:val="182727AA"/>
    <w:rsid w:val="182A0E16"/>
    <w:rsid w:val="182C3C1D"/>
    <w:rsid w:val="182E4DAB"/>
    <w:rsid w:val="183737F8"/>
    <w:rsid w:val="18424965"/>
    <w:rsid w:val="18527BEC"/>
    <w:rsid w:val="185D48BA"/>
    <w:rsid w:val="18690252"/>
    <w:rsid w:val="186A253C"/>
    <w:rsid w:val="187327BD"/>
    <w:rsid w:val="187602DD"/>
    <w:rsid w:val="18764A71"/>
    <w:rsid w:val="18782953"/>
    <w:rsid w:val="187D11D8"/>
    <w:rsid w:val="18851020"/>
    <w:rsid w:val="188651E4"/>
    <w:rsid w:val="1890511D"/>
    <w:rsid w:val="18921538"/>
    <w:rsid w:val="189E12C3"/>
    <w:rsid w:val="189E32A4"/>
    <w:rsid w:val="189E6C73"/>
    <w:rsid w:val="18A64941"/>
    <w:rsid w:val="18AC4201"/>
    <w:rsid w:val="18B47A70"/>
    <w:rsid w:val="18BD055D"/>
    <w:rsid w:val="18C04A46"/>
    <w:rsid w:val="18C4037B"/>
    <w:rsid w:val="18C748B7"/>
    <w:rsid w:val="18D72014"/>
    <w:rsid w:val="18D764B0"/>
    <w:rsid w:val="18D92B7A"/>
    <w:rsid w:val="18DA0A8E"/>
    <w:rsid w:val="18FF308F"/>
    <w:rsid w:val="19094ED0"/>
    <w:rsid w:val="190A1374"/>
    <w:rsid w:val="19263C11"/>
    <w:rsid w:val="19351878"/>
    <w:rsid w:val="19364034"/>
    <w:rsid w:val="193D5EB3"/>
    <w:rsid w:val="1940240E"/>
    <w:rsid w:val="194B6D06"/>
    <w:rsid w:val="194F0096"/>
    <w:rsid w:val="19580F07"/>
    <w:rsid w:val="19605FFF"/>
    <w:rsid w:val="196842EC"/>
    <w:rsid w:val="196C060A"/>
    <w:rsid w:val="196E66EE"/>
    <w:rsid w:val="197226D6"/>
    <w:rsid w:val="197B045A"/>
    <w:rsid w:val="197D1E58"/>
    <w:rsid w:val="19911370"/>
    <w:rsid w:val="19981B0B"/>
    <w:rsid w:val="19A57A33"/>
    <w:rsid w:val="19A60597"/>
    <w:rsid w:val="19A748CE"/>
    <w:rsid w:val="19B53F29"/>
    <w:rsid w:val="19B72B7E"/>
    <w:rsid w:val="19BB4AC7"/>
    <w:rsid w:val="19C257AA"/>
    <w:rsid w:val="19DE010A"/>
    <w:rsid w:val="19ED1019"/>
    <w:rsid w:val="19F30FD0"/>
    <w:rsid w:val="19FC580C"/>
    <w:rsid w:val="1A084634"/>
    <w:rsid w:val="1A0931E6"/>
    <w:rsid w:val="1A0933D9"/>
    <w:rsid w:val="1A0B22C7"/>
    <w:rsid w:val="1A107534"/>
    <w:rsid w:val="1A1B26CF"/>
    <w:rsid w:val="1A1D39FB"/>
    <w:rsid w:val="1A240213"/>
    <w:rsid w:val="1A275744"/>
    <w:rsid w:val="1A2C6661"/>
    <w:rsid w:val="1A332694"/>
    <w:rsid w:val="1A33410B"/>
    <w:rsid w:val="1A3D4066"/>
    <w:rsid w:val="1A422421"/>
    <w:rsid w:val="1A454BBD"/>
    <w:rsid w:val="1A50247D"/>
    <w:rsid w:val="1A5605E9"/>
    <w:rsid w:val="1A5846A0"/>
    <w:rsid w:val="1A5B75BD"/>
    <w:rsid w:val="1A5C1E8C"/>
    <w:rsid w:val="1A5F4086"/>
    <w:rsid w:val="1A684E92"/>
    <w:rsid w:val="1A8A4647"/>
    <w:rsid w:val="1A9609E5"/>
    <w:rsid w:val="1A9723B6"/>
    <w:rsid w:val="1A984C5D"/>
    <w:rsid w:val="1AA34AA6"/>
    <w:rsid w:val="1AA83ACA"/>
    <w:rsid w:val="1AA93183"/>
    <w:rsid w:val="1AAC781B"/>
    <w:rsid w:val="1AB44A07"/>
    <w:rsid w:val="1AB803AE"/>
    <w:rsid w:val="1AB927E6"/>
    <w:rsid w:val="1AC75042"/>
    <w:rsid w:val="1AC90DBB"/>
    <w:rsid w:val="1AD41623"/>
    <w:rsid w:val="1ADA1B4E"/>
    <w:rsid w:val="1AED05E1"/>
    <w:rsid w:val="1AF00F47"/>
    <w:rsid w:val="1AF046CF"/>
    <w:rsid w:val="1AF16568"/>
    <w:rsid w:val="1AFF658A"/>
    <w:rsid w:val="1B040045"/>
    <w:rsid w:val="1B074284"/>
    <w:rsid w:val="1B143739"/>
    <w:rsid w:val="1B21661A"/>
    <w:rsid w:val="1B24725D"/>
    <w:rsid w:val="1B2B048F"/>
    <w:rsid w:val="1B301CAE"/>
    <w:rsid w:val="1B44289D"/>
    <w:rsid w:val="1B4A2D9D"/>
    <w:rsid w:val="1B4D4C2F"/>
    <w:rsid w:val="1B4F12C0"/>
    <w:rsid w:val="1B5752AC"/>
    <w:rsid w:val="1B5E72DC"/>
    <w:rsid w:val="1B67625B"/>
    <w:rsid w:val="1B6B043B"/>
    <w:rsid w:val="1B6B336B"/>
    <w:rsid w:val="1B6D18C5"/>
    <w:rsid w:val="1B6E424D"/>
    <w:rsid w:val="1B863F0D"/>
    <w:rsid w:val="1B9369D7"/>
    <w:rsid w:val="1B9534FE"/>
    <w:rsid w:val="1B9E5564"/>
    <w:rsid w:val="1BAF5377"/>
    <w:rsid w:val="1BB15F13"/>
    <w:rsid w:val="1BB678D9"/>
    <w:rsid w:val="1BBF4AED"/>
    <w:rsid w:val="1BCB3B13"/>
    <w:rsid w:val="1BD97AB4"/>
    <w:rsid w:val="1BFA4214"/>
    <w:rsid w:val="1C071B9A"/>
    <w:rsid w:val="1C146D3D"/>
    <w:rsid w:val="1C19483C"/>
    <w:rsid w:val="1C1D13BE"/>
    <w:rsid w:val="1C213008"/>
    <w:rsid w:val="1C2C1382"/>
    <w:rsid w:val="1C347AE7"/>
    <w:rsid w:val="1C3709C2"/>
    <w:rsid w:val="1C3F5A29"/>
    <w:rsid w:val="1C5172BA"/>
    <w:rsid w:val="1C533032"/>
    <w:rsid w:val="1C680DA8"/>
    <w:rsid w:val="1C6D2061"/>
    <w:rsid w:val="1C73352D"/>
    <w:rsid w:val="1C7F0A0D"/>
    <w:rsid w:val="1C874A89"/>
    <w:rsid w:val="1C883EE2"/>
    <w:rsid w:val="1C8A5704"/>
    <w:rsid w:val="1C993644"/>
    <w:rsid w:val="1CA30814"/>
    <w:rsid w:val="1CA40989"/>
    <w:rsid w:val="1CA411B8"/>
    <w:rsid w:val="1CA91C58"/>
    <w:rsid w:val="1CAE2016"/>
    <w:rsid w:val="1CAE730B"/>
    <w:rsid w:val="1CB64E6F"/>
    <w:rsid w:val="1CBC0BD7"/>
    <w:rsid w:val="1CD11261"/>
    <w:rsid w:val="1CD6156D"/>
    <w:rsid w:val="1CE211FC"/>
    <w:rsid w:val="1CE974F2"/>
    <w:rsid w:val="1CF333E6"/>
    <w:rsid w:val="1CF87735"/>
    <w:rsid w:val="1CFF0AC4"/>
    <w:rsid w:val="1D0565E2"/>
    <w:rsid w:val="1D1C5DA2"/>
    <w:rsid w:val="1D2122A1"/>
    <w:rsid w:val="1D2357FD"/>
    <w:rsid w:val="1D2D51F1"/>
    <w:rsid w:val="1D300C7D"/>
    <w:rsid w:val="1D3249F5"/>
    <w:rsid w:val="1D37486F"/>
    <w:rsid w:val="1D42071E"/>
    <w:rsid w:val="1D4856D1"/>
    <w:rsid w:val="1D4C2B5B"/>
    <w:rsid w:val="1D6257AE"/>
    <w:rsid w:val="1D677324"/>
    <w:rsid w:val="1D6E2D29"/>
    <w:rsid w:val="1D782040"/>
    <w:rsid w:val="1D8C6A7E"/>
    <w:rsid w:val="1D8E167F"/>
    <w:rsid w:val="1D9531D6"/>
    <w:rsid w:val="1D9778CB"/>
    <w:rsid w:val="1DAF4FB1"/>
    <w:rsid w:val="1DB01D77"/>
    <w:rsid w:val="1DB95872"/>
    <w:rsid w:val="1DBD7240"/>
    <w:rsid w:val="1DC07134"/>
    <w:rsid w:val="1DC15568"/>
    <w:rsid w:val="1DC77F7C"/>
    <w:rsid w:val="1DCE2AB1"/>
    <w:rsid w:val="1DD0335C"/>
    <w:rsid w:val="1DD51824"/>
    <w:rsid w:val="1DD620D3"/>
    <w:rsid w:val="1DD65CC8"/>
    <w:rsid w:val="1DD7570D"/>
    <w:rsid w:val="1DDB508D"/>
    <w:rsid w:val="1DDE1182"/>
    <w:rsid w:val="1DDE2DCF"/>
    <w:rsid w:val="1DE5415D"/>
    <w:rsid w:val="1DED6B6E"/>
    <w:rsid w:val="1DF0665E"/>
    <w:rsid w:val="1DFC3B16"/>
    <w:rsid w:val="1E071D72"/>
    <w:rsid w:val="1E125CB7"/>
    <w:rsid w:val="1E1E21E7"/>
    <w:rsid w:val="1E2566DA"/>
    <w:rsid w:val="1E2D48C4"/>
    <w:rsid w:val="1E32366D"/>
    <w:rsid w:val="1E36628C"/>
    <w:rsid w:val="1E3B46CC"/>
    <w:rsid w:val="1E510853"/>
    <w:rsid w:val="1E57604D"/>
    <w:rsid w:val="1E635018"/>
    <w:rsid w:val="1E656782"/>
    <w:rsid w:val="1E814CED"/>
    <w:rsid w:val="1E8469F9"/>
    <w:rsid w:val="1E92658B"/>
    <w:rsid w:val="1E9C5B42"/>
    <w:rsid w:val="1E9C5BFF"/>
    <w:rsid w:val="1EA53511"/>
    <w:rsid w:val="1EA672D8"/>
    <w:rsid w:val="1ECC3FFD"/>
    <w:rsid w:val="1ED2384F"/>
    <w:rsid w:val="1ED9232C"/>
    <w:rsid w:val="1EDD43FA"/>
    <w:rsid w:val="1EDF476D"/>
    <w:rsid w:val="1EE241F9"/>
    <w:rsid w:val="1EEA697A"/>
    <w:rsid w:val="1EEC0C5C"/>
    <w:rsid w:val="1F176E60"/>
    <w:rsid w:val="1F1A3993"/>
    <w:rsid w:val="1F37018C"/>
    <w:rsid w:val="1F447B60"/>
    <w:rsid w:val="1F455558"/>
    <w:rsid w:val="1F494278"/>
    <w:rsid w:val="1F4C1597"/>
    <w:rsid w:val="1F51433D"/>
    <w:rsid w:val="1F5500CB"/>
    <w:rsid w:val="1F5B5AF9"/>
    <w:rsid w:val="1F7574A3"/>
    <w:rsid w:val="1F7C2691"/>
    <w:rsid w:val="1F9A340A"/>
    <w:rsid w:val="1FA24F7F"/>
    <w:rsid w:val="1FB26162"/>
    <w:rsid w:val="1FB31A5F"/>
    <w:rsid w:val="1FC20797"/>
    <w:rsid w:val="1FC97C87"/>
    <w:rsid w:val="1FCC023A"/>
    <w:rsid w:val="1FD47FE6"/>
    <w:rsid w:val="1FDE3F49"/>
    <w:rsid w:val="1FE933AA"/>
    <w:rsid w:val="1FF468DA"/>
    <w:rsid w:val="1FF94A2D"/>
    <w:rsid w:val="2000330E"/>
    <w:rsid w:val="200B0D0C"/>
    <w:rsid w:val="201051B9"/>
    <w:rsid w:val="201120ED"/>
    <w:rsid w:val="20191A25"/>
    <w:rsid w:val="20280331"/>
    <w:rsid w:val="202D1DEC"/>
    <w:rsid w:val="2040794E"/>
    <w:rsid w:val="20460DDC"/>
    <w:rsid w:val="20460ED9"/>
    <w:rsid w:val="204D6F6C"/>
    <w:rsid w:val="20506C8E"/>
    <w:rsid w:val="205E01F7"/>
    <w:rsid w:val="2064368A"/>
    <w:rsid w:val="207F43D9"/>
    <w:rsid w:val="20875058"/>
    <w:rsid w:val="20906E82"/>
    <w:rsid w:val="209128E5"/>
    <w:rsid w:val="209F1645"/>
    <w:rsid w:val="20A84AFD"/>
    <w:rsid w:val="20A976C4"/>
    <w:rsid w:val="20B336D0"/>
    <w:rsid w:val="20B41FC9"/>
    <w:rsid w:val="20B707BB"/>
    <w:rsid w:val="20B91E5B"/>
    <w:rsid w:val="20C04A0E"/>
    <w:rsid w:val="20C106E3"/>
    <w:rsid w:val="20DA452F"/>
    <w:rsid w:val="20E40D06"/>
    <w:rsid w:val="20E70DDA"/>
    <w:rsid w:val="20EE157B"/>
    <w:rsid w:val="20EE5292"/>
    <w:rsid w:val="20EE7A98"/>
    <w:rsid w:val="20F012DA"/>
    <w:rsid w:val="20F91B22"/>
    <w:rsid w:val="20FB0C58"/>
    <w:rsid w:val="2102118F"/>
    <w:rsid w:val="21042B4C"/>
    <w:rsid w:val="210643F0"/>
    <w:rsid w:val="21126A1E"/>
    <w:rsid w:val="211A3117"/>
    <w:rsid w:val="211D6ED8"/>
    <w:rsid w:val="21224D81"/>
    <w:rsid w:val="21365E4F"/>
    <w:rsid w:val="21432762"/>
    <w:rsid w:val="214418B5"/>
    <w:rsid w:val="215F5D66"/>
    <w:rsid w:val="216A0307"/>
    <w:rsid w:val="217B299D"/>
    <w:rsid w:val="219B228D"/>
    <w:rsid w:val="219C7087"/>
    <w:rsid w:val="219D2205"/>
    <w:rsid w:val="219F5A6F"/>
    <w:rsid w:val="21A2770F"/>
    <w:rsid w:val="21A72E05"/>
    <w:rsid w:val="21AF4DC3"/>
    <w:rsid w:val="21B75E11"/>
    <w:rsid w:val="21C06F92"/>
    <w:rsid w:val="21C34A4E"/>
    <w:rsid w:val="21C84E9E"/>
    <w:rsid w:val="21CA5B44"/>
    <w:rsid w:val="21CB5CF6"/>
    <w:rsid w:val="21D17902"/>
    <w:rsid w:val="21E22287"/>
    <w:rsid w:val="21E5632B"/>
    <w:rsid w:val="21F143E4"/>
    <w:rsid w:val="21F15A4A"/>
    <w:rsid w:val="21F718D2"/>
    <w:rsid w:val="220643AF"/>
    <w:rsid w:val="22077889"/>
    <w:rsid w:val="22104944"/>
    <w:rsid w:val="22121D33"/>
    <w:rsid w:val="22131E5F"/>
    <w:rsid w:val="2225695B"/>
    <w:rsid w:val="222B4A26"/>
    <w:rsid w:val="2230171F"/>
    <w:rsid w:val="224C1EE4"/>
    <w:rsid w:val="224E5006"/>
    <w:rsid w:val="22507E1C"/>
    <w:rsid w:val="225F71CC"/>
    <w:rsid w:val="226E0F46"/>
    <w:rsid w:val="22894FBA"/>
    <w:rsid w:val="228B7D1B"/>
    <w:rsid w:val="22993411"/>
    <w:rsid w:val="22A31EF1"/>
    <w:rsid w:val="22A3753B"/>
    <w:rsid w:val="22A627B6"/>
    <w:rsid w:val="22B83FDE"/>
    <w:rsid w:val="22B8599C"/>
    <w:rsid w:val="22BB1853"/>
    <w:rsid w:val="22C41C6A"/>
    <w:rsid w:val="22C81958"/>
    <w:rsid w:val="22DB78DD"/>
    <w:rsid w:val="22EE7034"/>
    <w:rsid w:val="22F20146"/>
    <w:rsid w:val="22F774F6"/>
    <w:rsid w:val="22FD46BD"/>
    <w:rsid w:val="23006217"/>
    <w:rsid w:val="230F132C"/>
    <w:rsid w:val="231057D9"/>
    <w:rsid w:val="23153857"/>
    <w:rsid w:val="231B17F9"/>
    <w:rsid w:val="23216DFA"/>
    <w:rsid w:val="233A304E"/>
    <w:rsid w:val="23443D7D"/>
    <w:rsid w:val="234F1862"/>
    <w:rsid w:val="235511EA"/>
    <w:rsid w:val="235D02F2"/>
    <w:rsid w:val="23614F48"/>
    <w:rsid w:val="23690609"/>
    <w:rsid w:val="237A3E4E"/>
    <w:rsid w:val="237E1230"/>
    <w:rsid w:val="238A29AB"/>
    <w:rsid w:val="238F40D9"/>
    <w:rsid w:val="23933508"/>
    <w:rsid w:val="239504D4"/>
    <w:rsid w:val="23950A3C"/>
    <w:rsid w:val="239A2125"/>
    <w:rsid w:val="239B5FC0"/>
    <w:rsid w:val="23A92C60"/>
    <w:rsid w:val="23AA0F3C"/>
    <w:rsid w:val="23B03FD9"/>
    <w:rsid w:val="23B714CC"/>
    <w:rsid w:val="23BA7F5A"/>
    <w:rsid w:val="23C13739"/>
    <w:rsid w:val="23CE2F9E"/>
    <w:rsid w:val="23DD1433"/>
    <w:rsid w:val="23E11DA2"/>
    <w:rsid w:val="23E235B0"/>
    <w:rsid w:val="23E66539"/>
    <w:rsid w:val="23F23130"/>
    <w:rsid w:val="23FF75FB"/>
    <w:rsid w:val="24044813"/>
    <w:rsid w:val="2423778D"/>
    <w:rsid w:val="242474A7"/>
    <w:rsid w:val="2428389C"/>
    <w:rsid w:val="2439617A"/>
    <w:rsid w:val="244520C9"/>
    <w:rsid w:val="245005B3"/>
    <w:rsid w:val="2455546D"/>
    <w:rsid w:val="245F0DC4"/>
    <w:rsid w:val="24661A7D"/>
    <w:rsid w:val="246C280E"/>
    <w:rsid w:val="247104F9"/>
    <w:rsid w:val="24734E74"/>
    <w:rsid w:val="24753BB1"/>
    <w:rsid w:val="24940315"/>
    <w:rsid w:val="249511E4"/>
    <w:rsid w:val="249604BE"/>
    <w:rsid w:val="24A31E88"/>
    <w:rsid w:val="24C504EE"/>
    <w:rsid w:val="24C76B9D"/>
    <w:rsid w:val="24CE37C5"/>
    <w:rsid w:val="24D14521"/>
    <w:rsid w:val="24D80578"/>
    <w:rsid w:val="24E164AF"/>
    <w:rsid w:val="24E37825"/>
    <w:rsid w:val="24E41B08"/>
    <w:rsid w:val="24E65466"/>
    <w:rsid w:val="24E944A8"/>
    <w:rsid w:val="24ED56A6"/>
    <w:rsid w:val="24F61130"/>
    <w:rsid w:val="24F96CA5"/>
    <w:rsid w:val="24FC5064"/>
    <w:rsid w:val="250B6C88"/>
    <w:rsid w:val="250D16FB"/>
    <w:rsid w:val="25207316"/>
    <w:rsid w:val="25207829"/>
    <w:rsid w:val="252348FA"/>
    <w:rsid w:val="252437BD"/>
    <w:rsid w:val="25280D33"/>
    <w:rsid w:val="252A5017"/>
    <w:rsid w:val="25373204"/>
    <w:rsid w:val="253A1C68"/>
    <w:rsid w:val="253C7281"/>
    <w:rsid w:val="25564658"/>
    <w:rsid w:val="25585215"/>
    <w:rsid w:val="255A4BBE"/>
    <w:rsid w:val="255D101D"/>
    <w:rsid w:val="25603917"/>
    <w:rsid w:val="25627611"/>
    <w:rsid w:val="25636FED"/>
    <w:rsid w:val="25645A54"/>
    <w:rsid w:val="25772EBB"/>
    <w:rsid w:val="25832019"/>
    <w:rsid w:val="258C59D8"/>
    <w:rsid w:val="259331FE"/>
    <w:rsid w:val="25957FF8"/>
    <w:rsid w:val="259B0AB8"/>
    <w:rsid w:val="259D545F"/>
    <w:rsid w:val="25A149AC"/>
    <w:rsid w:val="25AF3F32"/>
    <w:rsid w:val="25B14925"/>
    <w:rsid w:val="25B22A3B"/>
    <w:rsid w:val="25BA2D11"/>
    <w:rsid w:val="25C206E3"/>
    <w:rsid w:val="25C654B7"/>
    <w:rsid w:val="25D0124F"/>
    <w:rsid w:val="25D26FA5"/>
    <w:rsid w:val="25D97596"/>
    <w:rsid w:val="25E37902"/>
    <w:rsid w:val="25F044F9"/>
    <w:rsid w:val="25F74971"/>
    <w:rsid w:val="26040109"/>
    <w:rsid w:val="26061962"/>
    <w:rsid w:val="260F672F"/>
    <w:rsid w:val="26175540"/>
    <w:rsid w:val="261849A4"/>
    <w:rsid w:val="262C56B0"/>
    <w:rsid w:val="262F1527"/>
    <w:rsid w:val="263D0137"/>
    <w:rsid w:val="2642755C"/>
    <w:rsid w:val="264436A6"/>
    <w:rsid w:val="264E03C6"/>
    <w:rsid w:val="26507D69"/>
    <w:rsid w:val="26526108"/>
    <w:rsid w:val="26590788"/>
    <w:rsid w:val="265D1B10"/>
    <w:rsid w:val="26640280"/>
    <w:rsid w:val="266D04E0"/>
    <w:rsid w:val="267D0DD4"/>
    <w:rsid w:val="268A18BB"/>
    <w:rsid w:val="26900E65"/>
    <w:rsid w:val="269308F5"/>
    <w:rsid w:val="269B5762"/>
    <w:rsid w:val="26A0140A"/>
    <w:rsid w:val="26A4480F"/>
    <w:rsid w:val="26AB027E"/>
    <w:rsid w:val="26B47D7B"/>
    <w:rsid w:val="26B942D9"/>
    <w:rsid w:val="26BD3478"/>
    <w:rsid w:val="26CB5BEC"/>
    <w:rsid w:val="26D17EE9"/>
    <w:rsid w:val="26D26B3A"/>
    <w:rsid w:val="26DB5397"/>
    <w:rsid w:val="26E70819"/>
    <w:rsid w:val="26EC030B"/>
    <w:rsid w:val="26ED2085"/>
    <w:rsid w:val="26F614FF"/>
    <w:rsid w:val="26FC7E22"/>
    <w:rsid w:val="27085698"/>
    <w:rsid w:val="2722517B"/>
    <w:rsid w:val="2726309C"/>
    <w:rsid w:val="27325E70"/>
    <w:rsid w:val="27326652"/>
    <w:rsid w:val="27341B93"/>
    <w:rsid w:val="27430D53"/>
    <w:rsid w:val="274E2D73"/>
    <w:rsid w:val="27537702"/>
    <w:rsid w:val="27644968"/>
    <w:rsid w:val="2771098E"/>
    <w:rsid w:val="27752950"/>
    <w:rsid w:val="27803467"/>
    <w:rsid w:val="278422F1"/>
    <w:rsid w:val="278B23EE"/>
    <w:rsid w:val="278E13C2"/>
    <w:rsid w:val="278F0C96"/>
    <w:rsid w:val="27942DC6"/>
    <w:rsid w:val="279938C3"/>
    <w:rsid w:val="279C7ABE"/>
    <w:rsid w:val="27A46AC2"/>
    <w:rsid w:val="27A70952"/>
    <w:rsid w:val="27B52D32"/>
    <w:rsid w:val="27BD0EA7"/>
    <w:rsid w:val="27BF5A1F"/>
    <w:rsid w:val="27BF77CD"/>
    <w:rsid w:val="27C22234"/>
    <w:rsid w:val="27D30046"/>
    <w:rsid w:val="27D4336A"/>
    <w:rsid w:val="27E9484A"/>
    <w:rsid w:val="27E96CD0"/>
    <w:rsid w:val="27EF6F7C"/>
    <w:rsid w:val="27F60128"/>
    <w:rsid w:val="27FA6A57"/>
    <w:rsid w:val="27FC4245"/>
    <w:rsid w:val="28052561"/>
    <w:rsid w:val="28081174"/>
    <w:rsid w:val="28100970"/>
    <w:rsid w:val="28130FC3"/>
    <w:rsid w:val="28164F13"/>
    <w:rsid w:val="28180C8B"/>
    <w:rsid w:val="28185CCE"/>
    <w:rsid w:val="281A2308"/>
    <w:rsid w:val="28242AFE"/>
    <w:rsid w:val="28245882"/>
    <w:rsid w:val="282D4DA2"/>
    <w:rsid w:val="28383DE0"/>
    <w:rsid w:val="284763CA"/>
    <w:rsid w:val="28497097"/>
    <w:rsid w:val="284B72B3"/>
    <w:rsid w:val="284C1CF1"/>
    <w:rsid w:val="285259C3"/>
    <w:rsid w:val="286F0F65"/>
    <w:rsid w:val="28810C2F"/>
    <w:rsid w:val="28832153"/>
    <w:rsid w:val="288C402F"/>
    <w:rsid w:val="288F3C5D"/>
    <w:rsid w:val="289724F8"/>
    <w:rsid w:val="28A86D3D"/>
    <w:rsid w:val="28AB6575"/>
    <w:rsid w:val="28AF56E0"/>
    <w:rsid w:val="28BF2E88"/>
    <w:rsid w:val="28C50D1F"/>
    <w:rsid w:val="28CA5CB4"/>
    <w:rsid w:val="28E22AAD"/>
    <w:rsid w:val="28E868B0"/>
    <w:rsid w:val="28F364BD"/>
    <w:rsid w:val="28F60FCD"/>
    <w:rsid w:val="29034D8E"/>
    <w:rsid w:val="290D640A"/>
    <w:rsid w:val="291560D2"/>
    <w:rsid w:val="291A4C7E"/>
    <w:rsid w:val="291F0427"/>
    <w:rsid w:val="29211DC2"/>
    <w:rsid w:val="29293C6D"/>
    <w:rsid w:val="29336A3F"/>
    <w:rsid w:val="29356CDE"/>
    <w:rsid w:val="293715E5"/>
    <w:rsid w:val="293C79A7"/>
    <w:rsid w:val="293E56B3"/>
    <w:rsid w:val="29424212"/>
    <w:rsid w:val="29454D6E"/>
    <w:rsid w:val="294855A0"/>
    <w:rsid w:val="294A57BC"/>
    <w:rsid w:val="294F4DA4"/>
    <w:rsid w:val="295449EC"/>
    <w:rsid w:val="29554FB8"/>
    <w:rsid w:val="295D23DB"/>
    <w:rsid w:val="296228C4"/>
    <w:rsid w:val="29626662"/>
    <w:rsid w:val="296A5517"/>
    <w:rsid w:val="297172A8"/>
    <w:rsid w:val="2983564B"/>
    <w:rsid w:val="2986365A"/>
    <w:rsid w:val="298F2D60"/>
    <w:rsid w:val="29BE52CE"/>
    <w:rsid w:val="29CE5AA6"/>
    <w:rsid w:val="29DB2E13"/>
    <w:rsid w:val="29DB795F"/>
    <w:rsid w:val="29EA4B44"/>
    <w:rsid w:val="29F43C64"/>
    <w:rsid w:val="29FA25C8"/>
    <w:rsid w:val="29FC032F"/>
    <w:rsid w:val="29FD19B7"/>
    <w:rsid w:val="2A03307B"/>
    <w:rsid w:val="2A0D142F"/>
    <w:rsid w:val="2A0E5BA5"/>
    <w:rsid w:val="2A112438"/>
    <w:rsid w:val="2A121ADD"/>
    <w:rsid w:val="2A1808B1"/>
    <w:rsid w:val="2A1C72FC"/>
    <w:rsid w:val="2A1D07DB"/>
    <w:rsid w:val="2A363D92"/>
    <w:rsid w:val="2A3A1248"/>
    <w:rsid w:val="2A3B23D3"/>
    <w:rsid w:val="2A463A27"/>
    <w:rsid w:val="2A6021EF"/>
    <w:rsid w:val="2A6A0AB6"/>
    <w:rsid w:val="2A783C63"/>
    <w:rsid w:val="2A790BAB"/>
    <w:rsid w:val="2A7A22B0"/>
    <w:rsid w:val="2A7A288C"/>
    <w:rsid w:val="2A7A5040"/>
    <w:rsid w:val="2A7F5588"/>
    <w:rsid w:val="2A823FDD"/>
    <w:rsid w:val="2A871EF8"/>
    <w:rsid w:val="2A900B3D"/>
    <w:rsid w:val="2A94612D"/>
    <w:rsid w:val="2A99095C"/>
    <w:rsid w:val="2A9C5B40"/>
    <w:rsid w:val="2AA400F4"/>
    <w:rsid w:val="2AAC54BB"/>
    <w:rsid w:val="2AAD6003"/>
    <w:rsid w:val="2AB57FF9"/>
    <w:rsid w:val="2ABA24CE"/>
    <w:rsid w:val="2ABA6371"/>
    <w:rsid w:val="2ABF7AE4"/>
    <w:rsid w:val="2AC329D5"/>
    <w:rsid w:val="2AC771F9"/>
    <w:rsid w:val="2ACC28DA"/>
    <w:rsid w:val="2AE11D66"/>
    <w:rsid w:val="2AEB102F"/>
    <w:rsid w:val="2AFA470A"/>
    <w:rsid w:val="2AFD6C12"/>
    <w:rsid w:val="2B0678E1"/>
    <w:rsid w:val="2B081E52"/>
    <w:rsid w:val="2B0C20F7"/>
    <w:rsid w:val="2B0F5533"/>
    <w:rsid w:val="2B1A03EA"/>
    <w:rsid w:val="2B1B65B9"/>
    <w:rsid w:val="2B2706A2"/>
    <w:rsid w:val="2B28252F"/>
    <w:rsid w:val="2B2D2106"/>
    <w:rsid w:val="2B461FAE"/>
    <w:rsid w:val="2B4D31F0"/>
    <w:rsid w:val="2B4F0637"/>
    <w:rsid w:val="2B4F71D5"/>
    <w:rsid w:val="2B527EE3"/>
    <w:rsid w:val="2B580D2F"/>
    <w:rsid w:val="2B5E1A74"/>
    <w:rsid w:val="2B667187"/>
    <w:rsid w:val="2B6C7C6C"/>
    <w:rsid w:val="2B736F2B"/>
    <w:rsid w:val="2B7D4228"/>
    <w:rsid w:val="2B7D7783"/>
    <w:rsid w:val="2B8B70C4"/>
    <w:rsid w:val="2B9576E2"/>
    <w:rsid w:val="2B9A4D5A"/>
    <w:rsid w:val="2B9D6077"/>
    <w:rsid w:val="2B9F55DB"/>
    <w:rsid w:val="2BA41CAA"/>
    <w:rsid w:val="2BAA0794"/>
    <w:rsid w:val="2BB94533"/>
    <w:rsid w:val="2BBB53AD"/>
    <w:rsid w:val="2BBB639B"/>
    <w:rsid w:val="2BC01D66"/>
    <w:rsid w:val="2BC2082C"/>
    <w:rsid w:val="2BC36628"/>
    <w:rsid w:val="2BC5737C"/>
    <w:rsid w:val="2BCB2584"/>
    <w:rsid w:val="2BD25B6F"/>
    <w:rsid w:val="2BEC51D8"/>
    <w:rsid w:val="2BEC7EFA"/>
    <w:rsid w:val="2BEF1A87"/>
    <w:rsid w:val="2BEF7F55"/>
    <w:rsid w:val="2BF66BA9"/>
    <w:rsid w:val="2C0368C6"/>
    <w:rsid w:val="2C05500E"/>
    <w:rsid w:val="2C0D4506"/>
    <w:rsid w:val="2C1134D0"/>
    <w:rsid w:val="2C246940"/>
    <w:rsid w:val="2C290D81"/>
    <w:rsid w:val="2C2E78B5"/>
    <w:rsid w:val="2C3C1EC1"/>
    <w:rsid w:val="2C42462B"/>
    <w:rsid w:val="2C531232"/>
    <w:rsid w:val="2C5B41CA"/>
    <w:rsid w:val="2C5E0D2F"/>
    <w:rsid w:val="2C5F361A"/>
    <w:rsid w:val="2C6A3498"/>
    <w:rsid w:val="2C8A6306"/>
    <w:rsid w:val="2C8B76DA"/>
    <w:rsid w:val="2C8F068C"/>
    <w:rsid w:val="2CA045D1"/>
    <w:rsid w:val="2CA423D8"/>
    <w:rsid w:val="2CA96082"/>
    <w:rsid w:val="2CB719CB"/>
    <w:rsid w:val="2CB85977"/>
    <w:rsid w:val="2CB949B4"/>
    <w:rsid w:val="2CBB5644"/>
    <w:rsid w:val="2CC44205"/>
    <w:rsid w:val="2CC905A9"/>
    <w:rsid w:val="2CCF5DDE"/>
    <w:rsid w:val="2CD56F32"/>
    <w:rsid w:val="2CDB0944"/>
    <w:rsid w:val="2CE27267"/>
    <w:rsid w:val="2CE74D39"/>
    <w:rsid w:val="2CE8150A"/>
    <w:rsid w:val="2D016444"/>
    <w:rsid w:val="2D085772"/>
    <w:rsid w:val="2D0B00A7"/>
    <w:rsid w:val="2D12077C"/>
    <w:rsid w:val="2D1A1408"/>
    <w:rsid w:val="2D21385E"/>
    <w:rsid w:val="2D270FD0"/>
    <w:rsid w:val="2D277EFB"/>
    <w:rsid w:val="2D2E11B0"/>
    <w:rsid w:val="2D31047C"/>
    <w:rsid w:val="2D3178DC"/>
    <w:rsid w:val="2D324DB9"/>
    <w:rsid w:val="2D4D2C4B"/>
    <w:rsid w:val="2D4E3F0C"/>
    <w:rsid w:val="2D5664DE"/>
    <w:rsid w:val="2D646B9E"/>
    <w:rsid w:val="2D6706EB"/>
    <w:rsid w:val="2D6C5D01"/>
    <w:rsid w:val="2D6D1127"/>
    <w:rsid w:val="2D700E9E"/>
    <w:rsid w:val="2D7D7F0E"/>
    <w:rsid w:val="2D80355B"/>
    <w:rsid w:val="2D825B35"/>
    <w:rsid w:val="2D9139BA"/>
    <w:rsid w:val="2D976683"/>
    <w:rsid w:val="2DA01E4F"/>
    <w:rsid w:val="2DA27975"/>
    <w:rsid w:val="2DA57465"/>
    <w:rsid w:val="2DAA4A7C"/>
    <w:rsid w:val="2DB27C81"/>
    <w:rsid w:val="2DB74C8F"/>
    <w:rsid w:val="2DCB05F1"/>
    <w:rsid w:val="2DE35338"/>
    <w:rsid w:val="2E11076A"/>
    <w:rsid w:val="2E132BF2"/>
    <w:rsid w:val="2E150147"/>
    <w:rsid w:val="2E161683"/>
    <w:rsid w:val="2E194F3D"/>
    <w:rsid w:val="2E344345"/>
    <w:rsid w:val="2E3B3926"/>
    <w:rsid w:val="2E3B56D4"/>
    <w:rsid w:val="2E3E0198"/>
    <w:rsid w:val="2E3F0BEE"/>
    <w:rsid w:val="2E4F0821"/>
    <w:rsid w:val="2E5015EC"/>
    <w:rsid w:val="2E521413"/>
    <w:rsid w:val="2E560939"/>
    <w:rsid w:val="2E5A7CD6"/>
    <w:rsid w:val="2E5E648E"/>
    <w:rsid w:val="2E6A61A2"/>
    <w:rsid w:val="2E6E5AA9"/>
    <w:rsid w:val="2E743409"/>
    <w:rsid w:val="2E790DE1"/>
    <w:rsid w:val="2E7B7EC9"/>
    <w:rsid w:val="2E7C01C6"/>
    <w:rsid w:val="2E9136EE"/>
    <w:rsid w:val="2EA8720D"/>
    <w:rsid w:val="2EBF3113"/>
    <w:rsid w:val="2EC42A1F"/>
    <w:rsid w:val="2EC56BE5"/>
    <w:rsid w:val="2EC73785"/>
    <w:rsid w:val="2EDA4EED"/>
    <w:rsid w:val="2EF00893"/>
    <w:rsid w:val="2EFF3E52"/>
    <w:rsid w:val="2F08433B"/>
    <w:rsid w:val="2F136646"/>
    <w:rsid w:val="2F1A5A56"/>
    <w:rsid w:val="2F1F371B"/>
    <w:rsid w:val="2F261EE0"/>
    <w:rsid w:val="2F2F22BD"/>
    <w:rsid w:val="2F3557ED"/>
    <w:rsid w:val="2F363704"/>
    <w:rsid w:val="2F39477D"/>
    <w:rsid w:val="2F3D14B0"/>
    <w:rsid w:val="2F4131BE"/>
    <w:rsid w:val="2F546A4D"/>
    <w:rsid w:val="2F5762E2"/>
    <w:rsid w:val="2F61762B"/>
    <w:rsid w:val="2F723377"/>
    <w:rsid w:val="2F793F6A"/>
    <w:rsid w:val="2F847853"/>
    <w:rsid w:val="2F866E22"/>
    <w:rsid w:val="2F8F3F29"/>
    <w:rsid w:val="2F962068"/>
    <w:rsid w:val="2F972DDE"/>
    <w:rsid w:val="2F9E3716"/>
    <w:rsid w:val="2F9E5E02"/>
    <w:rsid w:val="2FA12592"/>
    <w:rsid w:val="2FA92ACB"/>
    <w:rsid w:val="2FB27C17"/>
    <w:rsid w:val="2FC12E0D"/>
    <w:rsid w:val="2FC32224"/>
    <w:rsid w:val="2FCB1ED7"/>
    <w:rsid w:val="2FD3657A"/>
    <w:rsid w:val="2FDB474A"/>
    <w:rsid w:val="2FDD2E8E"/>
    <w:rsid w:val="2FDE3125"/>
    <w:rsid w:val="2FEC0550"/>
    <w:rsid w:val="2FED2320"/>
    <w:rsid w:val="2FF260EA"/>
    <w:rsid w:val="2FF3094F"/>
    <w:rsid w:val="2FFD0C0E"/>
    <w:rsid w:val="300D20E3"/>
    <w:rsid w:val="300D36B9"/>
    <w:rsid w:val="301B2328"/>
    <w:rsid w:val="30225849"/>
    <w:rsid w:val="302A5A00"/>
    <w:rsid w:val="30322E5C"/>
    <w:rsid w:val="30396D27"/>
    <w:rsid w:val="3044003E"/>
    <w:rsid w:val="30446AC1"/>
    <w:rsid w:val="30505F70"/>
    <w:rsid w:val="305703F6"/>
    <w:rsid w:val="30645CFC"/>
    <w:rsid w:val="30665E9F"/>
    <w:rsid w:val="306C7EFE"/>
    <w:rsid w:val="30806AFC"/>
    <w:rsid w:val="3091782D"/>
    <w:rsid w:val="3092535C"/>
    <w:rsid w:val="30A57B99"/>
    <w:rsid w:val="30B97331"/>
    <w:rsid w:val="30BA6D63"/>
    <w:rsid w:val="30C10112"/>
    <w:rsid w:val="30C23A3B"/>
    <w:rsid w:val="30C62E41"/>
    <w:rsid w:val="30CB263C"/>
    <w:rsid w:val="30CC18B7"/>
    <w:rsid w:val="30F5319F"/>
    <w:rsid w:val="310821E5"/>
    <w:rsid w:val="310C35ED"/>
    <w:rsid w:val="310D031B"/>
    <w:rsid w:val="31136BFE"/>
    <w:rsid w:val="31186793"/>
    <w:rsid w:val="311E37B6"/>
    <w:rsid w:val="312132A7"/>
    <w:rsid w:val="31336B36"/>
    <w:rsid w:val="313B3958"/>
    <w:rsid w:val="313E5402"/>
    <w:rsid w:val="31496258"/>
    <w:rsid w:val="314B0B14"/>
    <w:rsid w:val="31594B69"/>
    <w:rsid w:val="315B0515"/>
    <w:rsid w:val="31607AF5"/>
    <w:rsid w:val="31660CB9"/>
    <w:rsid w:val="316B6CEE"/>
    <w:rsid w:val="3173799B"/>
    <w:rsid w:val="317409D9"/>
    <w:rsid w:val="31780A67"/>
    <w:rsid w:val="31821D30"/>
    <w:rsid w:val="31881438"/>
    <w:rsid w:val="318C3787"/>
    <w:rsid w:val="31913A69"/>
    <w:rsid w:val="31922F44"/>
    <w:rsid w:val="319B3CAA"/>
    <w:rsid w:val="31AA0A84"/>
    <w:rsid w:val="31B36D87"/>
    <w:rsid w:val="31C10CC5"/>
    <w:rsid w:val="31C53C32"/>
    <w:rsid w:val="31C70022"/>
    <w:rsid w:val="31CE06FD"/>
    <w:rsid w:val="31D04385"/>
    <w:rsid w:val="31DA7CEA"/>
    <w:rsid w:val="31E51FB7"/>
    <w:rsid w:val="31ED3136"/>
    <w:rsid w:val="31FD406A"/>
    <w:rsid w:val="31FE0EF2"/>
    <w:rsid w:val="31FE2FC8"/>
    <w:rsid w:val="32066C5B"/>
    <w:rsid w:val="321A5DCA"/>
    <w:rsid w:val="323B5CA2"/>
    <w:rsid w:val="324276A3"/>
    <w:rsid w:val="32440A8B"/>
    <w:rsid w:val="324639D0"/>
    <w:rsid w:val="324D77D1"/>
    <w:rsid w:val="325719E8"/>
    <w:rsid w:val="326170B4"/>
    <w:rsid w:val="3264531C"/>
    <w:rsid w:val="32665466"/>
    <w:rsid w:val="326B38EB"/>
    <w:rsid w:val="32830ACC"/>
    <w:rsid w:val="32892A4B"/>
    <w:rsid w:val="32AF0842"/>
    <w:rsid w:val="32B04854"/>
    <w:rsid w:val="32B51EF8"/>
    <w:rsid w:val="32B736BD"/>
    <w:rsid w:val="32B865A2"/>
    <w:rsid w:val="32C526D6"/>
    <w:rsid w:val="32C739DA"/>
    <w:rsid w:val="32D817FB"/>
    <w:rsid w:val="32DC3E61"/>
    <w:rsid w:val="32E75208"/>
    <w:rsid w:val="32E97DF4"/>
    <w:rsid w:val="32FE6CC1"/>
    <w:rsid w:val="33082597"/>
    <w:rsid w:val="330E2F53"/>
    <w:rsid w:val="330F4321"/>
    <w:rsid w:val="3317426F"/>
    <w:rsid w:val="3317670F"/>
    <w:rsid w:val="331F2416"/>
    <w:rsid w:val="33291ECF"/>
    <w:rsid w:val="33323549"/>
    <w:rsid w:val="33435FD9"/>
    <w:rsid w:val="3345063A"/>
    <w:rsid w:val="33501C21"/>
    <w:rsid w:val="335121B9"/>
    <w:rsid w:val="33596D28"/>
    <w:rsid w:val="336E4DB0"/>
    <w:rsid w:val="33714640"/>
    <w:rsid w:val="337829B0"/>
    <w:rsid w:val="337A0742"/>
    <w:rsid w:val="337C0BAD"/>
    <w:rsid w:val="33835519"/>
    <w:rsid w:val="338E25CB"/>
    <w:rsid w:val="3390353C"/>
    <w:rsid w:val="33923816"/>
    <w:rsid w:val="33947D60"/>
    <w:rsid w:val="33960E31"/>
    <w:rsid w:val="339766EC"/>
    <w:rsid w:val="33A13F7B"/>
    <w:rsid w:val="33A8589B"/>
    <w:rsid w:val="33B95F01"/>
    <w:rsid w:val="33C07D0A"/>
    <w:rsid w:val="33E170B6"/>
    <w:rsid w:val="33E476E2"/>
    <w:rsid w:val="33E93BB1"/>
    <w:rsid w:val="33F75282"/>
    <w:rsid w:val="33FB6405"/>
    <w:rsid w:val="340101EB"/>
    <w:rsid w:val="3402383D"/>
    <w:rsid w:val="34076784"/>
    <w:rsid w:val="340A53E6"/>
    <w:rsid w:val="34100227"/>
    <w:rsid w:val="34110143"/>
    <w:rsid w:val="341B4C51"/>
    <w:rsid w:val="34270BD4"/>
    <w:rsid w:val="342B7310"/>
    <w:rsid w:val="342F343D"/>
    <w:rsid w:val="343011E9"/>
    <w:rsid w:val="34352F7A"/>
    <w:rsid w:val="34413BB3"/>
    <w:rsid w:val="34517714"/>
    <w:rsid w:val="345F74B2"/>
    <w:rsid w:val="34634E66"/>
    <w:rsid w:val="346E1392"/>
    <w:rsid w:val="347362F2"/>
    <w:rsid w:val="34784F8C"/>
    <w:rsid w:val="34831B82"/>
    <w:rsid w:val="348342CA"/>
    <w:rsid w:val="34880F47"/>
    <w:rsid w:val="348A1DB8"/>
    <w:rsid w:val="34980D1E"/>
    <w:rsid w:val="34A25951"/>
    <w:rsid w:val="34AE72C0"/>
    <w:rsid w:val="34B033E7"/>
    <w:rsid w:val="34BD350C"/>
    <w:rsid w:val="34BF74EA"/>
    <w:rsid w:val="34C22E54"/>
    <w:rsid w:val="34C93A39"/>
    <w:rsid w:val="34D766B0"/>
    <w:rsid w:val="34DB19BE"/>
    <w:rsid w:val="34DB2B4D"/>
    <w:rsid w:val="34E16316"/>
    <w:rsid w:val="34E467C1"/>
    <w:rsid w:val="34E66EBD"/>
    <w:rsid w:val="34E75F12"/>
    <w:rsid w:val="34F32500"/>
    <w:rsid w:val="34F338FE"/>
    <w:rsid w:val="34FA0097"/>
    <w:rsid w:val="34FE39F8"/>
    <w:rsid w:val="350A5CF4"/>
    <w:rsid w:val="351729F7"/>
    <w:rsid w:val="351F2F82"/>
    <w:rsid w:val="3535293E"/>
    <w:rsid w:val="3536502B"/>
    <w:rsid w:val="353665BD"/>
    <w:rsid w:val="35371562"/>
    <w:rsid w:val="354C4C22"/>
    <w:rsid w:val="355B65B2"/>
    <w:rsid w:val="355D4F81"/>
    <w:rsid w:val="356F2353"/>
    <w:rsid w:val="35705AE4"/>
    <w:rsid w:val="35824905"/>
    <w:rsid w:val="35843F72"/>
    <w:rsid w:val="35862A9A"/>
    <w:rsid w:val="35970273"/>
    <w:rsid w:val="35BC17F0"/>
    <w:rsid w:val="35C74E47"/>
    <w:rsid w:val="35DA09C0"/>
    <w:rsid w:val="35E24DF5"/>
    <w:rsid w:val="35FC0320"/>
    <w:rsid w:val="35FC78A0"/>
    <w:rsid w:val="35FF3C90"/>
    <w:rsid w:val="35FF463C"/>
    <w:rsid w:val="3606454A"/>
    <w:rsid w:val="360C62D3"/>
    <w:rsid w:val="360C6E10"/>
    <w:rsid w:val="360D4DD7"/>
    <w:rsid w:val="361124A4"/>
    <w:rsid w:val="36132896"/>
    <w:rsid w:val="36203B2D"/>
    <w:rsid w:val="362376E7"/>
    <w:rsid w:val="36251E52"/>
    <w:rsid w:val="3627310D"/>
    <w:rsid w:val="3633222C"/>
    <w:rsid w:val="363407F7"/>
    <w:rsid w:val="3638445C"/>
    <w:rsid w:val="36434D26"/>
    <w:rsid w:val="36470DE8"/>
    <w:rsid w:val="364D39D1"/>
    <w:rsid w:val="36513CE6"/>
    <w:rsid w:val="365612E8"/>
    <w:rsid w:val="366513C8"/>
    <w:rsid w:val="3686608C"/>
    <w:rsid w:val="368E7A3C"/>
    <w:rsid w:val="368F0CB2"/>
    <w:rsid w:val="36A65F5F"/>
    <w:rsid w:val="36AD62EF"/>
    <w:rsid w:val="36B4674F"/>
    <w:rsid w:val="36C04CF9"/>
    <w:rsid w:val="36CA1F25"/>
    <w:rsid w:val="36DB260C"/>
    <w:rsid w:val="36DE0951"/>
    <w:rsid w:val="36F210B1"/>
    <w:rsid w:val="36F901E6"/>
    <w:rsid w:val="37007AC7"/>
    <w:rsid w:val="37113475"/>
    <w:rsid w:val="37133063"/>
    <w:rsid w:val="37152F66"/>
    <w:rsid w:val="371722E2"/>
    <w:rsid w:val="371D335B"/>
    <w:rsid w:val="371F6EDC"/>
    <w:rsid w:val="372A09FA"/>
    <w:rsid w:val="37330115"/>
    <w:rsid w:val="373529C0"/>
    <w:rsid w:val="374101FF"/>
    <w:rsid w:val="37537F32"/>
    <w:rsid w:val="375A3819"/>
    <w:rsid w:val="375A58F4"/>
    <w:rsid w:val="375F2D0C"/>
    <w:rsid w:val="376B4FBE"/>
    <w:rsid w:val="37807A1C"/>
    <w:rsid w:val="378974B0"/>
    <w:rsid w:val="378E3BE4"/>
    <w:rsid w:val="379837CA"/>
    <w:rsid w:val="37994C24"/>
    <w:rsid w:val="37A273E4"/>
    <w:rsid w:val="37A4695E"/>
    <w:rsid w:val="37AA79A3"/>
    <w:rsid w:val="37B253AC"/>
    <w:rsid w:val="37B73B33"/>
    <w:rsid w:val="37B75F51"/>
    <w:rsid w:val="37C87091"/>
    <w:rsid w:val="37CD3F9D"/>
    <w:rsid w:val="37D42B5B"/>
    <w:rsid w:val="37E8004A"/>
    <w:rsid w:val="37F048A0"/>
    <w:rsid w:val="37F27E10"/>
    <w:rsid w:val="380A6843"/>
    <w:rsid w:val="382932C1"/>
    <w:rsid w:val="382A51FA"/>
    <w:rsid w:val="382F4B08"/>
    <w:rsid w:val="38312A30"/>
    <w:rsid w:val="38523D46"/>
    <w:rsid w:val="385C2977"/>
    <w:rsid w:val="385E6AEF"/>
    <w:rsid w:val="386D5023"/>
    <w:rsid w:val="38975BFC"/>
    <w:rsid w:val="38995E18"/>
    <w:rsid w:val="38A00A0E"/>
    <w:rsid w:val="38A172FA"/>
    <w:rsid w:val="38A23923"/>
    <w:rsid w:val="38B10FD3"/>
    <w:rsid w:val="38B12660"/>
    <w:rsid w:val="38B92017"/>
    <w:rsid w:val="38DC7DB9"/>
    <w:rsid w:val="38DE2E10"/>
    <w:rsid w:val="38E12A24"/>
    <w:rsid w:val="38E52E0C"/>
    <w:rsid w:val="38E7522B"/>
    <w:rsid w:val="38EC5F48"/>
    <w:rsid w:val="38F172EC"/>
    <w:rsid w:val="38FA46B4"/>
    <w:rsid w:val="390C7C27"/>
    <w:rsid w:val="390D588D"/>
    <w:rsid w:val="39112852"/>
    <w:rsid w:val="39186D3D"/>
    <w:rsid w:val="391F5244"/>
    <w:rsid w:val="39225CE4"/>
    <w:rsid w:val="392635CF"/>
    <w:rsid w:val="392876F4"/>
    <w:rsid w:val="392A377B"/>
    <w:rsid w:val="393120C7"/>
    <w:rsid w:val="39331DC9"/>
    <w:rsid w:val="393E362D"/>
    <w:rsid w:val="39534219"/>
    <w:rsid w:val="3954329D"/>
    <w:rsid w:val="39551744"/>
    <w:rsid w:val="395E6FAD"/>
    <w:rsid w:val="396252C6"/>
    <w:rsid w:val="3967248F"/>
    <w:rsid w:val="39673BFA"/>
    <w:rsid w:val="396D0C84"/>
    <w:rsid w:val="396D6ECE"/>
    <w:rsid w:val="3971644D"/>
    <w:rsid w:val="397244C0"/>
    <w:rsid w:val="3974410E"/>
    <w:rsid w:val="39773AA5"/>
    <w:rsid w:val="397F27D6"/>
    <w:rsid w:val="39900FC9"/>
    <w:rsid w:val="3990461B"/>
    <w:rsid w:val="39916571"/>
    <w:rsid w:val="39972358"/>
    <w:rsid w:val="39980102"/>
    <w:rsid w:val="399A1E48"/>
    <w:rsid w:val="39AC0EFC"/>
    <w:rsid w:val="39AE1A04"/>
    <w:rsid w:val="39B527DE"/>
    <w:rsid w:val="39B7679D"/>
    <w:rsid w:val="39C550B5"/>
    <w:rsid w:val="39DC14C7"/>
    <w:rsid w:val="39DC32CF"/>
    <w:rsid w:val="39DC5B33"/>
    <w:rsid w:val="39EF3377"/>
    <w:rsid w:val="39F63CA8"/>
    <w:rsid w:val="39F85C7D"/>
    <w:rsid w:val="39FF7EFD"/>
    <w:rsid w:val="3A0C76D7"/>
    <w:rsid w:val="3A1E479F"/>
    <w:rsid w:val="3A204AEC"/>
    <w:rsid w:val="3A2200E6"/>
    <w:rsid w:val="3A2843A8"/>
    <w:rsid w:val="3A2D4580"/>
    <w:rsid w:val="3A2F07E2"/>
    <w:rsid w:val="3A3E0D77"/>
    <w:rsid w:val="3A40644A"/>
    <w:rsid w:val="3A441C9D"/>
    <w:rsid w:val="3A4E34CE"/>
    <w:rsid w:val="3A504D64"/>
    <w:rsid w:val="3A5610C1"/>
    <w:rsid w:val="3A6234A0"/>
    <w:rsid w:val="3A627DF4"/>
    <w:rsid w:val="3A791CD8"/>
    <w:rsid w:val="3A7A59B6"/>
    <w:rsid w:val="3A83258B"/>
    <w:rsid w:val="3A914FF9"/>
    <w:rsid w:val="3A9611FB"/>
    <w:rsid w:val="3AB06356"/>
    <w:rsid w:val="3AB77E36"/>
    <w:rsid w:val="3AC20A9E"/>
    <w:rsid w:val="3AC7670A"/>
    <w:rsid w:val="3ACA5143"/>
    <w:rsid w:val="3ACC7E1E"/>
    <w:rsid w:val="3ADC43DB"/>
    <w:rsid w:val="3AE20C06"/>
    <w:rsid w:val="3AEB018A"/>
    <w:rsid w:val="3AEC66D3"/>
    <w:rsid w:val="3B047A2C"/>
    <w:rsid w:val="3B101F22"/>
    <w:rsid w:val="3B112C59"/>
    <w:rsid w:val="3B124C1B"/>
    <w:rsid w:val="3B144FE3"/>
    <w:rsid w:val="3B1479D8"/>
    <w:rsid w:val="3B1A183F"/>
    <w:rsid w:val="3B247C1B"/>
    <w:rsid w:val="3B263436"/>
    <w:rsid w:val="3B2A3136"/>
    <w:rsid w:val="3B2B31E1"/>
    <w:rsid w:val="3B375496"/>
    <w:rsid w:val="3B3B31B7"/>
    <w:rsid w:val="3B43293D"/>
    <w:rsid w:val="3B44115B"/>
    <w:rsid w:val="3B532EF7"/>
    <w:rsid w:val="3B5B758E"/>
    <w:rsid w:val="3B5F7EA1"/>
    <w:rsid w:val="3B622EBC"/>
    <w:rsid w:val="3B691AD2"/>
    <w:rsid w:val="3B697A40"/>
    <w:rsid w:val="3B733F3E"/>
    <w:rsid w:val="3B7B6258"/>
    <w:rsid w:val="3B7C16F1"/>
    <w:rsid w:val="3B7D36E1"/>
    <w:rsid w:val="3B8A52AF"/>
    <w:rsid w:val="3B8A6A1F"/>
    <w:rsid w:val="3B8E1539"/>
    <w:rsid w:val="3B97118C"/>
    <w:rsid w:val="3B9B6F13"/>
    <w:rsid w:val="3BAE3267"/>
    <w:rsid w:val="3BC05AA5"/>
    <w:rsid w:val="3BC74A4B"/>
    <w:rsid w:val="3BCD738B"/>
    <w:rsid w:val="3BD3218F"/>
    <w:rsid w:val="3BE5760A"/>
    <w:rsid w:val="3BE95FBF"/>
    <w:rsid w:val="3BF736C7"/>
    <w:rsid w:val="3C0134AE"/>
    <w:rsid w:val="3C033CD5"/>
    <w:rsid w:val="3C0812EB"/>
    <w:rsid w:val="3C0C4260"/>
    <w:rsid w:val="3C0D7EBC"/>
    <w:rsid w:val="3C0F313B"/>
    <w:rsid w:val="3C193F39"/>
    <w:rsid w:val="3C2E6878"/>
    <w:rsid w:val="3C340332"/>
    <w:rsid w:val="3C35789E"/>
    <w:rsid w:val="3C3A17EA"/>
    <w:rsid w:val="3C3E6D60"/>
    <w:rsid w:val="3C4D4524"/>
    <w:rsid w:val="3C5639DE"/>
    <w:rsid w:val="3C571C05"/>
    <w:rsid w:val="3C64352B"/>
    <w:rsid w:val="3C672E2C"/>
    <w:rsid w:val="3C764FC0"/>
    <w:rsid w:val="3C8B7826"/>
    <w:rsid w:val="3C8D58BE"/>
    <w:rsid w:val="3C8E5FED"/>
    <w:rsid w:val="3C942323"/>
    <w:rsid w:val="3C943E83"/>
    <w:rsid w:val="3C9E20B1"/>
    <w:rsid w:val="3CA31014"/>
    <w:rsid w:val="3CB53A65"/>
    <w:rsid w:val="3CC05722"/>
    <w:rsid w:val="3CC102AC"/>
    <w:rsid w:val="3CD76CB4"/>
    <w:rsid w:val="3CDB50CB"/>
    <w:rsid w:val="3CE360F2"/>
    <w:rsid w:val="3CEA5162"/>
    <w:rsid w:val="3CEE5C15"/>
    <w:rsid w:val="3CF46F06"/>
    <w:rsid w:val="3CF5496B"/>
    <w:rsid w:val="3D0B4E51"/>
    <w:rsid w:val="3D115586"/>
    <w:rsid w:val="3D197739"/>
    <w:rsid w:val="3D296645"/>
    <w:rsid w:val="3D2B2775"/>
    <w:rsid w:val="3D3103CE"/>
    <w:rsid w:val="3D3130F3"/>
    <w:rsid w:val="3D3C4E22"/>
    <w:rsid w:val="3D422B64"/>
    <w:rsid w:val="3D477BF1"/>
    <w:rsid w:val="3D500385"/>
    <w:rsid w:val="3D59462B"/>
    <w:rsid w:val="3D5A44CB"/>
    <w:rsid w:val="3D5A54B8"/>
    <w:rsid w:val="3D6025AF"/>
    <w:rsid w:val="3D647CD4"/>
    <w:rsid w:val="3D6E33D0"/>
    <w:rsid w:val="3D7B49B3"/>
    <w:rsid w:val="3D84454D"/>
    <w:rsid w:val="3D8620EC"/>
    <w:rsid w:val="3D8D259B"/>
    <w:rsid w:val="3D8D2E74"/>
    <w:rsid w:val="3D940183"/>
    <w:rsid w:val="3D94569F"/>
    <w:rsid w:val="3DA1471C"/>
    <w:rsid w:val="3DAD4BED"/>
    <w:rsid w:val="3DAE1A1E"/>
    <w:rsid w:val="3DB328C2"/>
    <w:rsid w:val="3DC2604C"/>
    <w:rsid w:val="3DCC12F0"/>
    <w:rsid w:val="3DD46CC7"/>
    <w:rsid w:val="3DE41CDC"/>
    <w:rsid w:val="3DE85142"/>
    <w:rsid w:val="3DE90CA8"/>
    <w:rsid w:val="3DEB52FD"/>
    <w:rsid w:val="3DF12E5A"/>
    <w:rsid w:val="3E016AE6"/>
    <w:rsid w:val="3E187D1F"/>
    <w:rsid w:val="3E1C3525"/>
    <w:rsid w:val="3E200B4B"/>
    <w:rsid w:val="3E225DB0"/>
    <w:rsid w:val="3E33791B"/>
    <w:rsid w:val="3E3D069E"/>
    <w:rsid w:val="3E483582"/>
    <w:rsid w:val="3E5337D0"/>
    <w:rsid w:val="3E537DE4"/>
    <w:rsid w:val="3E554154"/>
    <w:rsid w:val="3E5F165E"/>
    <w:rsid w:val="3E6A28BE"/>
    <w:rsid w:val="3E86299B"/>
    <w:rsid w:val="3E8A2A4A"/>
    <w:rsid w:val="3E904009"/>
    <w:rsid w:val="3E996659"/>
    <w:rsid w:val="3E9E1FC0"/>
    <w:rsid w:val="3EA300A7"/>
    <w:rsid w:val="3EB93130"/>
    <w:rsid w:val="3EC3043C"/>
    <w:rsid w:val="3EC8242A"/>
    <w:rsid w:val="3EC82FB3"/>
    <w:rsid w:val="3EC8679C"/>
    <w:rsid w:val="3ECC3CBE"/>
    <w:rsid w:val="3ECE132F"/>
    <w:rsid w:val="3ED66E05"/>
    <w:rsid w:val="3ED9378A"/>
    <w:rsid w:val="3EE5288B"/>
    <w:rsid w:val="3EFD1DF1"/>
    <w:rsid w:val="3F027DD0"/>
    <w:rsid w:val="3F232D0D"/>
    <w:rsid w:val="3F257025"/>
    <w:rsid w:val="3F2763A2"/>
    <w:rsid w:val="3F293129"/>
    <w:rsid w:val="3F2E1337"/>
    <w:rsid w:val="3F2E2497"/>
    <w:rsid w:val="3F3303B1"/>
    <w:rsid w:val="3F4152FA"/>
    <w:rsid w:val="3F440641"/>
    <w:rsid w:val="3F4A339D"/>
    <w:rsid w:val="3F4A5777"/>
    <w:rsid w:val="3F553F1E"/>
    <w:rsid w:val="3F650802"/>
    <w:rsid w:val="3F66563F"/>
    <w:rsid w:val="3F6E7773"/>
    <w:rsid w:val="3F7F1757"/>
    <w:rsid w:val="3F8165CD"/>
    <w:rsid w:val="3F861DD4"/>
    <w:rsid w:val="3F8E7BF9"/>
    <w:rsid w:val="3F9F1936"/>
    <w:rsid w:val="3FBF2FE8"/>
    <w:rsid w:val="3FCF3ECE"/>
    <w:rsid w:val="3FDE02D2"/>
    <w:rsid w:val="3FFB6A4F"/>
    <w:rsid w:val="40016981"/>
    <w:rsid w:val="4002562A"/>
    <w:rsid w:val="400D69C0"/>
    <w:rsid w:val="401E0B4D"/>
    <w:rsid w:val="401E1F88"/>
    <w:rsid w:val="40266EE6"/>
    <w:rsid w:val="40267F92"/>
    <w:rsid w:val="40275AB8"/>
    <w:rsid w:val="402D166A"/>
    <w:rsid w:val="403A2EC7"/>
    <w:rsid w:val="405A40DF"/>
    <w:rsid w:val="40653402"/>
    <w:rsid w:val="40654256"/>
    <w:rsid w:val="406E2D1C"/>
    <w:rsid w:val="40774C91"/>
    <w:rsid w:val="407A1956"/>
    <w:rsid w:val="407C3AE5"/>
    <w:rsid w:val="407F1C79"/>
    <w:rsid w:val="409171F4"/>
    <w:rsid w:val="40942BDE"/>
    <w:rsid w:val="409B660A"/>
    <w:rsid w:val="409C46F8"/>
    <w:rsid w:val="40A148E9"/>
    <w:rsid w:val="40A96AA7"/>
    <w:rsid w:val="40B04F11"/>
    <w:rsid w:val="40C27447"/>
    <w:rsid w:val="40CA627D"/>
    <w:rsid w:val="40D2308B"/>
    <w:rsid w:val="40D630BA"/>
    <w:rsid w:val="40D641E4"/>
    <w:rsid w:val="40DD7A15"/>
    <w:rsid w:val="41063FE9"/>
    <w:rsid w:val="41080CDA"/>
    <w:rsid w:val="411266A1"/>
    <w:rsid w:val="411E0B85"/>
    <w:rsid w:val="413362A7"/>
    <w:rsid w:val="414311A9"/>
    <w:rsid w:val="4149186F"/>
    <w:rsid w:val="415B010F"/>
    <w:rsid w:val="415E7F1E"/>
    <w:rsid w:val="416136C1"/>
    <w:rsid w:val="4163168B"/>
    <w:rsid w:val="41645CF3"/>
    <w:rsid w:val="41684FED"/>
    <w:rsid w:val="41705CAC"/>
    <w:rsid w:val="41751899"/>
    <w:rsid w:val="417852FE"/>
    <w:rsid w:val="41792489"/>
    <w:rsid w:val="417E7959"/>
    <w:rsid w:val="41833E46"/>
    <w:rsid w:val="41863A79"/>
    <w:rsid w:val="418718DD"/>
    <w:rsid w:val="418E755B"/>
    <w:rsid w:val="41975AE6"/>
    <w:rsid w:val="419A0534"/>
    <w:rsid w:val="419B5637"/>
    <w:rsid w:val="41A50C0C"/>
    <w:rsid w:val="41A7672E"/>
    <w:rsid w:val="41AB30BD"/>
    <w:rsid w:val="41C16449"/>
    <w:rsid w:val="41CB028C"/>
    <w:rsid w:val="41EA4FEF"/>
    <w:rsid w:val="41EC4267"/>
    <w:rsid w:val="41EE52C2"/>
    <w:rsid w:val="41FD4D22"/>
    <w:rsid w:val="42101E16"/>
    <w:rsid w:val="4212294F"/>
    <w:rsid w:val="421309EA"/>
    <w:rsid w:val="421337A1"/>
    <w:rsid w:val="421B33FA"/>
    <w:rsid w:val="422C1E62"/>
    <w:rsid w:val="422C3873"/>
    <w:rsid w:val="422E1456"/>
    <w:rsid w:val="422F2399"/>
    <w:rsid w:val="42310E70"/>
    <w:rsid w:val="4238215D"/>
    <w:rsid w:val="42387696"/>
    <w:rsid w:val="42472441"/>
    <w:rsid w:val="42490980"/>
    <w:rsid w:val="424A586D"/>
    <w:rsid w:val="42576B28"/>
    <w:rsid w:val="425A03C6"/>
    <w:rsid w:val="426254CD"/>
    <w:rsid w:val="426A072B"/>
    <w:rsid w:val="426E0E54"/>
    <w:rsid w:val="42746CC9"/>
    <w:rsid w:val="42782D0E"/>
    <w:rsid w:val="42794168"/>
    <w:rsid w:val="42812BEB"/>
    <w:rsid w:val="428D254A"/>
    <w:rsid w:val="42917131"/>
    <w:rsid w:val="429733C9"/>
    <w:rsid w:val="429F13E2"/>
    <w:rsid w:val="42AE6B72"/>
    <w:rsid w:val="42B07FE6"/>
    <w:rsid w:val="42B20202"/>
    <w:rsid w:val="42B368EE"/>
    <w:rsid w:val="42BE31F4"/>
    <w:rsid w:val="42BF4A33"/>
    <w:rsid w:val="42CA3CDB"/>
    <w:rsid w:val="42D85084"/>
    <w:rsid w:val="42DA1507"/>
    <w:rsid w:val="42E23496"/>
    <w:rsid w:val="42E43514"/>
    <w:rsid w:val="42E87A95"/>
    <w:rsid w:val="43011432"/>
    <w:rsid w:val="43127A8C"/>
    <w:rsid w:val="431567DE"/>
    <w:rsid w:val="431B24E0"/>
    <w:rsid w:val="431F46B8"/>
    <w:rsid w:val="432129E2"/>
    <w:rsid w:val="432B0A09"/>
    <w:rsid w:val="433A4C14"/>
    <w:rsid w:val="43441DEB"/>
    <w:rsid w:val="4345375F"/>
    <w:rsid w:val="43476B9D"/>
    <w:rsid w:val="4349122C"/>
    <w:rsid w:val="434B6E74"/>
    <w:rsid w:val="4357300A"/>
    <w:rsid w:val="43621BFB"/>
    <w:rsid w:val="43654953"/>
    <w:rsid w:val="43675239"/>
    <w:rsid w:val="437300B3"/>
    <w:rsid w:val="43756941"/>
    <w:rsid w:val="437E6337"/>
    <w:rsid w:val="437F77BC"/>
    <w:rsid w:val="43801B7A"/>
    <w:rsid w:val="438028DB"/>
    <w:rsid w:val="43830C99"/>
    <w:rsid w:val="43933756"/>
    <w:rsid w:val="439C453E"/>
    <w:rsid w:val="43B53A2B"/>
    <w:rsid w:val="43B823A9"/>
    <w:rsid w:val="43BE6232"/>
    <w:rsid w:val="43C90F7F"/>
    <w:rsid w:val="43D349E2"/>
    <w:rsid w:val="43D441A9"/>
    <w:rsid w:val="43D951C6"/>
    <w:rsid w:val="43D95633"/>
    <w:rsid w:val="43D971F8"/>
    <w:rsid w:val="43DA1716"/>
    <w:rsid w:val="43DD4E0B"/>
    <w:rsid w:val="43DE0B83"/>
    <w:rsid w:val="44011F00"/>
    <w:rsid w:val="44057C4B"/>
    <w:rsid w:val="44062C0D"/>
    <w:rsid w:val="440C6F05"/>
    <w:rsid w:val="44174544"/>
    <w:rsid w:val="441C152A"/>
    <w:rsid w:val="44320154"/>
    <w:rsid w:val="44352E99"/>
    <w:rsid w:val="44385C50"/>
    <w:rsid w:val="443E0904"/>
    <w:rsid w:val="44415838"/>
    <w:rsid w:val="4449591C"/>
    <w:rsid w:val="444F6752"/>
    <w:rsid w:val="445F7F16"/>
    <w:rsid w:val="44674FD6"/>
    <w:rsid w:val="446F1124"/>
    <w:rsid w:val="44744AF3"/>
    <w:rsid w:val="447C700B"/>
    <w:rsid w:val="447F27A2"/>
    <w:rsid w:val="4482462E"/>
    <w:rsid w:val="448B551F"/>
    <w:rsid w:val="448D2619"/>
    <w:rsid w:val="44982F38"/>
    <w:rsid w:val="44A1052F"/>
    <w:rsid w:val="44A76CF6"/>
    <w:rsid w:val="44AD1FCC"/>
    <w:rsid w:val="44BD0353"/>
    <w:rsid w:val="44C1472D"/>
    <w:rsid w:val="44C83D0E"/>
    <w:rsid w:val="44CD31E2"/>
    <w:rsid w:val="44DD62F3"/>
    <w:rsid w:val="44DE63A8"/>
    <w:rsid w:val="44DF60D4"/>
    <w:rsid w:val="44E04549"/>
    <w:rsid w:val="44E421C9"/>
    <w:rsid w:val="44F32FB8"/>
    <w:rsid w:val="44F85C75"/>
    <w:rsid w:val="450C32D1"/>
    <w:rsid w:val="45117BCB"/>
    <w:rsid w:val="452F78E8"/>
    <w:rsid w:val="45393FE2"/>
    <w:rsid w:val="453A3D5A"/>
    <w:rsid w:val="454B22CD"/>
    <w:rsid w:val="455E3D2A"/>
    <w:rsid w:val="455E543A"/>
    <w:rsid w:val="456526DC"/>
    <w:rsid w:val="456B6252"/>
    <w:rsid w:val="45830823"/>
    <w:rsid w:val="45862A66"/>
    <w:rsid w:val="45912560"/>
    <w:rsid w:val="45923676"/>
    <w:rsid w:val="45AF08BA"/>
    <w:rsid w:val="45BA3A4B"/>
    <w:rsid w:val="45C168FC"/>
    <w:rsid w:val="45C269A9"/>
    <w:rsid w:val="45CA5863"/>
    <w:rsid w:val="45E42AD7"/>
    <w:rsid w:val="45E44565"/>
    <w:rsid w:val="45ED675F"/>
    <w:rsid w:val="45FB6FE8"/>
    <w:rsid w:val="45FE6567"/>
    <w:rsid w:val="46004DE1"/>
    <w:rsid w:val="460F771A"/>
    <w:rsid w:val="46177320"/>
    <w:rsid w:val="461F1D4F"/>
    <w:rsid w:val="46226875"/>
    <w:rsid w:val="46317741"/>
    <w:rsid w:val="46383B0F"/>
    <w:rsid w:val="46450A93"/>
    <w:rsid w:val="464B7691"/>
    <w:rsid w:val="464F1BEA"/>
    <w:rsid w:val="46510993"/>
    <w:rsid w:val="465E2B27"/>
    <w:rsid w:val="4660270E"/>
    <w:rsid w:val="46647097"/>
    <w:rsid w:val="4672717E"/>
    <w:rsid w:val="46761D34"/>
    <w:rsid w:val="46792680"/>
    <w:rsid w:val="46843C64"/>
    <w:rsid w:val="468A7785"/>
    <w:rsid w:val="468D27B6"/>
    <w:rsid w:val="468D510C"/>
    <w:rsid w:val="46935C55"/>
    <w:rsid w:val="46A14816"/>
    <w:rsid w:val="46A55988"/>
    <w:rsid w:val="46A80D82"/>
    <w:rsid w:val="46AB7443"/>
    <w:rsid w:val="46AD46D2"/>
    <w:rsid w:val="46B26810"/>
    <w:rsid w:val="46BB7BAE"/>
    <w:rsid w:val="46BF304B"/>
    <w:rsid w:val="46CB0396"/>
    <w:rsid w:val="46CB3B16"/>
    <w:rsid w:val="46DB13AA"/>
    <w:rsid w:val="46DB2E7F"/>
    <w:rsid w:val="46E94533"/>
    <w:rsid w:val="46E97115"/>
    <w:rsid w:val="46EA34E6"/>
    <w:rsid w:val="46F506BE"/>
    <w:rsid w:val="46F575B9"/>
    <w:rsid w:val="46F909AA"/>
    <w:rsid w:val="46FF6008"/>
    <w:rsid w:val="470457E6"/>
    <w:rsid w:val="47094169"/>
    <w:rsid w:val="47174AD8"/>
    <w:rsid w:val="47185071"/>
    <w:rsid w:val="471861C1"/>
    <w:rsid w:val="472530E4"/>
    <w:rsid w:val="472936D2"/>
    <w:rsid w:val="472B40E0"/>
    <w:rsid w:val="47307DD7"/>
    <w:rsid w:val="47376D57"/>
    <w:rsid w:val="473A07C7"/>
    <w:rsid w:val="473C1E11"/>
    <w:rsid w:val="473E3FFB"/>
    <w:rsid w:val="473F409F"/>
    <w:rsid w:val="4741268A"/>
    <w:rsid w:val="474449A0"/>
    <w:rsid w:val="47496A9E"/>
    <w:rsid w:val="474C23A8"/>
    <w:rsid w:val="475029D2"/>
    <w:rsid w:val="475603F6"/>
    <w:rsid w:val="47571378"/>
    <w:rsid w:val="47642037"/>
    <w:rsid w:val="47656905"/>
    <w:rsid w:val="47685334"/>
    <w:rsid w:val="47722A18"/>
    <w:rsid w:val="47737A6D"/>
    <w:rsid w:val="47741D0C"/>
    <w:rsid w:val="477C493B"/>
    <w:rsid w:val="47841B24"/>
    <w:rsid w:val="478622F2"/>
    <w:rsid w:val="47876B9F"/>
    <w:rsid w:val="478A6996"/>
    <w:rsid w:val="478F54C6"/>
    <w:rsid w:val="479236A7"/>
    <w:rsid w:val="47953EA1"/>
    <w:rsid w:val="47985C20"/>
    <w:rsid w:val="479869DC"/>
    <w:rsid w:val="47A213C0"/>
    <w:rsid w:val="47AA76FA"/>
    <w:rsid w:val="47AD2D46"/>
    <w:rsid w:val="47B4036E"/>
    <w:rsid w:val="47B76453"/>
    <w:rsid w:val="47C2640D"/>
    <w:rsid w:val="47CA5946"/>
    <w:rsid w:val="47D6229D"/>
    <w:rsid w:val="47DC4284"/>
    <w:rsid w:val="47DF7B1C"/>
    <w:rsid w:val="47E8372E"/>
    <w:rsid w:val="47F21EF0"/>
    <w:rsid w:val="47F5197C"/>
    <w:rsid w:val="47F95DB7"/>
    <w:rsid w:val="481D120F"/>
    <w:rsid w:val="482105C0"/>
    <w:rsid w:val="48211E7E"/>
    <w:rsid w:val="482F2480"/>
    <w:rsid w:val="48342F88"/>
    <w:rsid w:val="483510C7"/>
    <w:rsid w:val="48477862"/>
    <w:rsid w:val="485C39F4"/>
    <w:rsid w:val="485F4BAA"/>
    <w:rsid w:val="4862142D"/>
    <w:rsid w:val="48626E30"/>
    <w:rsid w:val="48636ED0"/>
    <w:rsid w:val="48680479"/>
    <w:rsid w:val="487835F2"/>
    <w:rsid w:val="487C274E"/>
    <w:rsid w:val="48952A5D"/>
    <w:rsid w:val="489701E4"/>
    <w:rsid w:val="489839F7"/>
    <w:rsid w:val="489C5552"/>
    <w:rsid w:val="489D3C05"/>
    <w:rsid w:val="48AB0568"/>
    <w:rsid w:val="48AF7082"/>
    <w:rsid w:val="48B00D40"/>
    <w:rsid w:val="48B23A8E"/>
    <w:rsid w:val="48C170BE"/>
    <w:rsid w:val="48CD0CC0"/>
    <w:rsid w:val="48D53C4F"/>
    <w:rsid w:val="48D949EA"/>
    <w:rsid w:val="48F52BF7"/>
    <w:rsid w:val="48F73D54"/>
    <w:rsid w:val="49037C95"/>
    <w:rsid w:val="4905290C"/>
    <w:rsid w:val="49063785"/>
    <w:rsid w:val="490868B8"/>
    <w:rsid w:val="491C0184"/>
    <w:rsid w:val="491C548A"/>
    <w:rsid w:val="491D1B81"/>
    <w:rsid w:val="492F531F"/>
    <w:rsid w:val="492F6636"/>
    <w:rsid w:val="492F7E36"/>
    <w:rsid w:val="493C0826"/>
    <w:rsid w:val="49405D5E"/>
    <w:rsid w:val="494D2A33"/>
    <w:rsid w:val="49561E92"/>
    <w:rsid w:val="496109D3"/>
    <w:rsid w:val="4962520E"/>
    <w:rsid w:val="49673563"/>
    <w:rsid w:val="496A1DB8"/>
    <w:rsid w:val="4971045B"/>
    <w:rsid w:val="4979031F"/>
    <w:rsid w:val="497976FA"/>
    <w:rsid w:val="4980571E"/>
    <w:rsid w:val="49833A3E"/>
    <w:rsid w:val="49896678"/>
    <w:rsid w:val="49AE68B8"/>
    <w:rsid w:val="49B274AE"/>
    <w:rsid w:val="49B609BA"/>
    <w:rsid w:val="49C60139"/>
    <w:rsid w:val="49C63B01"/>
    <w:rsid w:val="49E6704C"/>
    <w:rsid w:val="49EE6A1F"/>
    <w:rsid w:val="49EF23AD"/>
    <w:rsid w:val="49F14CC3"/>
    <w:rsid w:val="49FD0DD8"/>
    <w:rsid w:val="49FD6413"/>
    <w:rsid w:val="4A087357"/>
    <w:rsid w:val="4A0B1FA6"/>
    <w:rsid w:val="4A0C39A3"/>
    <w:rsid w:val="4A0D21C2"/>
    <w:rsid w:val="4A1B1F00"/>
    <w:rsid w:val="4A2512BA"/>
    <w:rsid w:val="4A2F5C12"/>
    <w:rsid w:val="4A301A0D"/>
    <w:rsid w:val="4A3D4FF8"/>
    <w:rsid w:val="4A3F629B"/>
    <w:rsid w:val="4A416D23"/>
    <w:rsid w:val="4A4C7AB7"/>
    <w:rsid w:val="4A541B9F"/>
    <w:rsid w:val="4A546A31"/>
    <w:rsid w:val="4A691BA3"/>
    <w:rsid w:val="4A6F4573"/>
    <w:rsid w:val="4A75264F"/>
    <w:rsid w:val="4A7D4C52"/>
    <w:rsid w:val="4A8622B6"/>
    <w:rsid w:val="4A8F0E29"/>
    <w:rsid w:val="4A9401EE"/>
    <w:rsid w:val="4A9439D1"/>
    <w:rsid w:val="4AA13962"/>
    <w:rsid w:val="4AAF6DD6"/>
    <w:rsid w:val="4AB64608"/>
    <w:rsid w:val="4AC777A1"/>
    <w:rsid w:val="4ACC7988"/>
    <w:rsid w:val="4ACF2AC4"/>
    <w:rsid w:val="4ADB40EF"/>
    <w:rsid w:val="4ADD4949"/>
    <w:rsid w:val="4ADF497B"/>
    <w:rsid w:val="4AE86A3E"/>
    <w:rsid w:val="4AF331A0"/>
    <w:rsid w:val="4AF7270C"/>
    <w:rsid w:val="4AF81756"/>
    <w:rsid w:val="4AFB4707"/>
    <w:rsid w:val="4B037587"/>
    <w:rsid w:val="4B0C10BD"/>
    <w:rsid w:val="4B15132F"/>
    <w:rsid w:val="4B1D6F30"/>
    <w:rsid w:val="4B201A81"/>
    <w:rsid w:val="4B33627A"/>
    <w:rsid w:val="4B356505"/>
    <w:rsid w:val="4B3A331C"/>
    <w:rsid w:val="4B3C501C"/>
    <w:rsid w:val="4B3D32A5"/>
    <w:rsid w:val="4B425199"/>
    <w:rsid w:val="4B503E7D"/>
    <w:rsid w:val="4B5526A6"/>
    <w:rsid w:val="4B6140D7"/>
    <w:rsid w:val="4B6A739A"/>
    <w:rsid w:val="4B6B2FC4"/>
    <w:rsid w:val="4B720A2E"/>
    <w:rsid w:val="4B816AF3"/>
    <w:rsid w:val="4B84080B"/>
    <w:rsid w:val="4B885FA4"/>
    <w:rsid w:val="4B983D0E"/>
    <w:rsid w:val="4B985ABC"/>
    <w:rsid w:val="4BBA5C6F"/>
    <w:rsid w:val="4BC3761F"/>
    <w:rsid w:val="4BC84812"/>
    <w:rsid w:val="4BD5286C"/>
    <w:rsid w:val="4BE83C66"/>
    <w:rsid w:val="4BEE2702"/>
    <w:rsid w:val="4BEF7DD1"/>
    <w:rsid w:val="4BF03667"/>
    <w:rsid w:val="4BF1539E"/>
    <w:rsid w:val="4BFE7D23"/>
    <w:rsid w:val="4C0D46FC"/>
    <w:rsid w:val="4C0D69A5"/>
    <w:rsid w:val="4C114E73"/>
    <w:rsid w:val="4C1D41C6"/>
    <w:rsid w:val="4C276414"/>
    <w:rsid w:val="4C2F01CE"/>
    <w:rsid w:val="4C30348B"/>
    <w:rsid w:val="4C457E06"/>
    <w:rsid w:val="4C486022"/>
    <w:rsid w:val="4C533964"/>
    <w:rsid w:val="4C561AA4"/>
    <w:rsid w:val="4C564748"/>
    <w:rsid w:val="4C5653EF"/>
    <w:rsid w:val="4C58759F"/>
    <w:rsid w:val="4C6E490F"/>
    <w:rsid w:val="4C6E57B5"/>
    <w:rsid w:val="4C7A3E0A"/>
    <w:rsid w:val="4C9130F6"/>
    <w:rsid w:val="4C992C68"/>
    <w:rsid w:val="4C9A24A5"/>
    <w:rsid w:val="4C9A5BA3"/>
    <w:rsid w:val="4CB30DFF"/>
    <w:rsid w:val="4CB4751A"/>
    <w:rsid w:val="4CC80B32"/>
    <w:rsid w:val="4CCF0CFC"/>
    <w:rsid w:val="4CD36081"/>
    <w:rsid w:val="4CD715B6"/>
    <w:rsid w:val="4CE34671"/>
    <w:rsid w:val="4CE7633D"/>
    <w:rsid w:val="4CF17B79"/>
    <w:rsid w:val="4CFE58B7"/>
    <w:rsid w:val="4D022BD1"/>
    <w:rsid w:val="4D0D5045"/>
    <w:rsid w:val="4D0F534D"/>
    <w:rsid w:val="4D135839"/>
    <w:rsid w:val="4D144D0B"/>
    <w:rsid w:val="4D241DA1"/>
    <w:rsid w:val="4D2874FB"/>
    <w:rsid w:val="4D3161C8"/>
    <w:rsid w:val="4D3925A5"/>
    <w:rsid w:val="4D3B252B"/>
    <w:rsid w:val="4D48415D"/>
    <w:rsid w:val="4D694853"/>
    <w:rsid w:val="4D6E3730"/>
    <w:rsid w:val="4D761DF4"/>
    <w:rsid w:val="4D7D0B22"/>
    <w:rsid w:val="4D803811"/>
    <w:rsid w:val="4D964BDE"/>
    <w:rsid w:val="4D9D16E6"/>
    <w:rsid w:val="4DA22F6F"/>
    <w:rsid w:val="4DA366F2"/>
    <w:rsid w:val="4DA65D61"/>
    <w:rsid w:val="4DA74E33"/>
    <w:rsid w:val="4DA82C5E"/>
    <w:rsid w:val="4DA90ECF"/>
    <w:rsid w:val="4DAB7D28"/>
    <w:rsid w:val="4DB90D53"/>
    <w:rsid w:val="4DC25072"/>
    <w:rsid w:val="4DC43E1F"/>
    <w:rsid w:val="4DC5673B"/>
    <w:rsid w:val="4DCA651D"/>
    <w:rsid w:val="4DCB2178"/>
    <w:rsid w:val="4DD455C4"/>
    <w:rsid w:val="4DD52FF7"/>
    <w:rsid w:val="4DEE1BA4"/>
    <w:rsid w:val="4DF25957"/>
    <w:rsid w:val="4DF85277"/>
    <w:rsid w:val="4DFC5B74"/>
    <w:rsid w:val="4E00643A"/>
    <w:rsid w:val="4E1A5E9B"/>
    <w:rsid w:val="4E204F8C"/>
    <w:rsid w:val="4E206385"/>
    <w:rsid w:val="4E220315"/>
    <w:rsid w:val="4E2B750E"/>
    <w:rsid w:val="4E372CEF"/>
    <w:rsid w:val="4E5057CD"/>
    <w:rsid w:val="4E525C89"/>
    <w:rsid w:val="4E5F70ED"/>
    <w:rsid w:val="4E6C7842"/>
    <w:rsid w:val="4E710F72"/>
    <w:rsid w:val="4E712D20"/>
    <w:rsid w:val="4E716DD6"/>
    <w:rsid w:val="4E7D41EF"/>
    <w:rsid w:val="4E8743CF"/>
    <w:rsid w:val="4E8A19A2"/>
    <w:rsid w:val="4EA73499"/>
    <w:rsid w:val="4EAF6660"/>
    <w:rsid w:val="4EB3274A"/>
    <w:rsid w:val="4EB33338"/>
    <w:rsid w:val="4EB42C0C"/>
    <w:rsid w:val="4EC112A5"/>
    <w:rsid w:val="4EC15329"/>
    <w:rsid w:val="4EC27DC2"/>
    <w:rsid w:val="4EC55A56"/>
    <w:rsid w:val="4ECC7680"/>
    <w:rsid w:val="4ECD7A91"/>
    <w:rsid w:val="4ED5661F"/>
    <w:rsid w:val="4EE33A64"/>
    <w:rsid w:val="4EE520BF"/>
    <w:rsid w:val="4EEA667A"/>
    <w:rsid w:val="4EEC2511"/>
    <w:rsid w:val="4EFE20DA"/>
    <w:rsid w:val="4F0516BA"/>
    <w:rsid w:val="4F05494C"/>
    <w:rsid w:val="4F0D50A9"/>
    <w:rsid w:val="4F11126D"/>
    <w:rsid w:val="4F1A62E3"/>
    <w:rsid w:val="4F1E19C9"/>
    <w:rsid w:val="4F20737B"/>
    <w:rsid w:val="4F254CD6"/>
    <w:rsid w:val="4F2E6E63"/>
    <w:rsid w:val="4F311C64"/>
    <w:rsid w:val="4F460289"/>
    <w:rsid w:val="4F473CD7"/>
    <w:rsid w:val="4F474CB8"/>
    <w:rsid w:val="4F5D32F2"/>
    <w:rsid w:val="4F737BC5"/>
    <w:rsid w:val="4F8306AF"/>
    <w:rsid w:val="4F897829"/>
    <w:rsid w:val="4F8B21F9"/>
    <w:rsid w:val="4F970DE9"/>
    <w:rsid w:val="4F971FC4"/>
    <w:rsid w:val="4F974A08"/>
    <w:rsid w:val="4F985CD1"/>
    <w:rsid w:val="4FA5268C"/>
    <w:rsid w:val="4FAE3B00"/>
    <w:rsid w:val="4FC804D5"/>
    <w:rsid w:val="4FC96B8B"/>
    <w:rsid w:val="4FCC1A25"/>
    <w:rsid w:val="4FDD6723"/>
    <w:rsid w:val="4FDF78E9"/>
    <w:rsid w:val="4FF22676"/>
    <w:rsid w:val="4FFE1B06"/>
    <w:rsid w:val="50047F66"/>
    <w:rsid w:val="500A40D7"/>
    <w:rsid w:val="501A0C8E"/>
    <w:rsid w:val="501A122A"/>
    <w:rsid w:val="501A2F43"/>
    <w:rsid w:val="502138A5"/>
    <w:rsid w:val="50247920"/>
    <w:rsid w:val="502E57D9"/>
    <w:rsid w:val="50593A6B"/>
    <w:rsid w:val="505A51B9"/>
    <w:rsid w:val="505A67EB"/>
    <w:rsid w:val="50654940"/>
    <w:rsid w:val="50700DB5"/>
    <w:rsid w:val="50750658"/>
    <w:rsid w:val="50765757"/>
    <w:rsid w:val="507B60D8"/>
    <w:rsid w:val="50827466"/>
    <w:rsid w:val="508C15FC"/>
    <w:rsid w:val="508D1967"/>
    <w:rsid w:val="509C3829"/>
    <w:rsid w:val="509E5922"/>
    <w:rsid w:val="50B63FD8"/>
    <w:rsid w:val="50B777F0"/>
    <w:rsid w:val="50BB47E0"/>
    <w:rsid w:val="50BD18A9"/>
    <w:rsid w:val="50C46BEE"/>
    <w:rsid w:val="50D37CC2"/>
    <w:rsid w:val="50D92558"/>
    <w:rsid w:val="50D94705"/>
    <w:rsid w:val="50DF2385"/>
    <w:rsid w:val="50E33CEC"/>
    <w:rsid w:val="50F24380"/>
    <w:rsid w:val="50FC73BD"/>
    <w:rsid w:val="5104794E"/>
    <w:rsid w:val="510F1A3E"/>
    <w:rsid w:val="510F4A72"/>
    <w:rsid w:val="511C56B7"/>
    <w:rsid w:val="511D153D"/>
    <w:rsid w:val="51205FD8"/>
    <w:rsid w:val="51363DAD"/>
    <w:rsid w:val="513C4376"/>
    <w:rsid w:val="51433D5D"/>
    <w:rsid w:val="51435D0C"/>
    <w:rsid w:val="51446169"/>
    <w:rsid w:val="514F6D7D"/>
    <w:rsid w:val="51654692"/>
    <w:rsid w:val="516B6A17"/>
    <w:rsid w:val="516E22FB"/>
    <w:rsid w:val="517765FC"/>
    <w:rsid w:val="517A638F"/>
    <w:rsid w:val="518202C7"/>
    <w:rsid w:val="519A032B"/>
    <w:rsid w:val="519D4FB2"/>
    <w:rsid w:val="519E21FD"/>
    <w:rsid w:val="51AA50F9"/>
    <w:rsid w:val="51AF10C4"/>
    <w:rsid w:val="51B06B92"/>
    <w:rsid w:val="51B07591"/>
    <w:rsid w:val="51B43002"/>
    <w:rsid w:val="51B57B6D"/>
    <w:rsid w:val="51B839E6"/>
    <w:rsid w:val="51BB1A11"/>
    <w:rsid w:val="51BD6C11"/>
    <w:rsid w:val="51CD2E5F"/>
    <w:rsid w:val="51D07D5D"/>
    <w:rsid w:val="51DA58AE"/>
    <w:rsid w:val="51DB5821"/>
    <w:rsid w:val="51DD376A"/>
    <w:rsid w:val="51E5449B"/>
    <w:rsid w:val="51E66508"/>
    <w:rsid w:val="51E847AF"/>
    <w:rsid w:val="51EA7907"/>
    <w:rsid w:val="51F7178E"/>
    <w:rsid w:val="52017EFE"/>
    <w:rsid w:val="521E5FFD"/>
    <w:rsid w:val="522D3F63"/>
    <w:rsid w:val="52353550"/>
    <w:rsid w:val="524450A3"/>
    <w:rsid w:val="52483D98"/>
    <w:rsid w:val="52510CC8"/>
    <w:rsid w:val="52583CBA"/>
    <w:rsid w:val="525E35BB"/>
    <w:rsid w:val="525F5585"/>
    <w:rsid w:val="52643FB3"/>
    <w:rsid w:val="5264494A"/>
    <w:rsid w:val="526E0E00"/>
    <w:rsid w:val="5270414C"/>
    <w:rsid w:val="52952D55"/>
    <w:rsid w:val="52B0193D"/>
    <w:rsid w:val="52B224F0"/>
    <w:rsid w:val="52B41F04"/>
    <w:rsid w:val="52B6366E"/>
    <w:rsid w:val="52C660C9"/>
    <w:rsid w:val="52CF29D7"/>
    <w:rsid w:val="52D94139"/>
    <w:rsid w:val="52E3567F"/>
    <w:rsid w:val="52ED06D4"/>
    <w:rsid w:val="52F331C3"/>
    <w:rsid w:val="52F93FBF"/>
    <w:rsid w:val="53001BB3"/>
    <w:rsid w:val="530028C4"/>
    <w:rsid w:val="53024A4D"/>
    <w:rsid w:val="530265E4"/>
    <w:rsid w:val="530A0C1B"/>
    <w:rsid w:val="53143779"/>
    <w:rsid w:val="531B3817"/>
    <w:rsid w:val="53264D65"/>
    <w:rsid w:val="532931AC"/>
    <w:rsid w:val="532F0995"/>
    <w:rsid w:val="532F74D8"/>
    <w:rsid w:val="5334431C"/>
    <w:rsid w:val="53431E6B"/>
    <w:rsid w:val="534555A6"/>
    <w:rsid w:val="53501B3A"/>
    <w:rsid w:val="5367646B"/>
    <w:rsid w:val="537514ED"/>
    <w:rsid w:val="537D2167"/>
    <w:rsid w:val="53815461"/>
    <w:rsid w:val="53987838"/>
    <w:rsid w:val="539D45B7"/>
    <w:rsid w:val="539E2F53"/>
    <w:rsid w:val="53A56FC8"/>
    <w:rsid w:val="53AB168D"/>
    <w:rsid w:val="53AD1FC2"/>
    <w:rsid w:val="53B07B30"/>
    <w:rsid w:val="53B4545D"/>
    <w:rsid w:val="53C102A5"/>
    <w:rsid w:val="53CD3590"/>
    <w:rsid w:val="53D23837"/>
    <w:rsid w:val="53D32C63"/>
    <w:rsid w:val="53DE6F83"/>
    <w:rsid w:val="53E17EA9"/>
    <w:rsid w:val="53EF3446"/>
    <w:rsid w:val="53F01264"/>
    <w:rsid w:val="53F82DF0"/>
    <w:rsid w:val="53FA37B7"/>
    <w:rsid w:val="53FA5565"/>
    <w:rsid w:val="53FC0EC4"/>
    <w:rsid w:val="5400395F"/>
    <w:rsid w:val="54062707"/>
    <w:rsid w:val="54077C82"/>
    <w:rsid w:val="540E194F"/>
    <w:rsid w:val="541233D7"/>
    <w:rsid w:val="5414737F"/>
    <w:rsid w:val="541C389D"/>
    <w:rsid w:val="541F29DD"/>
    <w:rsid w:val="5422041B"/>
    <w:rsid w:val="542B3971"/>
    <w:rsid w:val="5448592B"/>
    <w:rsid w:val="544B7B6F"/>
    <w:rsid w:val="544C7BFD"/>
    <w:rsid w:val="545029C2"/>
    <w:rsid w:val="5450301F"/>
    <w:rsid w:val="5450471C"/>
    <w:rsid w:val="545B7CBD"/>
    <w:rsid w:val="545F471D"/>
    <w:rsid w:val="54644D9B"/>
    <w:rsid w:val="54692F42"/>
    <w:rsid w:val="546A3A38"/>
    <w:rsid w:val="546E3ADE"/>
    <w:rsid w:val="54736A86"/>
    <w:rsid w:val="547651B8"/>
    <w:rsid w:val="54780EBC"/>
    <w:rsid w:val="547F33FC"/>
    <w:rsid w:val="548379B4"/>
    <w:rsid w:val="54A72293"/>
    <w:rsid w:val="54A84FC1"/>
    <w:rsid w:val="54A91A03"/>
    <w:rsid w:val="54C2646B"/>
    <w:rsid w:val="54C72B03"/>
    <w:rsid w:val="54CC69D9"/>
    <w:rsid w:val="54CC7FC3"/>
    <w:rsid w:val="54CD0339"/>
    <w:rsid w:val="54D65F23"/>
    <w:rsid w:val="54E94703"/>
    <w:rsid w:val="54EA17CF"/>
    <w:rsid w:val="54EF0AAE"/>
    <w:rsid w:val="54F647EB"/>
    <w:rsid w:val="54F77F3B"/>
    <w:rsid w:val="54F9507D"/>
    <w:rsid w:val="5503044A"/>
    <w:rsid w:val="550541C2"/>
    <w:rsid w:val="55090AE5"/>
    <w:rsid w:val="5518442B"/>
    <w:rsid w:val="5522648E"/>
    <w:rsid w:val="55257673"/>
    <w:rsid w:val="552611B1"/>
    <w:rsid w:val="55262A58"/>
    <w:rsid w:val="55316CD7"/>
    <w:rsid w:val="553271D3"/>
    <w:rsid w:val="5536081F"/>
    <w:rsid w:val="5537062A"/>
    <w:rsid w:val="55425E7B"/>
    <w:rsid w:val="55434CEA"/>
    <w:rsid w:val="554B700A"/>
    <w:rsid w:val="554F2666"/>
    <w:rsid w:val="554F7B33"/>
    <w:rsid w:val="55546EF7"/>
    <w:rsid w:val="55564A1D"/>
    <w:rsid w:val="556C60B3"/>
    <w:rsid w:val="55754E2B"/>
    <w:rsid w:val="55945D37"/>
    <w:rsid w:val="55A45A21"/>
    <w:rsid w:val="55AA0F8C"/>
    <w:rsid w:val="55B77BA9"/>
    <w:rsid w:val="55C87E5B"/>
    <w:rsid w:val="55CD5E8D"/>
    <w:rsid w:val="55DB4561"/>
    <w:rsid w:val="55DC0F43"/>
    <w:rsid w:val="55EB1F25"/>
    <w:rsid w:val="55EE0C26"/>
    <w:rsid w:val="56177866"/>
    <w:rsid w:val="561A04E3"/>
    <w:rsid w:val="562F774B"/>
    <w:rsid w:val="563E5AB2"/>
    <w:rsid w:val="563F540E"/>
    <w:rsid w:val="564414E3"/>
    <w:rsid w:val="564C522B"/>
    <w:rsid w:val="56551179"/>
    <w:rsid w:val="565C42B5"/>
    <w:rsid w:val="566118CC"/>
    <w:rsid w:val="567B7BFD"/>
    <w:rsid w:val="568850AA"/>
    <w:rsid w:val="56974290"/>
    <w:rsid w:val="56986987"/>
    <w:rsid w:val="569E667C"/>
    <w:rsid w:val="56A501F8"/>
    <w:rsid w:val="56B67C5D"/>
    <w:rsid w:val="56C055FC"/>
    <w:rsid w:val="56CB143B"/>
    <w:rsid w:val="56CC638C"/>
    <w:rsid w:val="56D3410E"/>
    <w:rsid w:val="56D51BC3"/>
    <w:rsid w:val="56DB67A7"/>
    <w:rsid w:val="56E556D3"/>
    <w:rsid w:val="56EB73E7"/>
    <w:rsid w:val="56EF34E3"/>
    <w:rsid w:val="56F049FE"/>
    <w:rsid w:val="56F33E8F"/>
    <w:rsid w:val="56FB37AA"/>
    <w:rsid w:val="56FC6F89"/>
    <w:rsid w:val="570D273C"/>
    <w:rsid w:val="571E1E61"/>
    <w:rsid w:val="57302766"/>
    <w:rsid w:val="573518D3"/>
    <w:rsid w:val="57501DED"/>
    <w:rsid w:val="575A1028"/>
    <w:rsid w:val="57634140"/>
    <w:rsid w:val="576524BB"/>
    <w:rsid w:val="576D6D93"/>
    <w:rsid w:val="577E6A3F"/>
    <w:rsid w:val="577F5FA9"/>
    <w:rsid w:val="577F68C1"/>
    <w:rsid w:val="57812F5F"/>
    <w:rsid w:val="57931F59"/>
    <w:rsid w:val="57A1557A"/>
    <w:rsid w:val="57A16858"/>
    <w:rsid w:val="57AC250F"/>
    <w:rsid w:val="57C24C91"/>
    <w:rsid w:val="57CF2668"/>
    <w:rsid w:val="57D20CF9"/>
    <w:rsid w:val="57E52ADF"/>
    <w:rsid w:val="57E70737"/>
    <w:rsid w:val="57EA2A94"/>
    <w:rsid w:val="57EC1669"/>
    <w:rsid w:val="57EE6662"/>
    <w:rsid w:val="57FC57BD"/>
    <w:rsid w:val="57FF6155"/>
    <w:rsid w:val="580140A6"/>
    <w:rsid w:val="580B6E3C"/>
    <w:rsid w:val="580C1C8E"/>
    <w:rsid w:val="580D7D81"/>
    <w:rsid w:val="58120B37"/>
    <w:rsid w:val="58131D55"/>
    <w:rsid w:val="581E62DD"/>
    <w:rsid w:val="58291B84"/>
    <w:rsid w:val="58342026"/>
    <w:rsid w:val="58462CFB"/>
    <w:rsid w:val="585673E9"/>
    <w:rsid w:val="585A65D3"/>
    <w:rsid w:val="58613E05"/>
    <w:rsid w:val="58623049"/>
    <w:rsid w:val="586A54CE"/>
    <w:rsid w:val="586C3CC6"/>
    <w:rsid w:val="58783CFA"/>
    <w:rsid w:val="587B52C1"/>
    <w:rsid w:val="588D4442"/>
    <w:rsid w:val="588E0972"/>
    <w:rsid w:val="58951088"/>
    <w:rsid w:val="58990FC0"/>
    <w:rsid w:val="58A14C54"/>
    <w:rsid w:val="58A64233"/>
    <w:rsid w:val="58AF4435"/>
    <w:rsid w:val="58BA52C3"/>
    <w:rsid w:val="58BB3DC0"/>
    <w:rsid w:val="58C07FBB"/>
    <w:rsid w:val="58CC1EB8"/>
    <w:rsid w:val="58CF5213"/>
    <w:rsid w:val="58D1792B"/>
    <w:rsid w:val="58D95B4A"/>
    <w:rsid w:val="58DD409B"/>
    <w:rsid w:val="58E236F3"/>
    <w:rsid w:val="58E6255C"/>
    <w:rsid w:val="58F015D0"/>
    <w:rsid w:val="58FE78A6"/>
    <w:rsid w:val="59056087"/>
    <w:rsid w:val="5906339C"/>
    <w:rsid w:val="59131292"/>
    <w:rsid w:val="59232A72"/>
    <w:rsid w:val="5925316F"/>
    <w:rsid w:val="5942577F"/>
    <w:rsid w:val="59511F8F"/>
    <w:rsid w:val="59580B22"/>
    <w:rsid w:val="596A0C5D"/>
    <w:rsid w:val="5988042A"/>
    <w:rsid w:val="599041ED"/>
    <w:rsid w:val="59912541"/>
    <w:rsid w:val="59924FF5"/>
    <w:rsid w:val="599817E8"/>
    <w:rsid w:val="59B56492"/>
    <w:rsid w:val="59B91A1F"/>
    <w:rsid w:val="59C35ACF"/>
    <w:rsid w:val="59C53B23"/>
    <w:rsid w:val="59D65B05"/>
    <w:rsid w:val="59ED3476"/>
    <w:rsid w:val="5A02182B"/>
    <w:rsid w:val="5A0D509A"/>
    <w:rsid w:val="5A0F7891"/>
    <w:rsid w:val="5A1B6236"/>
    <w:rsid w:val="5A2400DF"/>
    <w:rsid w:val="5A285981"/>
    <w:rsid w:val="5A347F30"/>
    <w:rsid w:val="5A38069B"/>
    <w:rsid w:val="5A552EDD"/>
    <w:rsid w:val="5A587D48"/>
    <w:rsid w:val="5A6257DB"/>
    <w:rsid w:val="5A64740A"/>
    <w:rsid w:val="5A664CCE"/>
    <w:rsid w:val="5A737E20"/>
    <w:rsid w:val="5A746011"/>
    <w:rsid w:val="5A764626"/>
    <w:rsid w:val="5A7D0C9E"/>
    <w:rsid w:val="5A7D2A4C"/>
    <w:rsid w:val="5A8A5E83"/>
    <w:rsid w:val="5A8E6A07"/>
    <w:rsid w:val="5AA20ED6"/>
    <w:rsid w:val="5AA423B5"/>
    <w:rsid w:val="5AA708CA"/>
    <w:rsid w:val="5AA775FF"/>
    <w:rsid w:val="5AAC551A"/>
    <w:rsid w:val="5AB37F0E"/>
    <w:rsid w:val="5AC02939"/>
    <w:rsid w:val="5ADA3FE6"/>
    <w:rsid w:val="5AE969BB"/>
    <w:rsid w:val="5AED2B97"/>
    <w:rsid w:val="5AF17F45"/>
    <w:rsid w:val="5AF26392"/>
    <w:rsid w:val="5AF37DCE"/>
    <w:rsid w:val="5AFD5309"/>
    <w:rsid w:val="5B102138"/>
    <w:rsid w:val="5B157129"/>
    <w:rsid w:val="5B21787C"/>
    <w:rsid w:val="5B2327FE"/>
    <w:rsid w:val="5B2A28AF"/>
    <w:rsid w:val="5B2D4026"/>
    <w:rsid w:val="5B3B4BE1"/>
    <w:rsid w:val="5B4672E2"/>
    <w:rsid w:val="5B4B20B5"/>
    <w:rsid w:val="5B4F263B"/>
    <w:rsid w:val="5B5C08B4"/>
    <w:rsid w:val="5B5E6F93"/>
    <w:rsid w:val="5B6160B4"/>
    <w:rsid w:val="5B661732"/>
    <w:rsid w:val="5B691244"/>
    <w:rsid w:val="5B767480"/>
    <w:rsid w:val="5B7A672F"/>
    <w:rsid w:val="5B7C1860"/>
    <w:rsid w:val="5B7F50BF"/>
    <w:rsid w:val="5B867F38"/>
    <w:rsid w:val="5B9207A8"/>
    <w:rsid w:val="5B9E0ECC"/>
    <w:rsid w:val="5B9F7DAC"/>
    <w:rsid w:val="5BAC3A38"/>
    <w:rsid w:val="5BB77E50"/>
    <w:rsid w:val="5BBB37E1"/>
    <w:rsid w:val="5BBB3896"/>
    <w:rsid w:val="5BD40D92"/>
    <w:rsid w:val="5BF22D70"/>
    <w:rsid w:val="5BF55195"/>
    <w:rsid w:val="5C021E11"/>
    <w:rsid w:val="5C0553DC"/>
    <w:rsid w:val="5C07081F"/>
    <w:rsid w:val="5C0C052C"/>
    <w:rsid w:val="5C0C53F2"/>
    <w:rsid w:val="5C111495"/>
    <w:rsid w:val="5C165947"/>
    <w:rsid w:val="5C1739FF"/>
    <w:rsid w:val="5C182B40"/>
    <w:rsid w:val="5C1949F7"/>
    <w:rsid w:val="5C1F7933"/>
    <w:rsid w:val="5C3405B2"/>
    <w:rsid w:val="5C4863C1"/>
    <w:rsid w:val="5C4E068B"/>
    <w:rsid w:val="5C602626"/>
    <w:rsid w:val="5C61437B"/>
    <w:rsid w:val="5C6C3BD8"/>
    <w:rsid w:val="5C797243"/>
    <w:rsid w:val="5C7A6CC5"/>
    <w:rsid w:val="5C8956D8"/>
    <w:rsid w:val="5C8C06C1"/>
    <w:rsid w:val="5C992D62"/>
    <w:rsid w:val="5C9A1694"/>
    <w:rsid w:val="5C9D1184"/>
    <w:rsid w:val="5CAC6EDF"/>
    <w:rsid w:val="5CB02287"/>
    <w:rsid w:val="5CB4328D"/>
    <w:rsid w:val="5CC24B59"/>
    <w:rsid w:val="5CCC5196"/>
    <w:rsid w:val="5CDB4FE6"/>
    <w:rsid w:val="5CDF5473"/>
    <w:rsid w:val="5CEE5E83"/>
    <w:rsid w:val="5CEF6584"/>
    <w:rsid w:val="5CF71428"/>
    <w:rsid w:val="5D1773C9"/>
    <w:rsid w:val="5D1A6C78"/>
    <w:rsid w:val="5D1C02FB"/>
    <w:rsid w:val="5D254024"/>
    <w:rsid w:val="5D292A17"/>
    <w:rsid w:val="5D2B6790"/>
    <w:rsid w:val="5D34149D"/>
    <w:rsid w:val="5D3B5726"/>
    <w:rsid w:val="5D3F048D"/>
    <w:rsid w:val="5D445AA3"/>
    <w:rsid w:val="5D4601B1"/>
    <w:rsid w:val="5D494DBC"/>
    <w:rsid w:val="5D55588E"/>
    <w:rsid w:val="5D5A0839"/>
    <w:rsid w:val="5D5A4F29"/>
    <w:rsid w:val="5D67174C"/>
    <w:rsid w:val="5D703A41"/>
    <w:rsid w:val="5D786911"/>
    <w:rsid w:val="5D7A5CAC"/>
    <w:rsid w:val="5D7B0085"/>
    <w:rsid w:val="5D7B50D7"/>
    <w:rsid w:val="5D810AA5"/>
    <w:rsid w:val="5D811B5C"/>
    <w:rsid w:val="5D8660BC"/>
    <w:rsid w:val="5D9A56C3"/>
    <w:rsid w:val="5DAB27C9"/>
    <w:rsid w:val="5DAF7B60"/>
    <w:rsid w:val="5DB46EC8"/>
    <w:rsid w:val="5DC15346"/>
    <w:rsid w:val="5DC22429"/>
    <w:rsid w:val="5DCB6A18"/>
    <w:rsid w:val="5DD371C8"/>
    <w:rsid w:val="5DDB0AAD"/>
    <w:rsid w:val="5DF37C13"/>
    <w:rsid w:val="5DF84E51"/>
    <w:rsid w:val="5E156A90"/>
    <w:rsid w:val="5E211BF7"/>
    <w:rsid w:val="5E294CFC"/>
    <w:rsid w:val="5E337E3E"/>
    <w:rsid w:val="5E3564A3"/>
    <w:rsid w:val="5E39617D"/>
    <w:rsid w:val="5E400076"/>
    <w:rsid w:val="5E4775F9"/>
    <w:rsid w:val="5E5A73BB"/>
    <w:rsid w:val="5E6572A9"/>
    <w:rsid w:val="5E6F4588"/>
    <w:rsid w:val="5E766ABA"/>
    <w:rsid w:val="5E783C56"/>
    <w:rsid w:val="5E790CA0"/>
    <w:rsid w:val="5E7945FC"/>
    <w:rsid w:val="5E930082"/>
    <w:rsid w:val="5E93121F"/>
    <w:rsid w:val="5E96232F"/>
    <w:rsid w:val="5EB351E3"/>
    <w:rsid w:val="5EB6009E"/>
    <w:rsid w:val="5EC43375"/>
    <w:rsid w:val="5ECB5E0F"/>
    <w:rsid w:val="5ED15115"/>
    <w:rsid w:val="5ED22BFF"/>
    <w:rsid w:val="5ED32946"/>
    <w:rsid w:val="5ED74E21"/>
    <w:rsid w:val="5EDD61AF"/>
    <w:rsid w:val="5EE278D0"/>
    <w:rsid w:val="5EE622DA"/>
    <w:rsid w:val="5F0454EA"/>
    <w:rsid w:val="5F070F10"/>
    <w:rsid w:val="5F0E22EC"/>
    <w:rsid w:val="5F2E07B9"/>
    <w:rsid w:val="5F4C162A"/>
    <w:rsid w:val="5F4F10AF"/>
    <w:rsid w:val="5F577D10"/>
    <w:rsid w:val="5F5A6ED0"/>
    <w:rsid w:val="5F5C4825"/>
    <w:rsid w:val="5F701D7B"/>
    <w:rsid w:val="5F727FC6"/>
    <w:rsid w:val="5F8874C5"/>
    <w:rsid w:val="5F926F9A"/>
    <w:rsid w:val="5FA562EE"/>
    <w:rsid w:val="5FB17F94"/>
    <w:rsid w:val="5FB67C3B"/>
    <w:rsid w:val="5FB7255D"/>
    <w:rsid w:val="5FBA715C"/>
    <w:rsid w:val="5FBE789B"/>
    <w:rsid w:val="5FC469D3"/>
    <w:rsid w:val="5FD862BD"/>
    <w:rsid w:val="5FDD0F28"/>
    <w:rsid w:val="5FDE4C57"/>
    <w:rsid w:val="5FE570CA"/>
    <w:rsid w:val="5FF92B75"/>
    <w:rsid w:val="5FFD3C4A"/>
    <w:rsid w:val="60085D90"/>
    <w:rsid w:val="60265BCA"/>
    <w:rsid w:val="603A2B07"/>
    <w:rsid w:val="6040415C"/>
    <w:rsid w:val="6054527B"/>
    <w:rsid w:val="60613951"/>
    <w:rsid w:val="607F45F5"/>
    <w:rsid w:val="607F6BA2"/>
    <w:rsid w:val="608E4E60"/>
    <w:rsid w:val="609A3A92"/>
    <w:rsid w:val="609E54CA"/>
    <w:rsid w:val="60A35595"/>
    <w:rsid w:val="60A652C9"/>
    <w:rsid w:val="60A77018"/>
    <w:rsid w:val="60A81050"/>
    <w:rsid w:val="60A94626"/>
    <w:rsid w:val="60B3575F"/>
    <w:rsid w:val="60BE3971"/>
    <w:rsid w:val="60C36BAA"/>
    <w:rsid w:val="60DA02C2"/>
    <w:rsid w:val="60E471F1"/>
    <w:rsid w:val="60E850DB"/>
    <w:rsid w:val="60F2534F"/>
    <w:rsid w:val="60F600EF"/>
    <w:rsid w:val="60F864F0"/>
    <w:rsid w:val="610244AA"/>
    <w:rsid w:val="61093E19"/>
    <w:rsid w:val="611304E9"/>
    <w:rsid w:val="61186287"/>
    <w:rsid w:val="61193CEB"/>
    <w:rsid w:val="61296823"/>
    <w:rsid w:val="613045F7"/>
    <w:rsid w:val="613C19CF"/>
    <w:rsid w:val="6145645F"/>
    <w:rsid w:val="614B50C1"/>
    <w:rsid w:val="61517443"/>
    <w:rsid w:val="61593AF6"/>
    <w:rsid w:val="615A3AE7"/>
    <w:rsid w:val="615E036B"/>
    <w:rsid w:val="6161797C"/>
    <w:rsid w:val="61626723"/>
    <w:rsid w:val="616D653E"/>
    <w:rsid w:val="61705093"/>
    <w:rsid w:val="61761FA3"/>
    <w:rsid w:val="61791AAE"/>
    <w:rsid w:val="618F5E5F"/>
    <w:rsid w:val="61AD00BB"/>
    <w:rsid w:val="61B00A1E"/>
    <w:rsid w:val="61C44FB6"/>
    <w:rsid w:val="61CA606C"/>
    <w:rsid w:val="61D12494"/>
    <w:rsid w:val="61D3123E"/>
    <w:rsid w:val="61D4596C"/>
    <w:rsid w:val="61DE243F"/>
    <w:rsid w:val="61ED2A14"/>
    <w:rsid w:val="61F21F72"/>
    <w:rsid w:val="62006316"/>
    <w:rsid w:val="62083B4D"/>
    <w:rsid w:val="62141908"/>
    <w:rsid w:val="621912AD"/>
    <w:rsid w:val="621A51B1"/>
    <w:rsid w:val="621B7911"/>
    <w:rsid w:val="62244482"/>
    <w:rsid w:val="622446F8"/>
    <w:rsid w:val="622C2A0D"/>
    <w:rsid w:val="622C3BBB"/>
    <w:rsid w:val="622F287E"/>
    <w:rsid w:val="62364403"/>
    <w:rsid w:val="62387CD2"/>
    <w:rsid w:val="623E51B7"/>
    <w:rsid w:val="62436960"/>
    <w:rsid w:val="624A76B8"/>
    <w:rsid w:val="62521D8C"/>
    <w:rsid w:val="625C6B16"/>
    <w:rsid w:val="625E3163"/>
    <w:rsid w:val="625F53CD"/>
    <w:rsid w:val="62604FDE"/>
    <w:rsid w:val="62642997"/>
    <w:rsid w:val="6267026A"/>
    <w:rsid w:val="62686E91"/>
    <w:rsid w:val="626A7D5A"/>
    <w:rsid w:val="627961EF"/>
    <w:rsid w:val="627B5880"/>
    <w:rsid w:val="627D4188"/>
    <w:rsid w:val="62856942"/>
    <w:rsid w:val="6294124F"/>
    <w:rsid w:val="629C00D6"/>
    <w:rsid w:val="629C583C"/>
    <w:rsid w:val="629D1EDE"/>
    <w:rsid w:val="629F5000"/>
    <w:rsid w:val="62AA0157"/>
    <w:rsid w:val="62C20707"/>
    <w:rsid w:val="62C54F90"/>
    <w:rsid w:val="62C751AC"/>
    <w:rsid w:val="62CA2E80"/>
    <w:rsid w:val="62CB57FE"/>
    <w:rsid w:val="62D17676"/>
    <w:rsid w:val="62D32BA1"/>
    <w:rsid w:val="62DE7627"/>
    <w:rsid w:val="62E37288"/>
    <w:rsid w:val="62EE6B0C"/>
    <w:rsid w:val="62F835B8"/>
    <w:rsid w:val="63027145"/>
    <w:rsid w:val="63075750"/>
    <w:rsid w:val="63084640"/>
    <w:rsid w:val="630E1549"/>
    <w:rsid w:val="631040EF"/>
    <w:rsid w:val="63147EC5"/>
    <w:rsid w:val="63162979"/>
    <w:rsid w:val="631D7C98"/>
    <w:rsid w:val="63286425"/>
    <w:rsid w:val="63352116"/>
    <w:rsid w:val="633571CC"/>
    <w:rsid w:val="633B709F"/>
    <w:rsid w:val="634265E1"/>
    <w:rsid w:val="6348512C"/>
    <w:rsid w:val="634D0FFB"/>
    <w:rsid w:val="634D4E50"/>
    <w:rsid w:val="635A4FE5"/>
    <w:rsid w:val="635C7A8A"/>
    <w:rsid w:val="63607B63"/>
    <w:rsid w:val="636451F8"/>
    <w:rsid w:val="636655E8"/>
    <w:rsid w:val="63715118"/>
    <w:rsid w:val="637A221F"/>
    <w:rsid w:val="637F7835"/>
    <w:rsid w:val="63827B1B"/>
    <w:rsid w:val="63864396"/>
    <w:rsid w:val="639826A5"/>
    <w:rsid w:val="639C03E7"/>
    <w:rsid w:val="63AB4186"/>
    <w:rsid w:val="63AC40B1"/>
    <w:rsid w:val="63AC7B01"/>
    <w:rsid w:val="63B069B7"/>
    <w:rsid w:val="63B96A14"/>
    <w:rsid w:val="63C85E2C"/>
    <w:rsid w:val="63D92960"/>
    <w:rsid w:val="63E1229E"/>
    <w:rsid w:val="63E35F3A"/>
    <w:rsid w:val="63EC4F0E"/>
    <w:rsid w:val="63F0276B"/>
    <w:rsid w:val="63F43CF5"/>
    <w:rsid w:val="63FF4C2E"/>
    <w:rsid w:val="640A7A27"/>
    <w:rsid w:val="64104E63"/>
    <w:rsid w:val="6416019A"/>
    <w:rsid w:val="6419743D"/>
    <w:rsid w:val="641C32D6"/>
    <w:rsid w:val="641C6E32"/>
    <w:rsid w:val="641F310C"/>
    <w:rsid w:val="642B52C7"/>
    <w:rsid w:val="642D197F"/>
    <w:rsid w:val="64351649"/>
    <w:rsid w:val="643979E4"/>
    <w:rsid w:val="64412D3D"/>
    <w:rsid w:val="6449399F"/>
    <w:rsid w:val="64505561"/>
    <w:rsid w:val="6451172E"/>
    <w:rsid w:val="645B218B"/>
    <w:rsid w:val="64615543"/>
    <w:rsid w:val="646949A2"/>
    <w:rsid w:val="646A5923"/>
    <w:rsid w:val="64752152"/>
    <w:rsid w:val="64802D6E"/>
    <w:rsid w:val="6481537F"/>
    <w:rsid w:val="64835103"/>
    <w:rsid w:val="648F1CFA"/>
    <w:rsid w:val="64A37A75"/>
    <w:rsid w:val="64B7696A"/>
    <w:rsid w:val="64BF2823"/>
    <w:rsid w:val="64D30230"/>
    <w:rsid w:val="64D81ED5"/>
    <w:rsid w:val="64D85ADD"/>
    <w:rsid w:val="64E45A26"/>
    <w:rsid w:val="64EA6F30"/>
    <w:rsid w:val="64F25DE5"/>
    <w:rsid w:val="64FA0716"/>
    <w:rsid w:val="64FD4EB5"/>
    <w:rsid w:val="65097286"/>
    <w:rsid w:val="650B4776"/>
    <w:rsid w:val="651151DE"/>
    <w:rsid w:val="65182A1E"/>
    <w:rsid w:val="65194470"/>
    <w:rsid w:val="652900ED"/>
    <w:rsid w:val="65341AB7"/>
    <w:rsid w:val="65365BD7"/>
    <w:rsid w:val="653D34A1"/>
    <w:rsid w:val="654C0A01"/>
    <w:rsid w:val="654C400E"/>
    <w:rsid w:val="655C6B59"/>
    <w:rsid w:val="656767D3"/>
    <w:rsid w:val="65686596"/>
    <w:rsid w:val="65764C68"/>
    <w:rsid w:val="65931D3A"/>
    <w:rsid w:val="659822DD"/>
    <w:rsid w:val="65A3380C"/>
    <w:rsid w:val="65AB2B63"/>
    <w:rsid w:val="65AC2438"/>
    <w:rsid w:val="65AF3DC5"/>
    <w:rsid w:val="65B44DD6"/>
    <w:rsid w:val="65B500B8"/>
    <w:rsid w:val="65D21F83"/>
    <w:rsid w:val="65D60201"/>
    <w:rsid w:val="65D95B4E"/>
    <w:rsid w:val="65DF280D"/>
    <w:rsid w:val="65E174B2"/>
    <w:rsid w:val="65F01AB4"/>
    <w:rsid w:val="65F77B57"/>
    <w:rsid w:val="65FB765F"/>
    <w:rsid w:val="65FE7F42"/>
    <w:rsid w:val="66007C45"/>
    <w:rsid w:val="660B3DE6"/>
    <w:rsid w:val="66100967"/>
    <w:rsid w:val="6622278A"/>
    <w:rsid w:val="662720D2"/>
    <w:rsid w:val="663219D1"/>
    <w:rsid w:val="66376FAC"/>
    <w:rsid w:val="663A5586"/>
    <w:rsid w:val="664663E8"/>
    <w:rsid w:val="664B7EA3"/>
    <w:rsid w:val="665304C5"/>
    <w:rsid w:val="6653533F"/>
    <w:rsid w:val="665B5E5F"/>
    <w:rsid w:val="6660552E"/>
    <w:rsid w:val="66634050"/>
    <w:rsid w:val="66646397"/>
    <w:rsid w:val="666D301C"/>
    <w:rsid w:val="66723681"/>
    <w:rsid w:val="66854BCD"/>
    <w:rsid w:val="668D06E0"/>
    <w:rsid w:val="668F4233"/>
    <w:rsid w:val="669C06FE"/>
    <w:rsid w:val="669D0FFF"/>
    <w:rsid w:val="66A37B86"/>
    <w:rsid w:val="66B131AA"/>
    <w:rsid w:val="66B23631"/>
    <w:rsid w:val="66B87247"/>
    <w:rsid w:val="66C1139D"/>
    <w:rsid w:val="66D00173"/>
    <w:rsid w:val="66D12486"/>
    <w:rsid w:val="66D4710B"/>
    <w:rsid w:val="66D87459"/>
    <w:rsid w:val="66DC5B3F"/>
    <w:rsid w:val="66E03F2D"/>
    <w:rsid w:val="66EB4340"/>
    <w:rsid w:val="66EF6A80"/>
    <w:rsid w:val="66F81E55"/>
    <w:rsid w:val="67071D58"/>
    <w:rsid w:val="670C5884"/>
    <w:rsid w:val="67105321"/>
    <w:rsid w:val="67286393"/>
    <w:rsid w:val="67366086"/>
    <w:rsid w:val="67381AD5"/>
    <w:rsid w:val="674E19F8"/>
    <w:rsid w:val="675E2286"/>
    <w:rsid w:val="676E7F3D"/>
    <w:rsid w:val="67703034"/>
    <w:rsid w:val="67704FAD"/>
    <w:rsid w:val="67705E13"/>
    <w:rsid w:val="67740045"/>
    <w:rsid w:val="677436BA"/>
    <w:rsid w:val="677E4332"/>
    <w:rsid w:val="67836156"/>
    <w:rsid w:val="67880EF4"/>
    <w:rsid w:val="67A27CC2"/>
    <w:rsid w:val="67A60B9C"/>
    <w:rsid w:val="67AD0F3F"/>
    <w:rsid w:val="67B30841"/>
    <w:rsid w:val="67C02813"/>
    <w:rsid w:val="67C5120B"/>
    <w:rsid w:val="67D440E3"/>
    <w:rsid w:val="67D514C6"/>
    <w:rsid w:val="67DA2C38"/>
    <w:rsid w:val="67DF6EC0"/>
    <w:rsid w:val="67EA233A"/>
    <w:rsid w:val="67EF30B3"/>
    <w:rsid w:val="67FE2E53"/>
    <w:rsid w:val="68061993"/>
    <w:rsid w:val="680D0939"/>
    <w:rsid w:val="68237FD2"/>
    <w:rsid w:val="68252054"/>
    <w:rsid w:val="68331294"/>
    <w:rsid w:val="68394CF3"/>
    <w:rsid w:val="684224C0"/>
    <w:rsid w:val="684557CE"/>
    <w:rsid w:val="68466D27"/>
    <w:rsid w:val="685F3791"/>
    <w:rsid w:val="685F5D48"/>
    <w:rsid w:val="686A00C3"/>
    <w:rsid w:val="686C698D"/>
    <w:rsid w:val="686D127F"/>
    <w:rsid w:val="687067F6"/>
    <w:rsid w:val="68741E62"/>
    <w:rsid w:val="6874371C"/>
    <w:rsid w:val="68747A3A"/>
    <w:rsid w:val="687731D1"/>
    <w:rsid w:val="68802A41"/>
    <w:rsid w:val="6885133E"/>
    <w:rsid w:val="689078F6"/>
    <w:rsid w:val="689304A0"/>
    <w:rsid w:val="68A5389A"/>
    <w:rsid w:val="68B65617"/>
    <w:rsid w:val="68B729D2"/>
    <w:rsid w:val="68B93D81"/>
    <w:rsid w:val="68BC7885"/>
    <w:rsid w:val="68D1337E"/>
    <w:rsid w:val="68D20407"/>
    <w:rsid w:val="68DD74D8"/>
    <w:rsid w:val="68E3352F"/>
    <w:rsid w:val="68E65278"/>
    <w:rsid w:val="68EC04DE"/>
    <w:rsid w:val="68F20AA9"/>
    <w:rsid w:val="68FC7FC0"/>
    <w:rsid w:val="69022832"/>
    <w:rsid w:val="69093CAF"/>
    <w:rsid w:val="69097784"/>
    <w:rsid w:val="690B7520"/>
    <w:rsid w:val="691200AE"/>
    <w:rsid w:val="69140A20"/>
    <w:rsid w:val="69152147"/>
    <w:rsid w:val="69285AA8"/>
    <w:rsid w:val="6931256A"/>
    <w:rsid w:val="69317031"/>
    <w:rsid w:val="69466329"/>
    <w:rsid w:val="69564B94"/>
    <w:rsid w:val="695A58A7"/>
    <w:rsid w:val="695F613F"/>
    <w:rsid w:val="69601EB7"/>
    <w:rsid w:val="69647D29"/>
    <w:rsid w:val="6977720C"/>
    <w:rsid w:val="697E40EB"/>
    <w:rsid w:val="697E74B0"/>
    <w:rsid w:val="6992357A"/>
    <w:rsid w:val="69AB1271"/>
    <w:rsid w:val="69AD77A9"/>
    <w:rsid w:val="69AF21EC"/>
    <w:rsid w:val="69B875FD"/>
    <w:rsid w:val="69B96038"/>
    <w:rsid w:val="69C76718"/>
    <w:rsid w:val="69C81164"/>
    <w:rsid w:val="69CF00C0"/>
    <w:rsid w:val="69D32689"/>
    <w:rsid w:val="69D85016"/>
    <w:rsid w:val="69DA61FE"/>
    <w:rsid w:val="69DC02CC"/>
    <w:rsid w:val="69E67C99"/>
    <w:rsid w:val="69FD5302"/>
    <w:rsid w:val="6A0456C2"/>
    <w:rsid w:val="6A0A4204"/>
    <w:rsid w:val="6A0A518E"/>
    <w:rsid w:val="6A0B1654"/>
    <w:rsid w:val="6A1F58CE"/>
    <w:rsid w:val="6A220495"/>
    <w:rsid w:val="6A2C3B47"/>
    <w:rsid w:val="6A305C56"/>
    <w:rsid w:val="6A410D55"/>
    <w:rsid w:val="6A441179"/>
    <w:rsid w:val="6A476FE2"/>
    <w:rsid w:val="6A497118"/>
    <w:rsid w:val="6A5318E5"/>
    <w:rsid w:val="6A6D40BC"/>
    <w:rsid w:val="6A6D5380"/>
    <w:rsid w:val="6A7259FE"/>
    <w:rsid w:val="6A817C93"/>
    <w:rsid w:val="6A83685F"/>
    <w:rsid w:val="6A871F0C"/>
    <w:rsid w:val="6A897C0D"/>
    <w:rsid w:val="6A8D10DF"/>
    <w:rsid w:val="6A90546D"/>
    <w:rsid w:val="6A971908"/>
    <w:rsid w:val="6AA320BF"/>
    <w:rsid w:val="6AB5211E"/>
    <w:rsid w:val="6ABF0E6A"/>
    <w:rsid w:val="6ACD0E86"/>
    <w:rsid w:val="6AD00976"/>
    <w:rsid w:val="6AD95A7D"/>
    <w:rsid w:val="6AD97F5A"/>
    <w:rsid w:val="6ADE12E5"/>
    <w:rsid w:val="6ADF06DE"/>
    <w:rsid w:val="6AF42FD3"/>
    <w:rsid w:val="6AFA59F3"/>
    <w:rsid w:val="6AFF0D97"/>
    <w:rsid w:val="6B05038A"/>
    <w:rsid w:val="6B176BC8"/>
    <w:rsid w:val="6B2B66DF"/>
    <w:rsid w:val="6B6C069F"/>
    <w:rsid w:val="6B6D4417"/>
    <w:rsid w:val="6B716202"/>
    <w:rsid w:val="6B741C4A"/>
    <w:rsid w:val="6B753F21"/>
    <w:rsid w:val="6B776695"/>
    <w:rsid w:val="6B782F1E"/>
    <w:rsid w:val="6B7925B5"/>
    <w:rsid w:val="6B8829BB"/>
    <w:rsid w:val="6B89009E"/>
    <w:rsid w:val="6B8A0EE1"/>
    <w:rsid w:val="6B8B51C2"/>
    <w:rsid w:val="6B9A59AF"/>
    <w:rsid w:val="6BA076F0"/>
    <w:rsid w:val="6BA716CC"/>
    <w:rsid w:val="6BAC4F3F"/>
    <w:rsid w:val="6BAF7BD0"/>
    <w:rsid w:val="6BC3763E"/>
    <w:rsid w:val="6BC568DE"/>
    <w:rsid w:val="6BC8789F"/>
    <w:rsid w:val="6BCA00F3"/>
    <w:rsid w:val="6BD44428"/>
    <w:rsid w:val="6BDA756C"/>
    <w:rsid w:val="6BDC755C"/>
    <w:rsid w:val="6BDD4FB6"/>
    <w:rsid w:val="6BEB340B"/>
    <w:rsid w:val="6BF47F19"/>
    <w:rsid w:val="6BF510A4"/>
    <w:rsid w:val="6BFE0F82"/>
    <w:rsid w:val="6BFF36AF"/>
    <w:rsid w:val="6C0343D2"/>
    <w:rsid w:val="6C144674"/>
    <w:rsid w:val="6C161086"/>
    <w:rsid w:val="6C2E38EE"/>
    <w:rsid w:val="6C335661"/>
    <w:rsid w:val="6C3811AE"/>
    <w:rsid w:val="6C45693C"/>
    <w:rsid w:val="6C4873D4"/>
    <w:rsid w:val="6C4E4249"/>
    <w:rsid w:val="6C5164C2"/>
    <w:rsid w:val="6C576A17"/>
    <w:rsid w:val="6C5C7421"/>
    <w:rsid w:val="6C602F3C"/>
    <w:rsid w:val="6C647BD2"/>
    <w:rsid w:val="6C671C24"/>
    <w:rsid w:val="6C774EA5"/>
    <w:rsid w:val="6C77611C"/>
    <w:rsid w:val="6C7D1340"/>
    <w:rsid w:val="6C8A7F22"/>
    <w:rsid w:val="6C8E2466"/>
    <w:rsid w:val="6C900289"/>
    <w:rsid w:val="6C973107"/>
    <w:rsid w:val="6C9D26A9"/>
    <w:rsid w:val="6CAD5413"/>
    <w:rsid w:val="6CB561E6"/>
    <w:rsid w:val="6CC02E2E"/>
    <w:rsid w:val="6CC83FFB"/>
    <w:rsid w:val="6CD04B41"/>
    <w:rsid w:val="6CD96E67"/>
    <w:rsid w:val="6CDD1263"/>
    <w:rsid w:val="6CDD463E"/>
    <w:rsid w:val="6CE27AF9"/>
    <w:rsid w:val="6CE30221"/>
    <w:rsid w:val="6CF50B68"/>
    <w:rsid w:val="6CF511CB"/>
    <w:rsid w:val="6CF83B19"/>
    <w:rsid w:val="6CFE7A1D"/>
    <w:rsid w:val="6D001895"/>
    <w:rsid w:val="6D013069"/>
    <w:rsid w:val="6D035033"/>
    <w:rsid w:val="6D0A2431"/>
    <w:rsid w:val="6D13356D"/>
    <w:rsid w:val="6D172F05"/>
    <w:rsid w:val="6D1B4843"/>
    <w:rsid w:val="6D1E383F"/>
    <w:rsid w:val="6D233B8B"/>
    <w:rsid w:val="6D242CB5"/>
    <w:rsid w:val="6D324CAD"/>
    <w:rsid w:val="6D327C15"/>
    <w:rsid w:val="6D347EA9"/>
    <w:rsid w:val="6D38376D"/>
    <w:rsid w:val="6D396CA7"/>
    <w:rsid w:val="6D3A1767"/>
    <w:rsid w:val="6D3B587B"/>
    <w:rsid w:val="6D3D7F2F"/>
    <w:rsid w:val="6D594AFC"/>
    <w:rsid w:val="6D64766A"/>
    <w:rsid w:val="6D696D90"/>
    <w:rsid w:val="6D6A6E60"/>
    <w:rsid w:val="6D6C2BD8"/>
    <w:rsid w:val="6D8D2B4F"/>
    <w:rsid w:val="6D940381"/>
    <w:rsid w:val="6D986AF3"/>
    <w:rsid w:val="6D994C12"/>
    <w:rsid w:val="6DAB236E"/>
    <w:rsid w:val="6DB60733"/>
    <w:rsid w:val="6DBB120B"/>
    <w:rsid w:val="6DBE1A43"/>
    <w:rsid w:val="6DCB287A"/>
    <w:rsid w:val="6DCF476F"/>
    <w:rsid w:val="6DD2377C"/>
    <w:rsid w:val="6DDB1B0C"/>
    <w:rsid w:val="6DE309C1"/>
    <w:rsid w:val="6DF04651"/>
    <w:rsid w:val="6DF825E5"/>
    <w:rsid w:val="6E010E59"/>
    <w:rsid w:val="6E0D3650"/>
    <w:rsid w:val="6E182D60"/>
    <w:rsid w:val="6E282CF9"/>
    <w:rsid w:val="6E2B2A93"/>
    <w:rsid w:val="6E2D2C94"/>
    <w:rsid w:val="6E461B04"/>
    <w:rsid w:val="6E582A2C"/>
    <w:rsid w:val="6E6011F9"/>
    <w:rsid w:val="6E645FA5"/>
    <w:rsid w:val="6E657628"/>
    <w:rsid w:val="6E6E1524"/>
    <w:rsid w:val="6E7961A9"/>
    <w:rsid w:val="6E7E2890"/>
    <w:rsid w:val="6E825693"/>
    <w:rsid w:val="6E881C94"/>
    <w:rsid w:val="6E9154B8"/>
    <w:rsid w:val="6E9270A8"/>
    <w:rsid w:val="6EA13BFA"/>
    <w:rsid w:val="6EAD794B"/>
    <w:rsid w:val="6EC15B86"/>
    <w:rsid w:val="6EC15FF9"/>
    <w:rsid w:val="6EC425A0"/>
    <w:rsid w:val="6EC543D7"/>
    <w:rsid w:val="6EC82F43"/>
    <w:rsid w:val="6EE54ACA"/>
    <w:rsid w:val="6EEF1D13"/>
    <w:rsid w:val="6EF9023E"/>
    <w:rsid w:val="6EFA4A61"/>
    <w:rsid w:val="6EFC4430"/>
    <w:rsid w:val="6EFF229C"/>
    <w:rsid w:val="6F045092"/>
    <w:rsid w:val="6F1928EC"/>
    <w:rsid w:val="6F1A0BE2"/>
    <w:rsid w:val="6F1A2251"/>
    <w:rsid w:val="6F1A6D0C"/>
    <w:rsid w:val="6F231DFF"/>
    <w:rsid w:val="6F2A675D"/>
    <w:rsid w:val="6F3B6D06"/>
    <w:rsid w:val="6F5C3578"/>
    <w:rsid w:val="6F63625D"/>
    <w:rsid w:val="6F6618A9"/>
    <w:rsid w:val="6F7F78D9"/>
    <w:rsid w:val="6F844DBC"/>
    <w:rsid w:val="6F8715EB"/>
    <w:rsid w:val="6F8725F7"/>
    <w:rsid w:val="6F8C1686"/>
    <w:rsid w:val="6FA65F39"/>
    <w:rsid w:val="6FAD579E"/>
    <w:rsid w:val="6FBD6232"/>
    <w:rsid w:val="6FC01F8F"/>
    <w:rsid w:val="6FC514E5"/>
    <w:rsid w:val="6FCF73F6"/>
    <w:rsid w:val="6FDC1942"/>
    <w:rsid w:val="6FE06C43"/>
    <w:rsid w:val="6FE20202"/>
    <w:rsid w:val="6FEC283D"/>
    <w:rsid w:val="6FF43359"/>
    <w:rsid w:val="6FF9096F"/>
    <w:rsid w:val="6FF93153"/>
    <w:rsid w:val="6FFA2C08"/>
    <w:rsid w:val="700500E3"/>
    <w:rsid w:val="700C21C5"/>
    <w:rsid w:val="70246D82"/>
    <w:rsid w:val="702A275D"/>
    <w:rsid w:val="702C748F"/>
    <w:rsid w:val="70382C39"/>
    <w:rsid w:val="703D65DA"/>
    <w:rsid w:val="703F08EA"/>
    <w:rsid w:val="703F5BF3"/>
    <w:rsid w:val="704551BF"/>
    <w:rsid w:val="70455963"/>
    <w:rsid w:val="70497201"/>
    <w:rsid w:val="704C260E"/>
    <w:rsid w:val="70543CE2"/>
    <w:rsid w:val="70561F0A"/>
    <w:rsid w:val="705E5D7E"/>
    <w:rsid w:val="705F4C76"/>
    <w:rsid w:val="706458F5"/>
    <w:rsid w:val="707675BB"/>
    <w:rsid w:val="708A2768"/>
    <w:rsid w:val="709D2DEC"/>
    <w:rsid w:val="709F20B3"/>
    <w:rsid w:val="70A01767"/>
    <w:rsid w:val="70A15996"/>
    <w:rsid w:val="70A55376"/>
    <w:rsid w:val="70AA46DF"/>
    <w:rsid w:val="70AC7790"/>
    <w:rsid w:val="70B800B5"/>
    <w:rsid w:val="70B82FD3"/>
    <w:rsid w:val="70B95679"/>
    <w:rsid w:val="70C224AB"/>
    <w:rsid w:val="70C432B4"/>
    <w:rsid w:val="70CA591E"/>
    <w:rsid w:val="70CC28E1"/>
    <w:rsid w:val="70CF4244"/>
    <w:rsid w:val="70D676F5"/>
    <w:rsid w:val="70DF7ED0"/>
    <w:rsid w:val="70EC65A4"/>
    <w:rsid w:val="70EE1B56"/>
    <w:rsid w:val="70F4004C"/>
    <w:rsid w:val="70F82D59"/>
    <w:rsid w:val="710515F9"/>
    <w:rsid w:val="710D5505"/>
    <w:rsid w:val="711606F7"/>
    <w:rsid w:val="711D243B"/>
    <w:rsid w:val="71275730"/>
    <w:rsid w:val="713043DC"/>
    <w:rsid w:val="7136359B"/>
    <w:rsid w:val="713C0B14"/>
    <w:rsid w:val="714960E5"/>
    <w:rsid w:val="714F1722"/>
    <w:rsid w:val="716144FC"/>
    <w:rsid w:val="71707E34"/>
    <w:rsid w:val="717179D7"/>
    <w:rsid w:val="7175261E"/>
    <w:rsid w:val="7175696F"/>
    <w:rsid w:val="7198256C"/>
    <w:rsid w:val="719C7B18"/>
    <w:rsid w:val="719E7939"/>
    <w:rsid w:val="719F49F9"/>
    <w:rsid w:val="71B95573"/>
    <w:rsid w:val="71BB5741"/>
    <w:rsid w:val="71C30E32"/>
    <w:rsid w:val="71C81EF7"/>
    <w:rsid w:val="71CE7B26"/>
    <w:rsid w:val="71D80AB5"/>
    <w:rsid w:val="71E0131C"/>
    <w:rsid w:val="71E02D3A"/>
    <w:rsid w:val="71E87E16"/>
    <w:rsid w:val="71EB7849"/>
    <w:rsid w:val="71EC1C07"/>
    <w:rsid w:val="71F24FB3"/>
    <w:rsid w:val="71F52906"/>
    <w:rsid w:val="720158B9"/>
    <w:rsid w:val="720C498A"/>
    <w:rsid w:val="720D1F2F"/>
    <w:rsid w:val="720E7528"/>
    <w:rsid w:val="72217E8B"/>
    <w:rsid w:val="72256327"/>
    <w:rsid w:val="724265FE"/>
    <w:rsid w:val="724B2369"/>
    <w:rsid w:val="724C122A"/>
    <w:rsid w:val="726C71D7"/>
    <w:rsid w:val="726D6FD7"/>
    <w:rsid w:val="72712A3F"/>
    <w:rsid w:val="727D4077"/>
    <w:rsid w:val="727E121A"/>
    <w:rsid w:val="72863AA7"/>
    <w:rsid w:val="728F7ACD"/>
    <w:rsid w:val="72943159"/>
    <w:rsid w:val="72953AF1"/>
    <w:rsid w:val="729B6C0B"/>
    <w:rsid w:val="72A44BC2"/>
    <w:rsid w:val="72AC0607"/>
    <w:rsid w:val="72AD7075"/>
    <w:rsid w:val="72B20521"/>
    <w:rsid w:val="72B80B69"/>
    <w:rsid w:val="72C4162D"/>
    <w:rsid w:val="72CC5EC7"/>
    <w:rsid w:val="72CE7E91"/>
    <w:rsid w:val="72DC7380"/>
    <w:rsid w:val="72DE30C9"/>
    <w:rsid w:val="72DE3FCB"/>
    <w:rsid w:val="72E328D4"/>
    <w:rsid w:val="72E43F2E"/>
    <w:rsid w:val="73150018"/>
    <w:rsid w:val="731A4616"/>
    <w:rsid w:val="731F472C"/>
    <w:rsid w:val="73217FC1"/>
    <w:rsid w:val="73225980"/>
    <w:rsid w:val="733F2B3D"/>
    <w:rsid w:val="73493989"/>
    <w:rsid w:val="734B1B9C"/>
    <w:rsid w:val="734C1455"/>
    <w:rsid w:val="735E1215"/>
    <w:rsid w:val="73691C33"/>
    <w:rsid w:val="7373536B"/>
    <w:rsid w:val="737522CC"/>
    <w:rsid w:val="73770563"/>
    <w:rsid w:val="7379604F"/>
    <w:rsid w:val="737A1DC7"/>
    <w:rsid w:val="737C342A"/>
    <w:rsid w:val="737D37CC"/>
    <w:rsid w:val="738B6531"/>
    <w:rsid w:val="738C4998"/>
    <w:rsid w:val="73944C37"/>
    <w:rsid w:val="739E7864"/>
    <w:rsid w:val="73A24FAD"/>
    <w:rsid w:val="73AA47FB"/>
    <w:rsid w:val="73AD7669"/>
    <w:rsid w:val="73B04BCD"/>
    <w:rsid w:val="73B65D64"/>
    <w:rsid w:val="73BC476F"/>
    <w:rsid w:val="73D14BBF"/>
    <w:rsid w:val="73D36370"/>
    <w:rsid w:val="73E221DF"/>
    <w:rsid w:val="73E26FB6"/>
    <w:rsid w:val="73E444BF"/>
    <w:rsid w:val="73EC4687"/>
    <w:rsid w:val="73F932F6"/>
    <w:rsid w:val="73FC27DC"/>
    <w:rsid w:val="73FD0584"/>
    <w:rsid w:val="740A314B"/>
    <w:rsid w:val="74126BC0"/>
    <w:rsid w:val="74150779"/>
    <w:rsid w:val="7419513C"/>
    <w:rsid w:val="7420296E"/>
    <w:rsid w:val="7423039A"/>
    <w:rsid w:val="74237D69"/>
    <w:rsid w:val="74273790"/>
    <w:rsid w:val="742B50E7"/>
    <w:rsid w:val="7434641A"/>
    <w:rsid w:val="743B1556"/>
    <w:rsid w:val="744148F7"/>
    <w:rsid w:val="74432E49"/>
    <w:rsid w:val="744732F4"/>
    <w:rsid w:val="744A3547"/>
    <w:rsid w:val="744D309E"/>
    <w:rsid w:val="744D6CEA"/>
    <w:rsid w:val="744F6BF8"/>
    <w:rsid w:val="745A5E80"/>
    <w:rsid w:val="745C1017"/>
    <w:rsid w:val="745C2583"/>
    <w:rsid w:val="746022ED"/>
    <w:rsid w:val="747B47C1"/>
    <w:rsid w:val="747B6FB9"/>
    <w:rsid w:val="748969B2"/>
    <w:rsid w:val="748E5B2A"/>
    <w:rsid w:val="749D5FFC"/>
    <w:rsid w:val="74A76C06"/>
    <w:rsid w:val="74A776A7"/>
    <w:rsid w:val="74A8311A"/>
    <w:rsid w:val="74B55A7D"/>
    <w:rsid w:val="74C11875"/>
    <w:rsid w:val="74C177D1"/>
    <w:rsid w:val="74CC659F"/>
    <w:rsid w:val="74CD1DBC"/>
    <w:rsid w:val="74D329FB"/>
    <w:rsid w:val="74D57736"/>
    <w:rsid w:val="74D76582"/>
    <w:rsid w:val="74E03EAC"/>
    <w:rsid w:val="74E30911"/>
    <w:rsid w:val="74E41769"/>
    <w:rsid w:val="74FD6AF9"/>
    <w:rsid w:val="7505436A"/>
    <w:rsid w:val="750A2CD7"/>
    <w:rsid w:val="750C6A6D"/>
    <w:rsid w:val="7514582F"/>
    <w:rsid w:val="75207767"/>
    <w:rsid w:val="75383CE8"/>
    <w:rsid w:val="75404290"/>
    <w:rsid w:val="75497CA3"/>
    <w:rsid w:val="754B359F"/>
    <w:rsid w:val="75514745"/>
    <w:rsid w:val="755334CE"/>
    <w:rsid w:val="755976A1"/>
    <w:rsid w:val="755D72AA"/>
    <w:rsid w:val="756C77A6"/>
    <w:rsid w:val="75882579"/>
    <w:rsid w:val="758B7BC5"/>
    <w:rsid w:val="75971833"/>
    <w:rsid w:val="759B4D4E"/>
    <w:rsid w:val="759E36E7"/>
    <w:rsid w:val="75A601B0"/>
    <w:rsid w:val="75A90395"/>
    <w:rsid w:val="75B27CA5"/>
    <w:rsid w:val="75C24F30"/>
    <w:rsid w:val="75C42A34"/>
    <w:rsid w:val="75C97A4F"/>
    <w:rsid w:val="75CA29A8"/>
    <w:rsid w:val="75CA6FC2"/>
    <w:rsid w:val="75D0102D"/>
    <w:rsid w:val="75D72FE8"/>
    <w:rsid w:val="75D9071B"/>
    <w:rsid w:val="75DA0B91"/>
    <w:rsid w:val="75DA6B4D"/>
    <w:rsid w:val="75DD11C7"/>
    <w:rsid w:val="75E64749"/>
    <w:rsid w:val="75EB48B6"/>
    <w:rsid w:val="75F062A3"/>
    <w:rsid w:val="75F158D8"/>
    <w:rsid w:val="75F45E61"/>
    <w:rsid w:val="75F60993"/>
    <w:rsid w:val="75FE1C7F"/>
    <w:rsid w:val="760043B5"/>
    <w:rsid w:val="76041917"/>
    <w:rsid w:val="76044DBC"/>
    <w:rsid w:val="7608238C"/>
    <w:rsid w:val="76094850"/>
    <w:rsid w:val="76095B3C"/>
    <w:rsid w:val="76096254"/>
    <w:rsid w:val="760C6BF7"/>
    <w:rsid w:val="762142B8"/>
    <w:rsid w:val="762A6911"/>
    <w:rsid w:val="762A6F77"/>
    <w:rsid w:val="762B7BC5"/>
    <w:rsid w:val="762E7C4C"/>
    <w:rsid w:val="7634625D"/>
    <w:rsid w:val="764A13AC"/>
    <w:rsid w:val="76504B2A"/>
    <w:rsid w:val="76515480"/>
    <w:rsid w:val="76544B51"/>
    <w:rsid w:val="76601709"/>
    <w:rsid w:val="76742690"/>
    <w:rsid w:val="767D65DB"/>
    <w:rsid w:val="767D7DFF"/>
    <w:rsid w:val="76830CCE"/>
    <w:rsid w:val="768D6682"/>
    <w:rsid w:val="7698178A"/>
    <w:rsid w:val="76982C90"/>
    <w:rsid w:val="769F2DDA"/>
    <w:rsid w:val="76A03E90"/>
    <w:rsid w:val="76CB270C"/>
    <w:rsid w:val="76D16297"/>
    <w:rsid w:val="76DD67D3"/>
    <w:rsid w:val="76E00191"/>
    <w:rsid w:val="76E30E67"/>
    <w:rsid w:val="76E761E8"/>
    <w:rsid w:val="76EA2DC0"/>
    <w:rsid w:val="76F529B8"/>
    <w:rsid w:val="76FC03FE"/>
    <w:rsid w:val="77130569"/>
    <w:rsid w:val="771B4FFF"/>
    <w:rsid w:val="772E7A2D"/>
    <w:rsid w:val="773310E3"/>
    <w:rsid w:val="773B71ED"/>
    <w:rsid w:val="774424D0"/>
    <w:rsid w:val="77511B2F"/>
    <w:rsid w:val="776B358A"/>
    <w:rsid w:val="776B5480"/>
    <w:rsid w:val="77795FA5"/>
    <w:rsid w:val="77880CD0"/>
    <w:rsid w:val="77885880"/>
    <w:rsid w:val="779043E2"/>
    <w:rsid w:val="779150B9"/>
    <w:rsid w:val="779D7E32"/>
    <w:rsid w:val="779D7FD8"/>
    <w:rsid w:val="77A67511"/>
    <w:rsid w:val="77AA6F77"/>
    <w:rsid w:val="77B203F2"/>
    <w:rsid w:val="77B34168"/>
    <w:rsid w:val="77B853CE"/>
    <w:rsid w:val="77BE1E71"/>
    <w:rsid w:val="77C16217"/>
    <w:rsid w:val="77C36C3C"/>
    <w:rsid w:val="77C43301"/>
    <w:rsid w:val="77CB0788"/>
    <w:rsid w:val="77CB499F"/>
    <w:rsid w:val="77DA3B38"/>
    <w:rsid w:val="77DC26B1"/>
    <w:rsid w:val="77DF0EAD"/>
    <w:rsid w:val="77FB21B6"/>
    <w:rsid w:val="77FF444C"/>
    <w:rsid w:val="78054355"/>
    <w:rsid w:val="78102276"/>
    <w:rsid w:val="78164B46"/>
    <w:rsid w:val="78250553"/>
    <w:rsid w:val="782642CC"/>
    <w:rsid w:val="78280044"/>
    <w:rsid w:val="78395DAD"/>
    <w:rsid w:val="784A5EBD"/>
    <w:rsid w:val="784D3606"/>
    <w:rsid w:val="784D556E"/>
    <w:rsid w:val="784E76DC"/>
    <w:rsid w:val="78571967"/>
    <w:rsid w:val="786A010A"/>
    <w:rsid w:val="787C42DD"/>
    <w:rsid w:val="788A5451"/>
    <w:rsid w:val="789418F0"/>
    <w:rsid w:val="789D4FA3"/>
    <w:rsid w:val="78A504C8"/>
    <w:rsid w:val="78AC0041"/>
    <w:rsid w:val="78B11DE7"/>
    <w:rsid w:val="78B13B0E"/>
    <w:rsid w:val="78B8775D"/>
    <w:rsid w:val="78C05B25"/>
    <w:rsid w:val="78C84750"/>
    <w:rsid w:val="78D855C6"/>
    <w:rsid w:val="78DA2088"/>
    <w:rsid w:val="78DF77D5"/>
    <w:rsid w:val="78E656E7"/>
    <w:rsid w:val="78E75646"/>
    <w:rsid w:val="78E901C3"/>
    <w:rsid w:val="78EB5EFD"/>
    <w:rsid w:val="78F8672E"/>
    <w:rsid w:val="79062161"/>
    <w:rsid w:val="79162D4D"/>
    <w:rsid w:val="791E26B4"/>
    <w:rsid w:val="792D38DD"/>
    <w:rsid w:val="793C27D0"/>
    <w:rsid w:val="79456D2F"/>
    <w:rsid w:val="79481F08"/>
    <w:rsid w:val="79496D88"/>
    <w:rsid w:val="794C1DA6"/>
    <w:rsid w:val="795874B4"/>
    <w:rsid w:val="7961710C"/>
    <w:rsid w:val="7962039C"/>
    <w:rsid w:val="796226B7"/>
    <w:rsid w:val="7962731E"/>
    <w:rsid w:val="79780B57"/>
    <w:rsid w:val="798736BF"/>
    <w:rsid w:val="798813F5"/>
    <w:rsid w:val="79974114"/>
    <w:rsid w:val="799C5797"/>
    <w:rsid w:val="79A156EC"/>
    <w:rsid w:val="79A8041A"/>
    <w:rsid w:val="79B44348"/>
    <w:rsid w:val="79C32FEF"/>
    <w:rsid w:val="79D30053"/>
    <w:rsid w:val="79D42231"/>
    <w:rsid w:val="79DE7C8F"/>
    <w:rsid w:val="79E52441"/>
    <w:rsid w:val="7A2013FC"/>
    <w:rsid w:val="7A215327"/>
    <w:rsid w:val="7A24075A"/>
    <w:rsid w:val="7A293534"/>
    <w:rsid w:val="7A3643BA"/>
    <w:rsid w:val="7A380C3F"/>
    <w:rsid w:val="7A4C0DA0"/>
    <w:rsid w:val="7A574C10"/>
    <w:rsid w:val="7A576A80"/>
    <w:rsid w:val="7A5C7ABE"/>
    <w:rsid w:val="7A60302C"/>
    <w:rsid w:val="7A6840CE"/>
    <w:rsid w:val="7A7E219D"/>
    <w:rsid w:val="7A7F4BEA"/>
    <w:rsid w:val="7A865DC3"/>
    <w:rsid w:val="7A894151"/>
    <w:rsid w:val="7A8E51C8"/>
    <w:rsid w:val="7A904F95"/>
    <w:rsid w:val="7A97500D"/>
    <w:rsid w:val="7A975B0F"/>
    <w:rsid w:val="7A9C36A2"/>
    <w:rsid w:val="7AA615A6"/>
    <w:rsid w:val="7AA9318C"/>
    <w:rsid w:val="7AB76C4F"/>
    <w:rsid w:val="7ABD6E5B"/>
    <w:rsid w:val="7AC06311"/>
    <w:rsid w:val="7AC330B7"/>
    <w:rsid w:val="7AC91B64"/>
    <w:rsid w:val="7ACC2256"/>
    <w:rsid w:val="7ACE7B72"/>
    <w:rsid w:val="7AD54BB5"/>
    <w:rsid w:val="7ADB19DB"/>
    <w:rsid w:val="7ADC193F"/>
    <w:rsid w:val="7AE832A5"/>
    <w:rsid w:val="7AF67F85"/>
    <w:rsid w:val="7AFB1A3F"/>
    <w:rsid w:val="7B036EB4"/>
    <w:rsid w:val="7B095ECF"/>
    <w:rsid w:val="7B0D3C52"/>
    <w:rsid w:val="7B12491B"/>
    <w:rsid w:val="7B1810CF"/>
    <w:rsid w:val="7B2C61C2"/>
    <w:rsid w:val="7B315461"/>
    <w:rsid w:val="7B390BF2"/>
    <w:rsid w:val="7B4162C7"/>
    <w:rsid w:val="7B480D0D"/>
    <w:rsid w:val="7B4C7AD1"/>
    <w:rsid w:val="7B534E2D"/>
    <w:rsid w:val="7B591ED1"/>
    <w:rsid w:val="7B6302AC"/>
    <w:rsid w:val="7B683189"/>
    <w:rsid w:val="7B6E66F2"/>
    <w:rsid w:val="7B762213"/>
    <w:rsid w:val="7B785367"/>
    <w:rsid w:val="7B7A2964"/>
    <w:rsid w:val="7B8E4662"/>
    <w:rsid w:val="7B98535A"/>
    <w:rsid w:val="7BA83698"/>
    <w:rsid w:val="7BA93249"/>
    <w:rsid w:val="7BAE48FC"/>
    <w:rsid w:val="7BAF5F2E"/>
    <w:rsid w:val="7BB83DF8"/>
    <w:rsid w:val="7BBA2E35"/>
    <w:rsid w:val="7BC45C03"/>
    <w:rsid w:val="7BC45DE2"/>
    <w:rsid w:val="7BC76B4E"/>
    <w:rsid w:val="7BC9569A"/>
    <w:rsid w:val="7BCC163B"/>
    <w:rsid w:val="7BD81D81"/>
    <w:rsid w:val="7BD965EC"/>
    <w:rsid w:val="7BDF360D"/>
    <w:rsid w:val="7BE66796"/>
    <w:rsid w:val="7BFF4559"/>
    <w:rsid w:val="7C0827FE"/>
    <w:rsid w:val="7C1A756B"/>
    <w:rsid w:val="7C1B1028"/>
    <w:rsid w:val="7C226546"/>
    <w:rsid w:val="7C266245"/>
    <w:rsid w:val="7C27745C"/>
    <w:rsid w:val="7C2B2034"/>
    <w:rsid w:val="7C3043FE"/>
    <w:rsid w:val="7C36614C"/>
    <w:rsid w:val="7C366302"/>
    <w:rsid w:val="7C455132"/>
    <w:rsid w:val="7C4E1254"/>
    <w:rsid w:val="7C4F607B"/>
    <w:rsid w:val="7C54745D"/>
    <w:rsid w:val="7C556A53"/>
    <w:rsid w:val="7C583982"/>
    <w:rsid w:val="7C701FB9"/>
    <w:rsid w:val="7C7D0B32"/>
    <w:rsid w:val="7C804B0D"/>
    <w:rsid w:val="7C833A9B"/>
    <w:rsid w:val="7C885555"/>
    <w:rsid w:val="7C8C5EFB"/>
    <w:rsid w:val="7CA31AB6"/>
    <w:rsid w:val="7CA4518D"/>
    <w:rsid w:val="7CB41BA4"/>
    <w:rsid w:val="7CBE2D25"/>
    <w:rsid w:val="7CBE5D37"/>
    <w:rsid w:val="7CC0084B"/>
    <w:rsid w:val="7CC61BD9"/>
    <w:rsid w:val="7CC70B1A"/>
    <w:rsid w:val="7CCB376D"/>
    <w:rsid w:val="7CCC2D03"/>
    <w:rsid w:val="7CD17149"/>
    <w:rsid w:val="7CD730F8"/>
    <w:rsid w:val="7CEA32F9"/>
    <w:rsid w:val="7CEF7B71"/>
    <w:rsid w:val="7CF659DD"/>
    <w:rsid w:val="7CFB094E"/>
    <w:rsid w:val="7D027F2A"/>
    <w:rsid w:val="7D061726"/>
    <w:rsid w:val="7D0A1A32"/>
    <w:rsid w:val="7D0C1069"/>
    <w:rsid w:val="7D0E4B5B"/>
    <w:rsid w:val="7D1868D9"/>
    <w:rsid w:val="7D191B92"/>
    <w:rsid w:val="7D1B6EB8"/>
    <w:rsid w:val="7D33504E"/>
    <w:rsid w:val="7D362C54"/>
    <w:rsid w:val="7D363C81"/>
    <w:rsid w:val="7D3C08AA"/>
    <w:rsid w:val="7D3D410B"/>
    <w:rsid w:val="7D4928DE"/>
    <w:rsid w:val="7D494CE4"/>
    <w:rsid w:val="7D4C641E"/>
    <w:rsid w:val="7D5C493C"/>
    <w:rsid w:val="7D8605C7"/>
    <w:rsid w:val="7D8F6B8C"/>
    <w:rsid w:val="7DAE540F"/>
    <w:rsid w:val="7DB07FBB"/>
    <w:rsid w:val="7DB520AD"/>
    <w:rsid w:val="7DD535C7"/>
    <w:rsid w:val="7DD80B95"/>
    <w:rsid w:val="7DDC0344"/>
    <w:rsid w:val="7DDD367E"/>
    <w:rsid w:val="7DE7105B"/>
    <w:rsid w:val="7DE75F71"/>
    <w:rsid w:val="7DEA41A0"/>
    <w:rsid w:val="7DF1781A"/>
    <w:rsid w:val="7DF5241B"/>
    <w:rsid w:val="7DF7247F"/>
    <w:rsid w:val="7E066731"/>
    <w:rsid w:val="7E0C5874"/>
    <w:rsid w:val="7E0D5730"/>
    <w:rsid w:val="7E153475"/>
    <w:rsid w:val="7E1C1F79"/>
    <w:rsid w:val="7E1F2DD5"/>
    <w:rsid w:val="7E2A39F6"/>
    <w:rsid w:val="7E3C6DB1"/>
    <w:rsid w:val="7E4313B6"/>
    <w:rsid w:val="7E480690"/>
    <w:rsid w:val="7E503E50"/>
    <w:rsid w:val="7E513527"/>
    <w:rsid w:val="7E6071B0"/>
    <w:rsid w:val="7E804FCB"/>
    <w:rsid w:val="7E8E42BF"/>
    <w:rsid w:val="7E90670A"/>
    <w:rsid w:val="7E9212CE"/>
    <w:rsid w:val="7E9552F4"/>
    <w:rsid w:val="7E971EEC"/>
    <w:rsid w:val="7E9842E4"/>
    <w:rsid w:val="7EA63A70"/>
    <w:rsid w:val="7EA6705B"/>
    <w:rsid w:val="7EA67F14"/>
    <w:rsid w:val="7ED44F77"/>
    <w:rsid w:val="7ED544B5"/>
    <w:rsid w:val="7EDB49B6"/>
    <w:rsid w:val="7EE01021"/>
    <w:rsid w:val="7EEF0F32"/>
    <w:rsid w:val="7EF249D0"/>
    <w:rsid w:val="7F0C3E44"/>
    <w:rsid w:val="7F0D0F48"/>
    <w:rsid w:val="7F110E3B"/>
    <w:rsid w:val="7F1629A4"/>
    <w:rsid w:val="7F1B5E8E"/>
    <w:rsid w:val="7F280929"/>
    <w:rsid w:val="7F2E4552"/>
    <w:rsid w:val="7F3022EC"/>
    <w:rsid w:val="7F3360A4"/>
    <w:rsid w:val="7F3950C2"/>
    <w:rsid w:val="7F3A08BE"/>
    <w:rsid w:val="7F3A609B"/>
    <w:rsid w:val="7F484886"/>
    <w:rsid w:val="7F490B8E"/>
    <w:rsid w:val="7F4E3073"/>
    <w:rsid w:val="7F5117A9"/>
    <w:rsid w:val="7F5E259D"/>
    <w:rsid w:val="7F6B5FB7"/>
    <w:rsid w:val="7F7119F3"/>
    <w:rsid w:val="7F853AB6"/>
    <w:rsid w:val="7F8D4C51"/>
    <w:rsid w:val="7F9D305D"/>
    <w:rsid w:val="7FA23687"/>
    <w:rsid w:val="7FA2692E"/>
    <w:rsid w:val="7FA534FA"/>
    <w:rsid w:val="7FA71F3A"/>
    <w:rsid w:val="7FBA3C77"/>
    <w:rsid w:val="7FC379A1"/>
    <w:rsid w:val="7FC638A9"/>
    <w:rsid w:val="7FCB1D09"/>
    <w:rsid w:val="7FDD0932"/>
    <w:rsid w:val="7FE15B6A"/>
    <w:rsid w:val="7FE84467"/>
    <w:rsid w:val="7FF07C1F"/>
    <w:rsid w:val="7FF67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宋体" w:cstheme="minorBidi"/>
      <w:kern w:val="2"/>
      <w:sz w:val="24"/>
      <w:szCs w:val="24"/>
      <w:lang w:val="en-US" w:eastAsia="zh-CN" w:bidi="ar-SA"/>
    </w:rPr>
  </w:style>
  <w:style w:type="paragraph" w:styleId="2">
    <w:name w:val="heading 1"/>
    <w:basedOn w:val="1"/>
    <w:next w:val="1"/>
    <w:qFormat/>
    <w:uiPriority w:val="0"/>
    <w:pPr>
      <w:keepNext/>
      <w:keepLines/>
      <w:outlineLvl w:val="0"/>
    </w:pPr>
    <w:rPr>
      <w:b/>
      <w:kern w:val="44"/>
      <w:sz w:val="44"/>
    </w:rPr>
  </w:style>
  <w:style w:type="paragraph" w:styleId="3">
    <w:name w:val="heading 2"/>
    <w:basedOn w:val="1"/>
    <w:next w:val="1"/>
    <w:link w:val="32"/>
    <w:unhideWhenUsed/>
    <w:qFormat/>
    <w:uiPriority w:val="0"/>
    <w:pPr>
      <w:keepNext/>
      <w:keepLines/>
      <w:spacing w:line="500" w:lineRule="exact"/>
      <w:outlineLvl w:val="1"/>
    </w:pPr>
    <w:rPr>
      <w:rFonts w:ascii="Arial" w:hAnsi="Arial" w:eastAsia="黑体"/>
      <w:b/>
      <w:sz w:val="28"/>
    </w:rPr>
  </w:style>
  <w:style w:type="paragraph" w:styleId="4">
    <w:name w:val="heading 3"/>
    <w:basedOn w:val="1"/>
    <w:next w:val="1"/>
    <w:unhideWhenUsed/>
    <w:qFormat/>
    <w:uiPriority w:val="0"/>
    <w:pPr>
      <w:outlineLvl w:val="2"/>
    </w:pPr>
    <w:rPr>
      <w:rFonts w:hint="eastAsia" w:cs="Times New Roman"/>
      <w:b/>
      <w:kern w:val="0"/>
      <w:sz w:val="27"/>
      <w:szCs w:val="27"/>
    </w:rPr>
  </w:style>
  <w:style w:type="paragraph" w:styleId="5">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6">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7">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8">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firstLineChars="200"/>
    </w:pPr>
  </w:style>
  <w:style w:type="paragraph" w:styleId="10">
    <w:name w:val="annotation text"/>
    <w:basedOn w:val="1"/>
    <w:link w:val="71"/>
    <w:qFormat/>
    <w:uiPriority w:val="0"/>
  </w:style>
  <w:style w:type="paragraph" w:styleId="11">
    <w:name w:val="Body Text"/>
    <w:basedOn w:val="1"/>
    <w:next w:val="1"/>
    <w:qFormat/>
    <w:uiPriority w:val="0"/>
    <w:pPr>
      <w:spacing w:after="120"/>
    </w:pPr>
    <w:rPr>
      <w:rFonts w:ascii="Times New Roman"/>
    </w:rPr>
  </w:style>
  <w:style w:type="paragraph" w:styleId="12">
    <w:name w:val="Body Text Indent"/>
    <w:basedOn w:val="1"/>
    <w:qFormat/>
    <w:uiPriority w:val="0"/>
    <w:pPr>
      <w:ind w:firstLine="538" w:firstLineChars="168"/>
    </w:pPr>
    <w:rPr>
      <w:rFonts w:ascii="仿宋_GB2312" w:eastAsia="仿宋_GB2312"/>
      <w:sz w:val="32"/>
    </w:rPr>
  </w:style>
  <w:style w:type="paragraph" w:styleId="13">
    <w:name w:val="toc 3"/>
    <w:basedOn w:val="1"/>
    <w:next w:val="1"/>
    <w:qFormat/>
    <w:uiPriority w:val="0"/>
    <w:pPr>
      <w:wordWrap w:val="0"/>
      <w:topLinePunct/>
      <w:spacing w:line="400" w:lineRule="exact"/>
      <w:ind w:left="840" w:leftChars="400"/>
    </w:pPr>
    <w:rPr>
      <w:sz w:val="21"/>
    </w:rPr>
  </w:style>
  <w:style w:type="paragraph" w:styleId="14">
    <w:name w:val="Balloon Text"/>
    <w:basedOn w:val="1"/>
    <w:link w:val="73"/>
    <w:qFormat/>
    <w:uiPriority w:val="0"/>
    <w:pPr>
      <w:spacing w:line="240" w:lineRule="auto"/>
    </w:pPr>
    <w:rPr>
      <w:sz w:val="18"/>
      <w:szCs w:val="18"/>
    </w:rPr>
  </w:style>
  <w:style w:type="paragraph" w:styleId="15">
    <w:name w:val="footer"/>
    <w:basedOn w:val="1"/>
    <w:link w:val="31"/>
    <w:qFormat/>
    <w:uiPriority w:val="0"/>
    <w:pPr>
      <w:spacing w:line="240" w:lineRule="auto"/>
    </w:pPr>
    <w:rPr>
      <w:sz w:val="18"/>
      <w:szCs w:val="18"/>
    </w:rPr>
  </w:style>
  <w:style w:type="paragraph" w:styleId="16">
    <w:name w:val="header"/>
    <w:basedOn w:val="1"/>
    <w:link w:val="30"/>
    <w:qFormat/>
    <w:uiPriority w:val="0"/>
    <w:pPr>
      <w:pBdr>
        <w:bottom w:val="single" w:color="auto" w:sz="6" w:space="1"/>
      </w:pBdr>
      <w:wordWrap w:val="0"/>
      <w:topLinePunct/>
      <w:spacing w:line="240" w:lineRule="auto"/>
      <w:jc w:val="center"/>
    </w:pPr>
    <w:rPr>
      <w:sz w:val="18"/>
      <w:szCs w:val="18"/>
    </w:rPr>
  </w:style>
  <w:style w:type="paragraph" w:styleId="17">
    <w:name w:val="toc 1"/>
    <w:basedOn w:val="1"/>
    <w:next w:val="1"/>
    <w:qFormat/>
    <w:uiPriority w:val="0"/>
    <w:pPr>
      <w:tabs>
        <w:tab w:val="right" w:leader="dot" w:pos="0"/>
        <w:tab w:val="right" w:leader="dot" w:pos="9746"/>
      </w:tabs>
      <w:wordWrap w:val="0"/>
      <w:topLinePunct/>
      <w:spacing w:line="400" w:lineRule="exact"/>
    </w:pPr>
    <w:rPr>
      <w:sz w:val="21"/>
    </w:rPr>
  </w:style>
  <w:style w:type="paragraph" w:styleId="18">
    <w:name w:val="toc 6"/>
    <w:basedOn w:val="1"/>
    <w:next w:val="1"/>
    <w:qFormat/>
    <w:uiPriority w:val="0"/>
    <w:pPr>
      <w:ind w:left="2100"/>
    </w:pPr>
  </w:style>
  <w:style w:type="paragraph" w:styleId="19">
    <w:name w:val="toc 2"/>
    <w:basedOn w:val="1"/>
    <w:next w:val="1"/>
    <w:qFormat/>
    <w:uiPriority w:val="0"/>
    <w:pPr>
      <w:wordWrap w:val="0"/>
      <w:topLinePunct/>
      <w:spacing w:line="400" w:lineRule="exact"/>
      <w:ind w:left="420" w:leftChars="200"/>
    </w:pPr>
    <w:rPr>
      <w:sz w:val="21"/>
    </w:rPr>
  </w:style>
  <w:style w:type="paragraph" w:styleId="20">
    <w:name w:val="Normal (Web)"/>
    <w:basedOn w:val="1"/>
    <w:qFormat/>
    <w:uiPriority w:val="0"/>
    <w:pPr>
      <w:spacing w:beforeAutospacing="1" w:afterAutospacing="1"/>
    </w:pPr>
    <w:rPr>
      <w:rFonts w:cs="Times New Roman"/>
      <w:kern w:val="0"/>
    </w:rPr>
  </w:style>
  <w:style w:type="paragraph" w:styleId="21">
    <w:name w:val="Title"/>
    <w:basedOn w:val="1"/>
    <w:next w:val="1"/>
    <w:qFormat/>
    <w:uiPriority w:val="10"/>
    <w:pPr>
      <w:spacing w:before="240" w:after="60"/>
      <w:jc w:val="center"/>
    </w:pPr>
    <w:rPr>
      <w:rFonts w:ascii="Cambria" w:hAnsi="Cambria" w:eastAsia="方正小标宋简体" w:cs="Times New Roman"/>
      <w:bCs/>
      <w:sz w:val="36"/>
      <w:szCs w:val="32"/>
    </w:rPr>
  </w:style>
  <w:style w:type="paragraph" w:styleId="22">
    <w:name w:val="annotation subject"/>
    <w:basedOn w:val="10"/>
    <w:next w:val="10"/>
    <w:link w:val="72"/>
    <w:qFormat/>
    <w:uiPriority w:val="0"/>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character" w:styleId="27">
    <w:name w:val="annotation reference"/>
    <w:basedOn w:val="25"/>
    <w:qFormat/>
    <w:uiPriority w:val="0"/>
    <w:rPr>
      <w:sz w:val="21"/>
      <w:szCs w:val="21"/>
    </w:rPr>
  </w:style>
  <w:style w:type="paragraph" w:customStyle="1" w:styleId="28">
    <w:name w:val="标题 5（有编号）（绿盟科技）"/>
    <w:basedOn w:val="1"/>
    <w:next w:val="29"/>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页眉 Char"/>
    <w:basedOn w:val="25"/>
    <w:link w:val="16"/>
    <w:qFormat/>
    <w:uiPriority w:val="0"/>
    <w:rPr>
      <w:rFonts w:ascii="宋体" w:hAnsi="宋体" w:eastAsia="宋体" w:cstheme="minorBidi"/>
      <w:kern w:val="2"/>
      <w:sz w:val="18"/>
      <w:szCs w:val="18"/>
    </w:rPr>
  </w:style>
  <w:style w:type="character" w:customStyle="1" w:styleId="31">
    <w:name w:val="页脚 Char"/>
    <w:basedOn w:val="25"/>
    <w:link w:val="15"/>
    <w:qFormat/>
    <w:uiPriority w:val="0"/>
    <w:rPr>
      <w:rFonts w:ascii="宋体" w:hAnsi="宋体" w:eastAsia="宋体" w:cstheme="minorBidi"/>
      <w:kern w:val="2"/>
      <w:sz w:val="18"/>
      <w:szCs w:val="18"/>
    </w:rPr>
  </w:style>
  <w:style w:type="character" w:customStyle="1" w:styleId="32">
    <w:name w:val="标题 2 Char"/>
    <w:basedOn w:val="25"/>
    <w:link w:val="3"/>
    <w:qFormat/>
    <w:uiPriority w:val="0"/>
    <w:rPr>
      <w:rFonts w:ascii="Arial" w:hAnsi="Arial" w:eastAsia="黑体"/>
      <w:b/>
      <w:sz w:val="28"/>
    </w:rPr>
  </w:style>
  <w:style w:type="paragraph" w:customStyle="1" w:styleId="33">
    <w:name w:val="05、“(一)”正文三级标题"/>
    <w:basedOn w:val="1"/>
    <w:link w:val="58"/>
    <w:qFormat/>
    <w:uiPriority w:val="0"/>
    <w:pPr>
      <w:numPr>
        <w:ilvl w:val="1"/>
        <w:numId w:val="1"/>
      </w:numPr>
      <w:wordWrap w:val="0"/>
      <w:topLinePunct/>
      <w:ind w:firstLine="803" w:firstLineChars="200"/>
    </w:pPr>
  </w:style>
  <w:style w:type="paragraph" w:customStyle="1" w:styleId="34">
    <w:name w:val="00、封面正文(与其他内容无关的格式)"/>
    <w:basedOn w:val="1"/>
    <w:qFormat/>
    <w:uiPriority w:val="0"/>
  </w:style>
  <w:style w:type="paragraph" w:customStyle="1" w:styleId="35">
    <w:name w:val="15、“一、”二级标题"/>
    <w:basedOn w:val="1"/>
    <w:qFormat/>
    <w:uiPriority w:val="0"/>
    <w:pPr>
      <w:numPr>
        <w:ilvl w:val="1"/>
        <w:numId w:val="3"/>
      </w:numPr>
      <w:wordWrap w:val="0"/>
      <w:topLinePunct/>
      <w:ind w:firstLine="803" w:firstLineChars="200"/>
      <w:outlineLvl w:val="1"/>
    </w:pPr>
    <w:rPr>
      <w:b/>
    </w:rPr>
  </w:style>
  <w:style w:type="paragraph" w:customStyle="1" w:styleId="36">
    <w:name w:val="06、“1.”正文四级标题"/>
    <w:basedOn w:val="1"/>
    <w:link w:val="60"/>
    <w:qFormat/>
    <w:uiPriority w:val="0"/>
    <w:pPr>
      <w:numPr>
        <w:ilvl w:val="2"/>
        <w:numId w:val="1"/>
      </w:numPr>
      <w:wordWrap w:val="0"/>
      <w:topLinePunct/>
      <w:ind w:firstLine="803" w:firstLineChars="200"/>
    </w:pPr>
    <w:rPr>
      <w:snapToGrid w:val="0"/>
    </w:rPr>
  </w:style>
  <w:style w:type="paragraph" w:customStyle="1" w:styleId="37">
    <w:name w:val="07、“1.1”正文五级标题"/>
    <w:basedOn w:val="1"/>
    <w:link w:val="52"/>
    <w:qFormat/>
    <w:uiPriority w:val="0"/>
    <w:pPr>
      <w:numPr>
        <w:ilvl w:val="3"/>
        <w:numId w:val="1"/>
      </w:numPr>
      <w:ind w:firstLine="803" w:firstLineChars="200"/>
    </w:pPr>
  </w:style>
  <w:style w:type="paragraph" w:customStyle="1" w:styleId="38">
    <w:name w:val="08、“(1)”正文六级标题"/>
    <w:basedOn w:val="1"/>
    <w:link w:val="61"/>
    <w:qFormat/>
    <w:uiPriority w:val="0"/>
    <w:pPr>
      <w:numPr>
        <w:ilvl w:val="4"/>
        <w:numId w:val="1"/>
      </w:numPr>
      <w:ind w:firstLine="803" w:firstLineChars="200"/>
    </w:pPr>
    <w:rPr>
      <w:snapToGrid w:val="0"/>
    </w:rPr>
  </w:style>
  <w:style w:type="paragraph" w:customStyle="1" w:styleId="39">
    <w:name w:val="09、“1.”表格内一级标题"/>
    <w:basedOn w:val="1"/>
    <w:qFormat/>
    <w:uiPriority w:val="0"/>
    <w:pPr>
      <w:numPr>
        <w:ilvl w:val="0"/>
        <w:numId w:val="4"/>
      </w:numPr>
      <w:wordWrap w:val="0"/>
      <w:topLinePunct/>
      <w:spacing w:line="360" w:lineRule="exact"/>
      <w:ind w:left="48" w:leftChars="20"/>
    </w:pPr>
    <w:rPr>
      <w:snapToGrid w:val="0"/>
      <w:sz w:val="21"/>
    </w:rPr>
  </w:style>
  <w:style w:type="paragraph" w:customStyle="1" w:styleId="40">
    <w:name w:val="10、“1.1”表格内二级标题"/>
    <w:basedOn w:val="1"/>
    <w:link w:val="51"/>
    <w:qFormat/>
    <w:uiPriority w:val="0"/>
    <w:pPr>
      <w:numPr>
        <w:ilvl w:val="1"/>
        <w:numId w:val="4"/>
      </w:numPr>
      <w:wordWrap w:val="0"/>
      <w:topLinePunct/>
      <w:spacing w:line="360" w:lineRule="exact"/>
      <w:ind w:left="48" w:leftChars="20"/>
    </w:pPr>
    <w:rPr>
      <w:snapToGrid w:val="0"/>
      <w:sz w:val="21"/>
    </w:rPr>
  </w:style>
  <w:style w:type="paragraph" w:customStyle="1" w:styleId="41">
    <w:name w:val="11、“1.1.1”表格内三级标题"/>
    <w:basedOn w:val="1"/>
    <w:qFormat/>
    <w:uiPriority w:val="0"/>
    <w:pPr>
      <w:numPr>
        <w:ilvl w:val="2"/>
        <w:numId w:val="4"/>
      </w:numPr>
      <w:wordWrap w:val="0"/>
      <w:topLinePunct/>
      <w:spacing w:line="360" w:lineRule="exact"/>
      <w:ind w:left="48" w:leftChars="20"/>
    </w:pPr>
    <w:rPr>
      <w:snapToGrid w:val="0"/>
      <w:sz w:val="21"/>
    </w:rPr>
  </w:style>
  <w:style w:type="paragraph" w:customStyle="1" w:styleId="42">
    <w:name w:val="12、表格内左对齐正文"/>
    <w:basedOn w:val="1"/>
    <w:link w:val="62"/>
    <w:qFormat/>
    <w:uiPriority w:val="0"/>
    <w:pPr>
      <w:wordWrap w:val="0"/>
      <w:topLinePunct/>
      <w:spacing w:line="360" w:lineRule="exact"/>
      <w:ind w:left="48" w:leftChars="20"/>
    </w:pPr>
    <w:rPr>
      <w:snapToGrid w:val="0"/>
      <w:sz w:val="21"/>
    </w:rPr>
  </w:style>
  <w:style w:type="paragraph" w:customStyle="1" w:styleId="43">
    <w:name w:val="01、普通正文"/>
    <w:basedOn w:val="1"/>
    <w:link w:val="56"/>
    <w:qFormat/>
    <w:uiPriority w:val="0"/>
    <w:pPr>
      <w:wordWrap w:val="0"/>
      <w:topLinePunct/>
    </w:pPr>
    <w:rPr>
      <w:snapToGrid w:val="0"/>
    </w:rPr>
  </w:style>
  <w:style w:type="paragraph" w:customStyle="1" w:styleId="44">
    <w:name w:val="20、第五章“(一)”三级标题"/>
    <w:basedOn w:val="43"/>
    <w:link w:val="53"/>
    <w:qFormat/>
    <w:uiPriority w:val="0"/>
    <w:pPr>
      <w:pageBreakBefore/>
      <w:spacing w:before="50" w:beforeLines="50" w:after="50" w:afterLines="50"/>
      <w:jc w:val="center"/>
      <w:outlineLvl w:val="2"/>
    </w:pPr>
    <w:rPr>
      <w:b/>
      <w:sz w:val="28"/>
    </w:rPr>
  </w:style>
  <w:style w:type="paragraph" w:customStyle="1" w:styleId="45">
    <w:name w:val="13、表格内居中正文"/>
    <w:basedOn w:val="1"/>
    <w:qFormat/>
    <w:uiPriority w:val="0"/>
    <w:pPr>
      <w:wordWrap w:val="0"/>
      <w:topLinePunct/>
      <w:spacing w:line="360" w:lineRule="exact"/>
      <w:jc w:val="center"/>
    </w:pPr>
    <w:rPr>
      <w:sz w:val="21"/>
    </w:rPr>
  </w:style>
  <w:style w:type="paragraph" w:customStyle="1" w:styleId="46">
    <w:name w:val="02、首行缩进2字符正文"/>
    <w:basedOn w:val="1"/>
    <w:link w:val="55"/>
    <w:qFormat/>
    <w:uiPriority w:val="0"/>
    <w:pPr>
      <w:wordWrap w:val="0"/>
      <w:topLinePunct/>
      <w:ind w:firstLine="480" w:firstLineChars="200"/>
    </w:pPr>
  </w:style>
  <w:style w:type="paragraph" w:customStyle="1" w:styleId="47">
    <w:name w:val="03、“注：”正文(加粗，首行缩进2字符)"/>
    <w:basedOn w:val="43"/>
    <w:link w:val="57"/>
    <w:qFormat/>
    <w:uiPriority w:val="0"/>
    <w:pPr>
      <w:ind w:firstLine="480" w:firstLineChars="200"/>
    </w:pPr>
    <w:rPr>
      <w:b/>
    </w:rPr>
  </w:style>
  <w:style w:type="paragraph" w:customStyle="1" w:styleId="48">
    <w:name w:val="14、“第一章”一级标题"/>
    <w:basedOn w:val="43"/>
    <w:qFormat/>
    <w:uiPriority w:val="0"/>
    <w:pPr>
      <w:numPr>
        <w:ilvl w:val="0"/>
        <w:numId w:val="3"/>
      </w:numPr>
      <w:spacing w:before="50" w:beforeLines="50" w:after="50" w:afterLines="50" w:line="240" w:lineRule="auto"/>
      <w:jc w:val="center"/>
      <w:outlineLvl w:val="0"/>
    </w:pPr>
    <w:rPr>
      <w:b/>
      <w:sz w:val="36"/>
    </w:rPr>
  </w:style>
  <w:style w:type="paragraph" w:customStyle="1" w:styleId="49">
    <w:name w:val="16、“(一)”三级标题"/>
    <w:basedOn w:val="43"/>
    <w:link w:val="54"/>
    <w:qFormat/>
    <w:uiPriority w:val="0"/>
    <w:pPr>
      <w:numPr>
        <w:ilvl w:val="2"/>
        <w:numId w:val="3"/>
      </w:numPr>
      <w:ind w:firstLine="803" w:firstLineChars="200"/>
      <w:outlineLvl w:val="2"/>
    </w:pPr>
    <w:rPr>
      <w:b/>
    </w:rPr>
  </w:style>
  <w:style w:type="paragraph" w:customStyle="1" w:styleId="50">
    <w:name w:val="04“一、”正文二级标题"/>
    <w:basedOn w:val="43"/>
    <w:link w:val="59"/>
    <w:qFormat/>
    <w:uiPriority w:val="0"/>
    <w:pPr>
      <w:ind w:firstLine="803" w:firstLineChars="200"/>
    </w:pPr>
  </w:style>
  <w:style w:type="character" w:customStyle="1" w:styleId="51">
    <w:name w:val="10、“1.1”表格内二级标题 Char"/>
    <w:link w:val="40"/>
    <w:qFormat/>
    <w:uiPriority w:val="0"/>
    <w:rPr>
      <w:rFonts w:ascii="宋体" w:hAnsi="宋体" w:eastAsia="宋体"/>
      <w:snapToGrid w:val="0"/>
      <w:sz w:val="21"/>
    </w:rPr>
  </w:style>
  <w:style w:type="character" w:customStyle="1" w:styleId="52">
    <w:name w:val="07、“1.1”正文五级标题 Char"/>
    <w:link w:val="37"/>
    <w:qFormat/>
    <w:uiPriority w:val="0"/>
    <w:rPr>
      <w:rFonts w:ascii="宋体" w:hAnsi="宋体" w:eastAsia="宋体"/>
    </w:rPr>
  </w:style>
  <w:style w:type="character" w:customStyle="1" w:styleId="53">
    <w:name w:val="18、第三章“(一)”三级标题 Char"/>
    <w:link w:val="44"/>
    <w:qFormat/>
    <w:uiPriority w:val="0"/>
    <w:rPr>
      <w:rFonts w:ascii="宋体" w:hAnsi="宋体" w:eastAsia="宋体"/>
      <w:b/>
      <w:snapToGrid w:val="0"/>
      <w:kern w:val="2"/>
      <w:sz w:val="28"/>
      <w:szCs w:val="24"/>
    </w:rPr>
  </w:style>
  <w:style w:type="character" w:customStyle="1" w:styleId="54">
    <w:name w:val="16、“(一)”三级标题 Char"/>
    <w:link w:val="49"/>
    <w:qFormat/>
    <w:uiPriority w:val="0"/>
    <w:rPr>
      <w:rFonts w:ascii="宋体" w:hAnsi="宋体" w:eastAsia="宋体"/>
      <w:b/>
    </w:rPr>
  </w:style>
  <w:style w:type="character" w:customStyle="1" w:styleId="55">
    <w:name w:val="02、首行缩进2字符正文 Char"/>
    <w:link w:val="46"/>
    <w:qFormat/>
    <w:uiPriority w:val="0"/>
    <w:rPr>
      <w:rFonts w:ascii="宋体" w:hAnsi="宋体" w:eastAsia="宋体"/>
    </w:rPr>
  </w:style>
  <w:style w:type="character" w:customStyle="1" w:styleId="56">
    <w:name w:val="01、普通正文 Char"/>
    <w:link w:val="43"/>
    <w:qFormat/>
    <w:uiPriority w:val="0"/>
    <w:rPr>
      <w:rFonts w:ascii="宋体" w:hAnsi="宋体" w:eastAsia="宋体"/>
      <w:snapToGrid w:val="0"/>
    </w:rPr>
  </w:style>
  <w:style w:type="character" w:customStyle="1" w:styleId="57">
    <w:name w:val="03、“注：”正文(加粗，首行缩进2字符) Char"/>
    <w:link w:val="47"/>
    <w:qFormat/>
    <w:uiPriority w:val="0"/>
    <w:rPr>
      <w:b/>
    </w:rPr>
  </w:style>
  <w:style w:type="character" w:customStyle="1" w:styleId="58">
    <w:name w:val="05、“(一)”正文三级标题 Char"/>
    <w:link w:val="33"/>
    <w:qFormat/>
    <w:uiPriority w:val="0"/>
    <w:rPr>
      <w:rFonts w:ascii="宋体" w:hAnsi="宋体" w:eastAsia="宋体"/>
    </w:rPr>
  </w:style>
  <w:style w:type="character" w:customStyle="1" w:styleId="59">
    <w:name w:val="04“一、”正文二级标题 Char"/>
    <w:link w:val="50"/>
    <w:qFormat/>
    <w:uiPriority w:val="0"/>
  </w:style>
  <w:style w:type="character" w:customStyle="1" w:styleId="60">
    <w:name w:val="06、“1.”正文四级标题 Char"/>
    <w:link w:val="36"/>
    <w:qFormat/>
    <w:uiPriority w:val="0"/>
    <w:rPr>
      <w:rFonts w:ascii="宋体" w:hAnsi="宋体" w:eastAsia="宋体"/>
      <w:snapToGrid w:val="0"/>
    </w:rPr>
  </w:style>
  <w:style w:type="character" w:customStyle="1" w:styleId="61">
    <w:name w:val="08、“(1)”正文六级标题 Char"/>
    <w:link w:val="38"/>
    <w:qFormat/>
    <w:uiPriority w:val="0"/>
    <w:rPr>
      <w:rFonts w:ascii="宋体" w:hAnsi="宋体" w:eastAsia="宋体"/>
      <w:snapToGrid w:val="0"/>
    </w:rPr>
  </w:style>
  <w:style w:type="character" w:customStyle="1" w:styleId="62">
    <w:name w:val="12、表格内左对齐正文 Char"/>
    <w:link w:val="42"/>
    <w:qFormat/>
    <w:uiPriority w:val="0"/>
    <w:rPr>
      <w:rFonts w:ascii="宋体" w:hAnsi="宋体" w:eastAsia="宋体"/>
      <w:snapToGrid w:val="0"/>
      <w:sz w:val="21"/>
    </w:rPr>
  </w:style>
  <w:style w:type="paragraph" w:customStyle="1" w:styleId="63">
    <w:name w:val="17“1.”四级标题"/>
    <w:basedOn w:val="46"/>
    <w:link w:val="67"/>
    <w:qFormat/>
    <w:uiPriority w:val="0"/>
    <w:pPr>
      <w:numPr>
        <w:ilvl w:val="3"/>
        <w:numId w:val="3"/>
      </w:numPr>
      <w:ind w:firstLine="803"/>
    </w:pPr>
  </w:style>
  <w:style w:type="paragraph" w:customStyle="1" w:styleId="64">
    <w:name w:val="18、“1.1”五级标题"/>
    <w:basedOn w:val="63"/>
    <w:qFormat/>
    <w:uiPriority w:val="0"/>
    <w:pPr>
      <w:numPr>
        <w:ilvl w:val="4"/>
      </w:numPr>
      <w:ind w:firstLine="803"/>
    </w:pPr>
  </w:style>
  <w:style w:type="paragraph" w:customStyle="1" w:styleId="65">
    <w:name w:val="19、“(1)”六级标题"/>
    <w:basedOn w:val="63"/>
    <w:qFormat/>
    <w:uiPriority w:val="0"/>
    <w:pPr>
      <w:numPr>
        <w:ilvl w:val="5"/>
      </w:numPr>
      <w:ind w:firstLine="803"/>
    </w:pPr>
  </w:style>
  <w:style w:type="paragraph" w:customStyle="1" w:styleId="66">
    <w:name w:val="21、合同二级标题序号"/>
    <w:basedOn w:val="43"/>
    <w:qFormat/>
    <w:uiPriority w:val="0"/>
    <w:pPr>
      <w:numPr>
        <w:ilvl w:val="0"/>
        <w:numId w:val="5"/>
      </w:numPr>
      <w:ind w:firstLine="803" w:firstLineChars="200"/>
      <w:outlineLvl w:val="1"/>
    </w:pPr>
    <w:rPr>
      <w:b/>
    </w:rPr>
  </w:style>
  <w:style w:type="character" w:customStyle="1" w:styleId="67">
    <w:name w:val="17“1.”四级标题 Char"/>
    <w:link w:val="63"/>
    <w:qFormat/>
    <w:uiPriority w:val="0"/>
    <w:rPr>
      <w:rFonts w:ascii="宋体" w:hAnsi="宋体" w:eastAsia="宋体"/>
    </w:rPr>
  </w:style>
  <w:style w:type="paragraph" w:customStyle="1" w:styleId="68">
    <w:name w:val="正文首行缩进两字符"/>
    <w:basedOn w:val="1"/>
    <w:qFormat/>
    <w:uiPriority w:val="0"/>
    <w:pPr>
      <w:spacing w:line="360" w:lineRule="auto"/>
      <w:ind w:firstLine="200" w:firstLineChars="200"/>
      <w:jc w:val="both"/>
    </w:pPr>
    <w:rPr>
      <w:sz w:val="21"/>
      <w:szCs w:val="20"/>
    </w:rPr>
  </w:style>
  <w:style w:type="paragraph" w:customStyle="1" w:styleId="69">
    <w:name w:val="样式 首行缩进:  2 字符"/>
    <w:basedOn w:val="1"/>
    <w:qFormat/>
    <w:uiPriority w:val="0"/>
    <w:pPr>
      <w:ind w:firstLine="420" w:firstLineChars="200"/>
      <w:jc w:val="both"/>
    </w:pPr>
    <w:rPr>
      <w:rFonts w:cs="宋体"/>
      <w:sz w:val="21"/>
      <w:szCs w:val="20"/>
    </w:rPr>
  </w:style>
  <w:style w:type="paragraph" w:customStyle="1" w:styleId="70">
    <w:name w:val="21、第三章“(一)”三级标题"/>
    <w:basedOn w:val="43"/>
    <w:qFormat/>
    <w:uiPriority w:val="0"/>
    <w:pPr>
      <w:pageBreakBefore/>
      <w:numPr>
        <w:ilvl w:val="0"/>
        <w:numId w:val="6"/>
      </w:numPr>
      <w:spacing w:before="50" w:beforeLines="50" w:after="50" w:afterLines="50"/>
      <w:jc w:val="center"/>
      <w:outlineLvl w:val="2"/>
    </w:pPr>
    <w:rPr>
      <w:b/>
      <w:sz w:val="28"/>
    </w:rPr>
  </w:style>
  <w:style w:type="character" w:customStyle="1" w:styleId="71">
    <w:name w:val="批注文字 Char"/>
    <w:basedOn w:val="25"/>
    <w:link w:val="10"/>
    <w:qFormat/>
    <w:uiPriority w:val="0"/>
    <w:rPr>
      <w:rFonts w:ascii="宋体" w:hAnsi="宋体" w:eastAsia="宋体"/>
      <w:kern w:val="2"/>
      <w:sz w:val="24"/>
      <w:szCs w:val="24"/>
    </w:rPr>
  </w:style>
  <w:style w:type="character" w:customStyle="1" w:styleId="72">
    <w:name w:val="批注主题 Char"/>
    <w:basedOn w:val="71"/>
    <w:link w:val="22"/>
    <w:qFormat/>
    <w:uiPriority w:val="0"/>
    <w:rPr>
      <w:rFonts w:ascii="宋体" w:hAnsi="宋体" w:eastAsia="宋体"/>
      <w:b/>
      <w:bCs/>
      <w:kern w:val="2"/>
      <w:sz w:val="24"/>
      <w:szCs w:val="24"/>
    </w:rPr>
  </w:style>
  <w:style w:type="character" w:customStyle="1" w:styleId="73">
    <w:name w:val="批注框文本 Char"/>
    <w:basedOn w:val="25"/>
    <w:link w:val="14"/>
    <w:qFormat/>
    <w:uiPriority w:val="0"/>
    <w:rPr>
      <w:rFonts w:ascii="宋体" w:hAns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2B78D-7FED-4909-824E-5094CC60E2DE}">
  <ds:schemaRefs/>
</ds:datastoreItem>
</file>

<file path=docProps/app.xml><?xml version="1.0" encoding="utf-8"?>
<Properties xmlns="http://schemas.openxmlformats.org/officeDocument/2006/extended-properties" xmlns:vt="http://schemas.openxmlformats.org/officeDocument/2006/docPropsVTypes">
  <Template>Normal</Template>
  <Pages>105</Pages>
  <Words>56184</Words>
  <Characters>58858</Characters>
  <Lines>499</Lines>
  <Paragraphs>140</Paragraphs>
  <TotalTime>10</TotalTime>
  <ScaleCrop>false</ScaleCrop>
  <LinksUpToDate>false</LinksUpToDate>
  <CharactersWithSpaces>61648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Lenovo</dc:creator>
  <cp:lastModifiedBy>494476397</cp:lastModifiedBy>
  <cp:lastPrinted>2023-11-22T07:30:00Z</cp:lastPrinted>
  <dcterms:modified xsi:type="dcterms:W3CDTF">2023-11-22T08:44:10Z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22C68CCFA0B34421ABC1E66A5AD855DC_13</vt:lpwstr>
  </property>
</Properties>
</file>