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4"/>
        <w:spacing w:before="120" w:beforeLines="50" w:line="360" w:lineRule="auto"/>
        <w:rPr>
          <w:b/>
          <w:bCs/>
          <w:sz w:val="40"/>
          <w:szCs w:val="40"/>
        </w:rPr>
      </w:pPr>
      <w:bookmarkStart w:id="0" w:name="_Toc578"/>
      <w:bookmarkStart w:id="1" w:name="_Toc5725"/>
      <w:bookmarkStart w:id="2" w:name="_Toc6478"/>
      <w:r>
        <w:rPr>
          <w:rFonts w:hint="eastAsia"/>
          <w:b/>
          <w:bCs/>
          <w:sz w:val="40"/>
          <w:szCs w:val="40"/>
        </w:rPr>
        <w:t>项目编号：QXZB-2023-1226B</w:t>
      </w:r>
    </w:p>
    <w:p>
      <w:pPr>
        <w:pStyle w:val="34"/>
        <w:spacing w:line="360" w:lineRule="auto"/>
        <w:rPr>
          <w:rFonts w:hint="eastAsia" w:eastAsia="宋体"/>
          <w:b/>
          <w:bCs/>
          <w:sz w:val="40"/>
          <w:szCs w:val="40"/>
          <w:lang w:eastAsia="zh-CN"/>
        </w:rPr>
      </w:pPr>
      <w:r>
        <w:rPr>
          <w:rFonts w:hint="eastAsia"/>
          <w:b/>
          <w:bCs/>
          <w:sz w:val="40"/>
          <w:szCs w:val="40"/>
        </w:rPr>
        <w:t>项目名称：</w:t>
      </w:r>
      <w:r>
        <w:rPr>
          <w:rFonts w:hint="eastAsia"/>
          <w:b/>
          <w:bCs/>
          <w:sz w:val="40"/>
          <w:szCs w:val="40"/>
          <w:lang w:eastAsia="zh-CN"/>
        </w:rPr>
        <w:t>成都市技师学院食堂专用存款账户银行采购项目</w:t>
      </w:r>
    </w:p>
    <w:p>
      <w:pPr>
        <w:pStyle w:val="34"/>
        <w:wordWrap w:val="0"/>
        <w:topLinePunct/>
        <w:spacing w:before="3600" w:beforeLines="1500" w:after="3600" w:afterLines="1500" w:line="240" w:lineRule="auto"/>
        <w:jc w:val="center"/>
        <w:rPr>
          <w:b/>
          <w:bCs/>
          <w:sz w:val="96"/>
          <w:szCs w:val="96"/>
        </w:rPr>
      </w:pPr>
      <w:r>
        <w:rPr>
          <w:rFonts w:hint="eastAsia" w:asciiTheme="minorEastAsia" w:hAnsiTheme="minorEastAsia" w:eastAsiaTheme="minorEastAsia" w:cstheme="minorEastAsia"/>
          <w:b/>
          <w:sz w:val="96"/>
          <w:szCs w:val="96"/>
        </w:rPr>
        <w:t>竞争性磋商文件</w:t>
      </w:r>
    </w:p>
    <w:p>
      <w:pPr>
        <w:pStyle w:val="34"/>
        <w:spacing w:line="360" w:lineRule="auto"/>
        <w:jc w:val="center"/>
        <w:rPr>
          <w:b/>
          <w:bCs/>
          <w:sz w:val="28"/>
          <w:szCs w:val="28"/>
        </w:rPr>
      </w:pPr>
      <w:r>
        <w:rPr>
          <w:rFonts w:hint="eastAsia"/>
          <w:b/>
          <w:bCs/>
          <w:sz w:val="28"/>
          <w:szCs w:val="28"/>
        </w:rPr>
        <w:t>中国·四川</w:t>
      </w:r>
    </w:p>
    <w:p>
      <w:pPr>
        <w:pStyle w:val="34"/>
        <w:spacing w:line="360" w:lineRule="auto"/>
        <w:ind w:left="2400" w:leftChars="1000"/>
        <w:rPr>
          <w:b/>
          <w:bCs/>
          <w:sz w:val="28"/>
          <w:szCs w:val="28"/>
        </w:rPr>
      </w:pPr>
      <w:r>
        <w:rPr>
          <w:rFonts w:hint="eastAsia"/>
          <w:b/>
          <w:bCs/>
          <w:sz w:val="28"/>
          <w:szCs w:val="28"/>
        </w:rPr>
        <w:t>采   购   人：</w:t>
      </w:r>
      <w:r>
        <w:rPr>
          <w:rFonts w:hint="eastAsia"/>
          <w:b/>
          <w:bCs/>
          <w:sz w:val="28"/>
          <w:szCs w:val="28"/>
          <w:lang w:eastAsia="zh-CN"/>
        </w:rPr>
        <w:t>成都市技师学院</w:t>
      </w:r>
      <w:r>
        <w:rPr>
          <w:rFonts w:hint="eastAsia"/>
          <w:b/>
          <w:bCs/>
          <w:sz w:val="28"/>
          <w:szCs w:val="28"/>
        </w:rPr>
        <w:t xml:space="preserve">         </w:t>
      </w:r>
    </w:p>
    <w:p>
      <w:pPr>
        <w:pStyle w:val="34"/>
        <w:spacing w:line="360" w:lineRule="auto"/>
        <w:ind w:left="2400" w:leftChars="1000"/>
        <w:rPr>
          <w:b/>
          <w:bCs/>
          <w:sz w:val="28"/>
          <w:szCs w:val="28"/>
        </w:rPr>
      </w:pPr>
      <w:r>
        <w:rPr>
          <w:rFonts w:hint="eastAsia"/>
          <w:b/>
          <w:bCs/>
          <w:sz w:val="28"/>
          <w:szCs w:val="28"/>
        </w:rPr>
        <w:t>采购代理机构：四川乾新招投标代理有限公司</w:t>
      </w:r>
    </w:p>
    <w:p>
      <w:pPr>
        <w:pStyle w:val="34"/>
        <w:spacing w:line="360" w:lineRule="auto"/>
        <w:ind w:left="2400" w:leftChars="1000"/>
        <w:rPr>
          <w:b/>
          <w:bCs/>
          <w:sz w:val="28"/>
          <w:szCs w:val="28"/>
        </w:rPr>
      </w:pPr>
      <w:r>
        <w:rPr>
          <w:rFonts w:hint="eastAsia"/>
          <w:b/>
          <w:bCs/>
          <w:sz w:val="28"/>
          <w:szCs w:val="28"/>
        </w:rPr>
        <w:t>文  件 编 制：由采购人和采购代理机构共同编制</w:t>
      </w:r>
    </w:p>
    <w:p>
      <w:pPr>
        <w:pStyle w:val="34"/>
        <w:spacing w:line="360" w:lineRule="auto"/>
        <w:jc w:val="center"/>
        <w:rPr>
          <w:b/>
          <w:bCs/>
          <w:sz w:val="28"/>
          <w:szCs w:val="28"/>
        </w:rPr>
        <w:sectPr>
          <w:headerReference r:id="rId7" w:type="first"/>
          <w:footerReference r:id="rId9" w:type="first"/>
          <w:headerReference r:id="rId5" w:type="default"/>
          <w:headerReference r:id="rId6" w:type="even"/>
          <w:footerReference r:id="rId8" w:type="even"/>
          <w:pgSz w:w="11906" w:h="16838"/>
          <w:pgMar w:top="1440" w:right="1083" w:bottom="1440" w:left="1083" w:header="851" w:footer="992" w:gutter="0"/>
          <w:pgNumType w:start="0"/>
          <w:cols w:space="720" w:num="1"/>
          <w:titlePg/>
          <w:docGrid w:linePitch="312" w:charSpace="0"/>
        </w:sectPr>
      </w:pPr>
      <w:r>
        <w:rPr>
          <w:rFonts w:hint="eastAsia"/>
          <w:b/>
          <w:bCs/>
          <w:sz w:val="28"/>
          <w:szCs w:val="28"/>
        </w:rPr>
        <w:t>2023年</w:t>
      </w:r>
      <w:r>
        <w:rPr>
          <w:rFonts w:hint="eastAsia"/>
          <w:b/>
          <w:bCs/>
          <w:sz w:val="28"/>
          <w:szCs w:val="28"/>
          <w:lang w:val="en-US" w:eastAsia="zh-CN"/>
        </w:rPr>
        <w:t>12</w:t>
      </w:r>
      <w:r>
        <w:rPr>
          <w:rFonts w:hint="eastAsia"/>
          <w:b/>
          <w:bCs/>
          <w:sz w:val="28"/>
          <w:szCs w:val="28"/>
        </w:rPr>
        <w:t>月</w:t>
      </w:r>
    </w:p>
    <w:p>
      <w:pPr>
        <w:pStyle w:val="34"/>
        <w:jc w:val="center"/>
      </w:pPr>
      <w:r>
        <w:rPr>
          <w:rFonts w:hint="eastAsia"/>
        </w:rPr>
        <w:t>目  录</w:t>
      </w:r>
      <w:bookmarkEnd w:id="0"/>
      <w:bookmarkEnd w:id="1"/>
    </w:p>
    <w:p>
      <w:pPr>
        <w:pStyle w:val="19"/>
        <w:tabs>
          <w:tab w:val="clear" w:pos="0"/>
        </w:tabs>
      </w:pPr>
      <w:bookmarkStart w:id="3" w:name="_Toc26242"/>
      <w:bookmarkStart w:id="4" w:name="_Toc28748"/>
      <w:bookmarkStart w:id="5" w:name="_Toc15794"/>
      <w:r>
        <w:fldChar w:fldCharType="begin"/>
      </w:r>
      <w:r>
        <w:instrText xml:space="preserve">TOC \o "1-3" \h \u </w:instrText>
      </w:r>
      <w:r>
        <w:fldChar w:fldCharType="separate"/>
      </w:r>
      <w:r>
        <w:fldChar w:fldCharType="begin"/>
      </w:r>
      <w:r>
        <w:instrText xml:space="preserve"> HYPERLINK \l _Toc2592 </w:instrText>
      </w:r>
      <w:r>
        <w:fldChar w:fldCharType="separate"/>
      </w:r>
      <w:r>
        <w:rPr>
          <w:rFonts w:hint="eastAsia" w:ascii="宋体" w:hAnsi="宋体" w:eastAsia="宋体" w:cs="宋体"/>
        </w:rPr>
        <w:t xml:space="preserve">第一章 </w:t>
      </w:r>
      <w:r>
        <w:rPr>
          <w:rFonts w:hint="eastAsia"/>
        </w:rPr>
        <w:t>竞争性磋商邀请公告</w:t>
      </w:r>
      <w:r>
        <w:tab/>
      </w:r>
      <w:r>
        <w:fldChar w:fldCharType="begin"/>
      </w:r>
      <w:r>
        <w:instrText xml:space="preserve"> PAGEREF _Toc2592 \h </w:instrText>
      </w:r>
      <w:r>
        <w:fldChar w:fldCharType="separate"/>
      </w:r>
      <w:r>
        <w:t>4</w:t>
      </w:r>
      <w:r>
        <w:fldChar w:fldCharType="end"/>
      </w:r>
      <w:r>
        <w:fldChar w:fldCharType="end"/>
      </w:r>
    </w:p>
    <w:p>
      <w:pPr>
        <w:pStyle w:val="19"/>
        <w:tabs>
          <w:tab w:val="clear" w:pos="0"/>
        </w:tabs>
      </w:pPr>
      <w:r>
        <w:fldChar w:fldCharType="begin"/>
      </w:r>
      <w:r>
        <w:instrText xml:space="preserve"> HYPERLINK \l _Toc26900 </w:instrText>
      </w:r>
      <w:r>
        <w:fldChar w:fldCharType="separate"/>
      </w:r>
      <w:r>
        <w:rPr>
          <w:rFonts w:hint="eastAsia" w:ascii="宋体" w:hAnsi="宋体" w:eastAsia="宋体" w:cs="宋体"/>
        </w:rPr>
        <w:t xml:space="preserve">第二章 </w:t>
      </w:r>
      <w:r>
        <w:rPr>
          <w:rFonts w:hint="eastAsia" w:asciiTheme="minorEastAsia" w:hAnsiTheme="minorEastAsia" w:eastAsiaTheme="minorEastAsia" w:cstheme="minorEastAsia"/>
          <w:szCs w:val="36"/>
        </w:rPr>
        <w:t>磋商须知</w:t>
      </w:r>
      <w:r>
        <w:tab/>
      </w:r>
      <w:r>
        <w:fldChar w:fldCharType="begin"/>
      </w:r>
      <w:r>
        <w:instrText xml:space="preserve"> PAGEREF _Toc26900 \h </w:instrText>
      </w:r>
      <w:r>
        <w:fldChar w:fldCharType="separate"/>
      </w:r>
      <w:r>
        <w:t>7</w:t>
      </w:r>
      <w:r>
        <w:fldChar w:fldCharType="end"/>
      </w:r>
      <w:r>
        <w:fldChar w:fldCharType="end"/>
      </w:r>
    </w:p>
    <w:p>
      <w:pPr>
        <w:pStyle w:val="21"/>
        <w:tabs>
          <w:tab w:val="right" w:leader="dot" w:pos="9746"/>
          <w:tab w:val="clear" w:pos="0"/>
        </w:tabs>
      </w:pPr>
      <w:r>
        <w:fldChar w:fldCharType="begin"/>
      </w:r>
      <w:r>
        <w:instrText xml:space="preserve"> HYPERLINK \l _Toc6754 </w:instrText>
      </w:r>
      <w:r>
        <w:fldChar w:fldCharType="separate"/>
      </w:r>
      <w:r>
        <w:rPr>
          <w:rFonts w:hint="eastAsia" w:ascii="宋体" w:hAnsi="宋体" w:eastAsia="宋体" w:cs="宋体"/>
          <w:szCs w:val="36"/>
        </w:rPr>
        <w:t xml:space="preserve">一、 </w:t>
      </w:r>
      <w:r>
        <w:rPr>
          <w:rFonts w:hint="eastAsia"/>
          <w:szCs w:val="36"/>
        </w:rPr>
        <w:t>磋商须知前附表</w:t>
      </w:r>
      <w:r>
        <w:tab/>
      </w:r>
      <w:r>
        <w:fldChar w:fldCharType="begin"/>
      </w:r>
      <w:r>
        <w:instrText xml:space="preserve"> PAGEREF _Toc6754 \h </w:instrText>
      </w:r>
      <w:r>
        <w:fldChar w:fldCharType="separate"/>
      </w:r>
      <w:r>
        <w:t>7</w:t>
      </w:r>
      <w:r>
        <w:fldChar w:fldCharType="end"/>
      </w:r>
      <w:r>
        <w:fldChar w:fldCharType="end"/>
      </w:r>
    </w:p>
    <w:p>
      <w:pPr>
        <w:pStyle w:val="21"/>
        <w:tabs>
          <w:tab w:val="right" w:leader="dot" w:pos="9746"/>
          <w:tab w:val="clear" w:pos="0"/>
        </w:tabs>
      </w:pPr>
      <w:r>
        <w:fldChar w:fldCharType="begin"/>
      </w:r>
      <w:r>
        <w:instrText xml:space="preserve"> HYPERLINK \l _Toc4713 </w:instrText>
      </w:r>
      <w:r>
        <w:fldChar w:fldCharType="separate"/>
      </w:r>
      <w:r>
        <w:rPr>
          <w:rFonts w:hint="eastAsia" w:ascii="宋体" w:hAnsi="宋体" w:eastAsia="宋体" w:cs="宋体"/>
          <w:szCs w:val="36"/>
        </w:rPr>
        <w:t xml:space="preserve">二、 </w:t>
      </w:r>
      <w:r>
        <w:rPr>
          <w:rFonts w:hint="eastAsia"/>
          <w:szCs w:val="36"/>
        </w:rPr>
        <w:t>总则</w:t>
      </w:r>
      <w:r>
        <w:tab/>
      </w:r>
      <w:r>
        <w:fldChar w:fldCharType="begin"/>
      </w:r>
      <w:r>
        <w:instrText xml:space="preserve"> PAGEREF _Toc4713 \h </w:instrText>
      </w:r>
      <w:r>
        <w:fldChar w:fldCharType="separate"/>
      </w:r>
      <w:r>
        <w:t>11</w:t>
      </w:r>
      <w:r>
        <w:fldChar w:fldCharType="end"/>
      </w:r>
      <w:r>
        <w:fldChar w:fldCharType="end"/>
      </w:r>
    </w:p>
    <w:p>
      <w:pPr>
        <w:pStyle w:val="21"/>
        <w:tabs>
          <w:tab w:val="right" w:leader="dot" w:pos="9746"/>
          <w:tab w:val="clear" w:pos="0"/>
        </w:tabs>
      </w:pPr>
      <w:r>
        <w:fldChar w:fldCharType="begin"/>
      </w:r>
      <w:r>
        <w:instrText xml:space="preserve"> HYPERLINK \l _Toc25397 </w:instrText>
      </w:r>
      <w:r>
        <w:fldChar w:fldCharType="separate"/>
      </w:r>
      <w:r>
        <w:rPr>
          <w:rFonts w:hint="eastAsia" w:ascii="宋体" w:hAnsi="宋体" w:eastAsia="宋体" w:cs="宋体"/>
          <w:szCs w:val="36"/>
        </w:rPr>
        <w:t xml:space="preserve">三、 </w:t>
      </w:r>
      <w:r>
        <w:rPr>
          <w:rFonts w:hint="eastAsia"/>
          <w:szCs w:val="36"/>
        </w:rPr>
        <w:t>竞争性磋商文件</w:t>
      </w:r>
      <w:r>
        <w:tab/>
      </w:r>
      <w:r>
        <w:fldChar w:fldCharType="begin"/>
      </w:r>
      <w:r>
        <w:instrText xml:space="preserve"> PAGEREF _Toc25397 \h </w:instrText>
      </w:r>
      <w:r>
        <w:fldChar w:fldCharType="separate"/>
      </w:r>
      <w:r>
        <w:t>14</w:t>
      </w:r>
      <w:r>
        <w:fldChar w:fldCharType="end"/>
      </w:r>
      <w:r>
        <w:fldChar w:fldCharType="end"/>
      </w:r>
    </w:p>
    <w:p>
      <w:pPr>
        <w:pStyle w:val="15"/>
        <w:tabs>
          <w:tab w:val="right" w:leader="dot" w:pos="9746"/>
          <w:tab w:val="clear" w:pos="0"/>
        </w:tabs>
      </w:pPr>
      <w:r>
        <w:fldChar w:fldCharType="begin"/>
      </w:r>
      <w:r>
        <w:instrText xml:space="preserve"> HYPERLINK \l _Toc28698 </w:instrText>
      </w:r>
      <w:r>
        <w:fldChar w:fldCharType="separate"/>
      </w:r>
      <w:r>
        <w:rPr>
          <w:rFonts w:hint="eastAsia" w:ascii="宋体" w:hAnsi="宋体" w:eastAsia="宋体" w:cs="宋体"/>
        </w:rPr>
        <w:t xml:space="preserve">(一) </w:t>
      </w:r>
      <w:r>
        <w:rPr>
          <w:rFonts w:hint="eastAsia"/>
        </w:rPr>
        <w:t>竞争性磋商文件的构成(实质性要求)</w:t>
      </w:r>
      <w:r>
        <w:tab/>
      </w:r>
      <w:r>
        <w:fldChar w:fldCharType="begin"/>
      </w:r>
      <w:r>
        <w:instrText xml:space="preserve"> PAGEREF _Toc28698 \h </w:instrText>
      </w:r>
      <w:r>
        <w:fldChar w:fldCharType="separate"/>
      </w:r>
      <w:r>
        <w:t>14</w:t>
      </w:r>
      <w:r>
        <w:fldChar w:fldCharType="end"/>
      </w:r>
      <w:r>
        <w:fldChar w:fldCharType="end"/>
      </w:r>
    </w:p>
    <w:p>
      <w:pPr>
        <w:pStyle w:val="15"/>
        <w:tabs>
          <w:tab w:val="right" w:leader="dot" w:pos="9746"/>
          <w:tab w:val="clear" w:pos="0"/>
        </w:tabs>
      </w:pPr>
      <w:r>
        <w:fldChar w:fldCharType="begin"/>
      </w:r>
      <w:r>
        <w:instrText xml:space="preserve"> HYPERLINK \l _Toc3517 </w:instrText>
      </w:r>
      <w:r>
        <w:fldChar w:fldCharType="separate"/>
      </w:r>
      <w:r>
        <w:rPr>
          <w:rFonts w:hint="eastAsia" w:ascii="宋体" w:hAnsi="宋体" w:eastAsia="宋体" w:cs="宋体"/>
        </w:rPr>
        <w:t xml:space="preserve">(二) </w:t>
      </w:r>
      <w:r>
        <w:rPr>
          <w:rFonts w:hint="eastAsia"/>
        </w:rPr>
        <w:t>竞争性磋商文件包含内容</w:t>
      </w:r>
      <w:r>
        <w:tab/>
      </w:r>
      <w:r>
        <w:fldChar w:fldCharType="begin"/>
      </w:r>
      <w:r>
        <w:instrText xml:space="preserve"> PAGEREF _Toc3517 \h </w:instrText>
      </w:r>
      <w:r>
        <w:fldChar w:fldCharType="separate"/>
      </w:r>
      <w:r>
        <w:t>14</w:t>
      </w:r>
      <w:r>
        <w:fldChar w:fldCharType="end"/>
      </w:r>
      <w:r>
        <w:fldChar w:fldCharType="end"/>
      </w:r>
    </w:p>
    <w:p>
      <w:pPr>
        <w:pStyle w:val="15"/>
        <w:tabs>
          <w:tab w:val="right" w:leader="dot" w:pos="9746"/>
          <w:tab w:val="clear" w:pos="0"/>
        </w:tabs>
      </w:pPr>
      <w:r>
        <w:fldChar w:fldCharType="begin"/>
      </w:r>
      <w:r>
        <w:instrText xml:space="preserve"> HYPERLINK \l _Toc24917 </w:instrText>
      </w:r>
      <w:r>
        <w:fldChar w:fldCharType="separate"/>
      </w:r>
      <w:r>
        <w:rPr>
          <w:rFonts w:hint="eastAsia" w:ascii="宋体" w:hAnsi="宋体" w:eastAsia="宋体" w:cs="宋体"/>
        </w:rPr>
        <w:t xml:space="preserve">(三) </w:t>
      </w:r>
      <w:r>
        <w:rPr>
          <w:rFonts w:hint="eastAsia"/>
        </w:rPr>
        <w:t>竞争性磋商文件的澄清和修改</w:t>
      </w:r>
      <w:r>
        <w:tab/>
      </w:r>
      <w:r>
        <w:fldChar w:fldCharType="begin"/>
      </w:r>
      <w:r>
        <w:instrText xml:space="preserve"> PAGEREF _Toc24917 \h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_Toc13497 </w:instrText>
      </w:r>
      <w:r>
        <w:fldChar w:fldCharType="separate"/>
      </w:r>
      <w:r>
        <w:rPr>
          <w:rFonts w:hint="eastAsia" w:ascii="宋体" w:hAnsi="宋体" w:eastAsia="宋体" w:cs="宋体"/>
        </w:rPr>
        <w:t xml:space="preserve">(四) </w:t>
      </w:r>
      <w:r>
        <w:rPr>
          <w:rFonts w:hint="eastAsia"/>
        </w:rPr>
        <w:t>实质性变动</w:t>
      </w:r>
      <w:r>
        <w:tab/>
      </w:r>
      <w:r>
        <w:fldChar w:fldCharType="begin"/>
      </w:r>
      <w:r>
        <w:instrText xml:space="preserve"> PAGEREF _Toc13497 \h </w:instrText>
      </w:r>
      <w:r>
        <w:fldChar w:fldCharType="separate"/>
      </w:r>
      <w:r>
        <w:t>15</w:t>
      </w:r>
      <w:r>
        <w:fldChar w:fldCharType="end"/>
      </w:r>
      <w:r>
        <w:fldChar w:fldCharType="end"/>
      </w:r>
    </w:p>
    <w:p>
      <w:pPr>
        <w:pStyle w:val="15"/>
        <w:tabs>
          <w:tab w:val="right" w:leader="dot" w:pos="9746"/>
          <w:tab w:val="clear" w:pos="0"/>
        </w:tabs>
      </w:pPr>
      <w:r>
        <w:fldChar w:fldCharType="begin"/>
      </w:r>
      <w:r>
        <w:instrText xml:space="preserve"> HYPERLINK \l _Toc5368 </w:instrText>
      </w:r>
      <w:r>
        <w:fldChar w:fldCharType="separate"/>
      </w:r>
      <w:r>
        <w:rPr>
          <w:rFonts w:hint="eastAsia" w:ascii="宋体" w:hAnsi="宋体" w:eastAsia="宋体" w:cs="宋体"/>
        </w:rPr>
        <w:t xml:space="preserve">(五) </w:t>
      </w:r>
      <w:r>
        <w:rPr>
          <w:rFonts w:hint="eastAsia"/>
        </w:rPr>
        <w:t>答疑会和现场考察</w:t>
      </w:r>
      <w:r>
        <w:tab/>
      </w:r>
      <w:r>
        <w:fldChar w:fldCharType="begin"/>
      </w:r>
      <w:r>
        <w:instrText xml:space="preserve"> PAGEREF _Toc5368 \h </w:instrText>
      </w:r>
      <w:r>
        <w:fldChar w:fldCharType="separate"/>
      </w:r>
      <w:r>
        <w:t>16</w:t>
      </w:r>
      <w:r>
        <w:fldChar w:fldCharType="end"/>
      </w:r>
      <w:r>
        <w:fldChar w:fldCharType="end"/>
      </w:r>
    </w:p>
    <w:p>
      <w:pPr>
        <w:pStyle w:val="21"/>
        <w:tabs>
          <w:tab w:val="right" w:leader="dot" w:pos="9746"/>
          <w:tab w:val="clear" w:pos="0"/>
        </w:tabs>
      </w:pPr>
      <w:r>
        <w:fldChar w:fldCharType="begin"/>
      </w:r>
      <w:r>
        <w:instrText xml:space="preserve"> HYPERLINK \l _Toc22058 </w:instrText>
      </w:r>
      <w:r>
        <w:fldChar w:fldCharType="separate"/>
      </w:r>
      <w:r>
        <w:rPr>
          <w:rFonts w:hint="eastAsia" w:ascii="宋体" w:hAnsi="宋体" w:eastAsia="宋体" w:cs="宋体"/>
          <w:szCs w:val="36"/>
        </w:rPr>
        <w:t xml:space="preserve">四、 </w:t>
      </w:r>
      <w:r>
        <w:rPr>
          <w:rFonts w:hint="eastAsia"/>
          <w:szCs w:val="36"/>
        </w:rPr>
        <w:t>响应文件</w:t>
      </w:r>
      <w:r>
        <w:tab/>
      </w:r>
      <w:r>
        <w:fldChar w:fldCharType="begin"/>
      </w:r>
      <w:r>
        <w:instrText xml:space="preserve"> PAGEREF _Toc22058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_Toc22836 </w:instrText>
      </w:r>
      <w:r>
        <w:fldChar w:fldCharType="separate"/>
      </w:r>
      <w:r>
        <w:rPr>
          <w:rFonts w:hint="eastAsia" w:ascii="宋体" w:hAnsi="宋体" w:eastAsia="宋体" w:cs="宋体"/>
        </w:rPr>
        <w:t xml:space="preserve">(一) </w:t>
      </w:r>
      <w:r>
        <w:rPr>
          <w:rFonts w:hint="eastAsia"/>
        </w:rPr>
        <w:t>响应文件的语言(实质性要求)</w:t>
      </w:r>
      <w:r>
        <w:tab/>
      </w:r>
      <w:r>
        <w:fldChar w:fldCharType="begin"/>
      </w:r>
      <w:r>
        <w:instrText xml:space="preserve"> PAGEREF _Toc22836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_Toc30439 </w:instrText>
      </w:r>
      <w:r>
        <w:fldChar w:fldCharType="separate"/>
      </w:r>
      <w:r>
        <w:rPr>
          <w:rFonts w:hint="eastAsia" w:ascii="宋体" w:hAnsi="宋体" w:eastAsia="宋体" w:cs="宋体"/>
        </w:rPr>
        <w:t xml:space="preserve">(二) </w:t>
      </w:r>
      <w:r>
        <w:rPr>
          <w:rFonts w:hint="eastAsia"/>
        </w:rPr>
        <w:t>计量单位(实质性要求)</w:t>
      </w:r>
      <w:r>
        <w:tab/>
      </w:r>
      <w:r>
        <w:fldChar w:fldCharType="begin"/>
      </w:r>
      <w:r>
        <w:instrText xml:space="preserve"> PAGEREF _Toc30439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_Toc31045 </w:instrText>
      </w:r>
      <w:r>
        <w:fldChar w:fldCharType="separate"/>
      </w:r>
      <w:r>
        <w:rPr>
          <w:rFonts w:hint="eastAsia" w:ascii="宋体" w:hAnsi="宋体" w:eastAsia="宋体" w:cs="宋体"/>
        </w:rPr>
        <w:t xml:space="preserve">(三) </w:t>
      </w:r>
      <w:r>
        <w:rPr>
          <w:rFonts w:hint="eastAsia"/>
        </w:rPr>
        <w:t>知识产权(实质性要求)</w:t>
      </w:r>
      <w:r>
        <w:tab/>
      </w:r>
      <w:r>
        <w:fldChar w:fldCharType="begin"/>
      </w:r>
      <w:r>
        <w:instrText xml:space="preserve"> PAGEREF _Toc31045 \h </w:instrText>
      </w:r>
      <w:r>
        <w:fldChar w:fldCharType="separate"/>
      </w:r>
      <w:r>
        <w:t>16</w:t>
      </w:r>
      <w:r>
        <w:fldChar w:fldCharType="end"/>
      </w:r>
      <w:r>
        <w:fldChar w:fldCharType="end"/>
      </w:r>
    </w:p>
    <w:p>
      <w:pPr>
        <w:pStyle w:val="15"/>
        <w:tabs>
          <w:tab w:val="right" w:leader="dot" w:pos="9746"/>
          <w:tab w:val="clear" w:pos="0"/>
        </w:tabs>
      </w:pPr>
      <w:r>
        <w:fldChar w:fldCharType="begin"/>
      </w:r>
      <w:r>
        <w:instrText xml:space="preserve"> HYPERLINK \l _Toc12281 </w:instrText>
      </w:r>
      <w:r>
        <w:fldChar w:fldCharType="separate"/>
      </w:r>
      <w:r>
        <w:rPr>
          <w:rFonts w:hint="eastAsia" w:ascii="宋体" w:hAnsi="宋体" w:eastAsia="宋体" w:cs="宋体"/>
        </w:rPr>
        <w:t xml:space="preserve">(四) </w:t>
      </w:r>
      <w:r>
        <w:rPr>
          <w:rFonts w:hint="eastAsia"/>
        </w:rPr>
        <w:t>响应文件格式要求</w:t>
      </w:r>
      <w:r>
        <w:tab/>
      </w:r>
      <w:r>
        <w:fldChar w:fldCharType="begin"/>
      </w:r>
      <w:r>
        <w:instrText xml:space="preserve"> PAGEREF _Toc12281 \h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_Toc8676 </w:instrText>
      </w:r>
      <w:r>
        <w:fldChar w:fldCharType="separate"/>
      </w:r>
      <w:r>
        <w:rPr>
          <w:rFonts w:hint="eastAsia" w:ascii="宋体" w:hAnsi="宋体" w:eastAsia="宋体" w:cs="宋体"/>
        </w:rPr>
        <w:t xml:space="preserve">(五) </w:t>
      </w:r>
      <w:r>
        <w:rPr>
          <w:rFonts w:hint="eastAsia"/>
        </w:rPr>
        <w:t>磋商有效期(实质性要求)</w:t>
      </w:r>
      <w:r>
        <w:tab/>
      </w:r>
      <w:r>
        <w:fldChar w:fldCharType="begin"/>
      </w:r>
      <w:r>
        <w:instrText xml:space="preserve"> PAGEREF _Toc8676 \h </w:instrText>
      </w:r>
      <w:r>
        <w:fldChar w:fldCharType="separate"/>
      </w:r>
      <w:r>
        <w:t>17</w:t>
      </w:r>
      <w:r>
        <w:fldChar w:fldCharType="end"/>
      </w:r>
      <w:r>
        <w:fldChar w:fldCharType="end"/>
      </w:r>
    </w:p>
    <w:p>
      <w:pPr>
        <w:pStyle w:val="15"/>
        <w:tabs>
          <w:tab w:val="right" w:leader="dot" w:pos="9746"/>
          <w:tab w:val="clear" w:pos="0"/>
        </w:tabs>
      </w:pPr>
      <w:r>
        <w:fldChar w:fldCharType="begin"/>
      </w:r>
      <w:r>
        <w:instrText xml:space="preserve"> HYPERLINK \l _Toc23482 </w:instrText>
      </w:r>
      <w:r>
        <w:fldChar w:fldCharType="separate"/>
      </w:r>
      <w:r>
        <w:rPr>
          <w:rFonts w:hint="eastAsia" w:ascii="宋体" w:hAnsi="宋体" w:eastAsia="宋体" w:cs="宋体"/>
        </w:rPr>
        <w:t xml:space="preserve">(六) </w:t>
      </w:r>
      <w:r>
        <w:rPr>
          <w:rFonts w:hint="eastAsia"/>
        </w:rPr>
        <w:t>联合体磋商</w:t>
      </w:r>
      <w:r>
        <w:rPr>
          <w:rFonts w:hint="eastAsia"/>
          <w:lang w:val="zh-CN"/>
        </w:rPr>
        <w:t>(实质性要求)</w:t>
      </w:r>
      <w:r>
        <w:tab/>
      </w:r>
      <w:r>
        <w:fldChar w:fldCharType="begin"/>
      </w:r>
      <w:r>
        <w:instrText xml:space="preserve"> PAGEREF _Toc23482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_Toc19046 </w:instrText>
      </w:r>
      <w:r>
        <w:fldChar w:fldCharType="separate"/>
      </w:r>
      <w:r>
        <w:rPr>
          <w:rFonts w:hint="eastAsia" w:ascii="宋体" w:hAnsi="宋体" w:eastAsia="宋体" w:cs="宋体"/>
        </w:rPr>
        <w:t xml:space="preserve">(七) </w:t>
      </w:r>
      <w:r>
        <w:rPr>
          <w:rFonts w:hint="eastAsia"/>
        </w:rPr>
        <w:t>响应文件组成(实质性要求)</w:t>
      </w:r>
      <w:r>
        <w:tab/>
      </w:r>
      <w:r>
        <w:fldChar w:fldCharType="begin"/>
      </w:r>
      <w:r>
        <w:instrText xml:space="preserve"> PAGEREF _Toc19046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_Toc2313 </w:instrText>
      </w:r>
      <w:r>
        <w:fldChar w:fldCharType="separate"/>
      </w:r>
      <w:r>
        <w:rPr>
          <w:rFonts w:hint="eastAsia" w:ascii="宋体" w:hAnsi="宋体" w:eastAsia="宋体" w:cs="宋体"/>
        </w:rPr>
        <w:t xml:space="preserve">(八) </w:t>
      </w:r>
      <w:r>
        <w:rPr>
          <w:rFonts w:hint="eastAsia"/>
        </w:rPr>
        <w:t>报价要求(实质性要求)</w:t>
      </w:r>
      <w:r>
        <w:tab/>
      </w:r>
      <w:r>
        <w:fldChar w:fldCharType="begin"/>
      </w:r>
      <w:r>
        <w:instrText xml:space="preserve"> PAGEREF _Toc2313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_Toc20380 </w:instrText>
      </w:r>
      <w:r>
        <w:fldChar w:fldCharType="separate"/>
      </w:r>
      <w:r>
        <w:rPr>
          <w:rFonts w:hint="eastAsia" w:ascii="宋体" w:hAnsi="宋体" w:eastAsia="宋体" w:cs="宋体"/>
        </w:rPr>
        <w:t xml:space="preserve">(九) </w:t>
      </w:r>
      <w:r>
        <w:rPr>
          <w:rFonts w:hint="eastAsia"/>
        </w:rPr>
        <w:t>响应文件编制要求</w:t>
      </w:r>
      <w:r>
        <w:tab/>
      </w:r>
      <w:r>
        <w:fldChar w:fldCharType="begin"/>
      </w:r>
      <w:r>
        <w:instrText xml:space="preserve"> PAGEREF _Toc20380 \h </w:instrText>
      </w:r>
      <w:r>
        <w:fldChar w:fldCharType="separate"/>
      </w:r>
      <w:r>
        <w:t>18</w:t>
      </w:r>
      <w:r>
        <w:fldChar w:fldCharType="end"/>
      </w:r>
      <w:r>
        <w:fldChar w:fldCharType="end"/>
      </w:r>
    </w:p>
    <w:p>
      <w:pPr>
        <w:pStyle w:val="15"/>
        <w:tabs>
          <w:tab w:val="right" w:leader="dot" w:pos="9746"/>
          <w:tab w:val="clear" w:pos="0"/>
        </w:tabs>
      </w:pPr>
      <w:r>
        <w:fldChar w:fldCharType="begin"/>
      </w:r>
      <w:r>
        <w:instrText xml:space="preserve"> HYPERLINK \l _Toc19736 </w:instrText>
      </w:r>
      <w:r>
        <w:fldChar w:fldCharType="separate"/>
      </w:r>
      <w:r>
        <w:rPr>
          <w:rFonts w:hint="eastAsia" w:ascii="宋体" w:hAnsi="宋体" w:eastAsia="宋体" w:cs="宋体"/>
        </w:rPr>
        <w:t xml:space="preserve">(十) </w:t>
      </w:r>
      <w:r>
        <w:rPr>
          <w:rFonts w:hint="eastAsia"/>
        </w:rPr>
        <w:t>响应文件的密封和标注</w:t>
      </w:r>
      <w:r>
        <w:tab/>
      </w:r>
      <w:r>
        <w:fldChar w:fldCharType="begin"/>
      </w:r>
      <w:r>
        <w:instrText xml:space="preserve"> PAGEREF _Toc19736 \h </w:instrText>
      </w:r>
      <w:r>
        <w:fldChar w:fldCharType="separate"/>
      </w:r>
      <w:r>
        <w:t>19</w:t>
      </w:r>
      <w:r>
        <w:fldChar w:fldCharType="end"/>
      </w:r>
      <w:r>
        <w:fldChar w:fldCharType="end"/>
      </w:r>
    </w:p>
    <w:p>
      <w:pPr>
        <w:pStyle w:val="15"/>
        <w:tabs>
          <w:tab w:val="right" w:leader="dot" w:pos="9746"/>
          <w:tab w:val="clear" w:pos="0"/>
        </w:tabs>
      </w:pPr>
      <w:r>
        <w:fldChar w:fldCharType="begin"/>
      </w:r>
      <w:r>
        <w:instrText xml:space="preserve"> HYPERLINK \l _Toc5878 </w:instrText>
      </w:r>
      <w:r>
        <w:fldChar w:fldCharType="separate"/>
      </w:r>
      <w:r>
        <w:rPr>
          <w:rFonts w:hint="eastAsia" w:ascii="宋体" w:hAnsi="宋体" w:eastAsia="宋体" w:cs="宋体"/>
        </w:rPr>
        <w:t xml:space="preserve">(十一) </w:t>
      </w:r>
      <w:r>
        <w:rPr>
          <w:rFonts w:hint="eastAsia"/>
        </w:rPr>
        <w:t>响应文件的递交</w:t>
      </w:r>
      <w:r>
        <w:tab/>
      </w:r>
      <w:r>
        <w:fldChar w:fldCharType="begin"/>
      </w:r>
      <w:r>
        <w:instrText xml:space="preserve"> PAGEREF _Toc5878 \h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_Toc4247 </w:instrText>
      </w:r>
      <w:r>
        <w:fldChar w:fldCharType="separate"/>
      </w:r>
      <w:r>
        <w:rPr>
          <w:rFonts w:hint="eastAsia" w:ascii="宋体" w:hAnsi="宋体" w:eastAsia="宋体" w:cs="宋体"/>
        </w:rPr>
        <w:t xml:space="preserve">(十二) </w:t>
      </w:r>
      <w:r>
        <w:rPr>
          <w:rFonts w:hint="eastAsia"/>
        </w:rPr>
        <w:t>响应文件的修改和撤回</w:t>
      </w:r>
      <w:r>
        <w:tab/>
      </w:r>
      <w:r>
        <w:fldChar w:fldCharType="begin"/>
      </w:r>
      <w:r>
        <w:instrText xml:space="preserve"> PAGEREF _Toc4247 \h </w:instrText>
      </w:r>
      <w:r>
        <w:fldChar w:fldCharType="separate"/>
      </w:r>
      <w:r>
        <w:t>20</w:t>
      </w:r>
      <w:r>
        <w:fldChar w:fldCharType="end"/>
      </w:r>
      <w:r>
        <w:fldChar w:fldCharType="end"/>
      </w:r>
    </w:p>
    <w:p>
      <w:pPr>
        <w:pStyle w:val="15"/>
        <w:tabs>
          <w:tab w:val="right" w:leader="dot" w:pos="9746"/>
          <w:tab w:val="clear" w:pos="0"/>
        </w:tabs>
      </w:pPr>
      <w:r>
        <w:fldChar w:fldCharType="begin"/>
      </w:r>
      <w:r>
        <w:instrText xml:space="preserve"> HYPERLINK \l _Toc885 </w:instrText>
      </w:r>
      <w:r>
        <w:fldChar w:fldCharType="separate"/>
      </w:r>
      <w:r>
        <w:rPr>
          <w:rFonts w:hint="eastAsia" w:ascii="宋体" w:hAnsi="宋体" w:eastAsia="宋体" w:cs="宋体"/>
        </w:rPr>
        <w:t xml:space="preserve">(十三) </w:t>
      </w:r>
      <w:r>
        <w:rPr>
          <w:rFonts w:hint="eastAsia"/>
        </w:rPr>
        <w:t>磋商保证金</w:t>
      </w:r>
      <w:r>
        <w:tab/>
      </w:r>
      <w:r>
        <w:fldChar w:fldCharType="begin"/>
      </w:r>
      <w:r>
        <w:instrText xml:space="preserve"> PAGEREF _Toc885 \h </w:instrText>
      </w:r>
      <w:r>
        <w:fldChar w:fldCharType="separate"/>
      </w:r>
      <w:r>
        <w:t>21</w:t>
      </w:r>
      <w:r>
        <w:fldChar w:fldCharType="end"/>
      </w:r>
      <w:r>
        <w:fldChar w:fldCharType="end"/>
      </w:r>
    </w:p>
    <w:p>
      <w:pPr>
        <w:pStyle w:val="21"/>
        <w:tabs>
          <w:tab w:val="right" w:leader="dot" w:pos="9746"/>
          <w:tab w:val="clear" w:pos="0"/>
        </w:tabs>
      </w:pPr>
      <w:r>
        <w:fldChar w:fldCharType="begin"/>
      </w:r>
      <w:r>
        <w:instrText xml:space="preserve"> HYPERLINK \l _Toc6986 </w:instrText>
      </w:r>
      <w:r>
        <w:fldChar w:fldCharType="separate"/>
      </w:r>
      <w:r>
        <w:rPr>
          <w:rFonts w:hint="eastAsia" w:ascii="宋体" w:hAnsi="宋体" w:eastAsia="宋体" w:cs="宋体"/>
          <w:szCs w:val="36"/>
        </w:rPr>
        <w:t xml:space="preserve">五、 </w:t>
      </w:r>
      <w:r>
        <w:rPr>
          <w:rFonts w:hint="eastAsia"/>
          <w:szCs w:val="36"/>
        </w:rPr>
        <w:t>磋商会</w:t>
      </w:r>
      <w:r>
        <w:tab/>
      </w:r>
      <w:r>
        <w:fldChar w:fldCharType="begin"/>
      </w:r>
      <w:r>
        <w:instrText xml:space="preserve"> PAGEREF _Toc6986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_Toc4972 </w:instrText>
      </w:r>
      <w:r>
        <w:fldChar w:fldCharType="separate"/>
      </w:r>
      <w:r>
        <w:rPr>
          <w:rFonts w:hint="eastAsia" w:ascii="宋体" w:hAnsi="宋体" w:eastAsia="宋体" w:cs="宋体"/>
          <w:bCs/>
        </w:rPr>
        <w:t xml:space="preserve">(一) </w:t>
      </w:r>
      <w:r>
        <w:rPr>
          <w:rFonts w:hint="eastAsia"/>
          <w:bCs/>
        </w:rPr>
        <w:t>磋商会人员</w:t>
      </w:r>
      <w:r>
        <w:tab/>
      </w:r>
      <w:r>
        <w:fldChar w:fldCharType="begin"/>
      </w:r>
      <w:r>
        <w:instrText xml:space="preserve"> PAGEREF _Toc4972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_Toc31060 </w:instrText>
      </w:r>
      <w:r>
        <w:fldChar w:fldCharType="separate"/>
      </w:r>
      <w:r>
        <w:rPr>
          <w:rFonts w:hint="eastAsia" w:ascii="宋体" w:hAnsi="宋体" w:eastAsia="宋体" w:cs="宋体"/>
          <w:bCs/>
        </w:rPr>
        <w:t xml:space="preserve">(二) </w:t>
      </w:r>
      <w:r>
        <w:rPr>
          <w:rFonts w:hint="eastAsia"/>
          <w:bCs/>
        </w:rPr>
        <w:t>磋商会内容</w:t>
      </w:r>
      <w:r>
        <w:tab/>
      </w:r>
      <w:r>
        <w:fldChar w:fldCharType="begin"/>
      </w:r>
      <w:r>
        <w:instrText xml:space="preserve"> PAGEREF _Toc31060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_Toc29993 </w:instrText>
      </w:r>
      <w:r>
        <w:fldChar w:fldCharType="separate"/>
      </w:r>
      <w:r>
        <w:rPr>
          <w:rFonts w:hint="eastAsia" w:ascii="宋体" w:hAnsi="宋体" w:eastAsia="宋体" w:cs="宋体"/>
          <w:bCs/>
        </w:rPr>
        <w:t xml:space="preserve">(三) </w:t>
      </w:r>
      <w:r>
        <w:rPr>
          <w:rFonts w:hint="eastAsia"/>
          <w:bCs/>
        </w:rPr>
        <w:t>电子监控档案</w:t>
      </w:r>
      <w:r>
        <w:tab/>
      </w:r>
      <w:r>
        <w:fldChar w:fldCharType="begin"/>
      </w:r>
      <w:r>
        <w:instrText xml:space="preserve"> PAGEREF _Toc29993 \h </w:instrText>
      </w:r>
      <w:r>
        <w:fldChar w:fldCharType="separate"/>
      </w:r>
      <w:r>
        <w:t>21</w:t>
      </w:r>
      <w:r>
        <w:fldChar w:fldCharType="end"/>
      </w:r>
      <w:r>
        <w:fldChar w:fldCharType="end"/>
      </w:r>
    </w:p>
    <w:p>
      <w:pPr>
        <w:pStyle w:val="21"/>
        <w:tabs>
          <w:tab w:val="right" w:leader="dot" w:pos="9746"/>
          <w:tab w:val="clear" w:pos="0"/>
        </w:tabs>
      </w:pPr>
      <w:r>
        <w:fldChar w:fldCharType="begin"/>
      </w:r>
      <w:r>
        <w:instrText xml:space="preserve"> HYPERLINK \l _Toc28592 </w:instrText>
      </w:r>
      <w:r>
        <w:fldChar w:fldCharType="separate"/>
      </w:r>
      <w:r>
        <w:rPr>
          <w:rFonts w:hint="eastAsia" w:ascii="宋体" w:hAnsi="宋体" w:eastAsia="宋体" w:cs="宋体"/>
          <w:szCs w:val="36"/>
        </w:rPr>
        <w:t xml:space="preserve">六、 </w:t>
      </w:r>
      <w:r>
        <w:rPr>
          <w:rFonts w:hint="eastAsia"/>
          <w:szCs w:val="36"/>
        </w:rPr>
        <w:t>成交事项</w:t>
      </w:r>
      <w:r>
        <w:tab/>
      </w:r>
      <w:r>
        <w:fldChar w:fldCharType="begin"/>
      </w:r>
      <w:r>
        <w:instrText xml:space="preserve"> PAGEREF _Toc28592 \h </w:instrText>
      </w:r>
      <w:r>
        <w:fldChar w:fldCharType="separate"/>
      </w:r>
      <w:r>
        <w:t>21</w:t>
      </w:r>
      <w:r>
        <w:fldChar w:fldCharType="end"/>
      </w:r>
      <w:r>
        <w:fldChar w:fldCharType="end"/>
      </w:r>
    </w:p>
    <w:p>
      <w:pPr>
        <w:pStyle w:val="15"/>
        <w:tabs>
          <w:tab w:val="right" w:leader="dot" w:pos="9746"/>
          <w:tab w:val="clear" w:pos="0"/>
        </w:tabs>
      </w:pPr>
      <w:r>
        <w:fldChar w:fldCharType="begin"/>
      </w:r>
      <w:r>
        <w:instrText xml:space="preserve"> HYPERLINK \l _Toc4599 </w:instrText>
      </w:r>
      <w:r>
        <w:fldChar w:fldCharType="separate"/>
      </w:r>
      <w:r>
        <w:rPr>
          <w:rFonts w:hint="eastAsia" w:ascii="宋体" w:hAnsi="宋体" w:eastAsia="宋体" w:cs="宋体"/>
        </w:rPr>
        <w:t xml:space="preserve">(一) </w:t>
      </w:r>
      <w:r>
        <w:rPr>
          <w:rFonts w:hint="eastAsia"/>
        </w:rPr>
        <w:t>确定成交供应商</w:t>
      </w:r>
      <w:r>
        <w:tab/>
      </w:r>
      <w:r>
        <w:fldChar w:fldCharType="begin"/>
      </w:r>
      <w:r>
        <w:instrText xml:space="preserve"> PAGEREF _Toc4599 \h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_Toc8634 </w:instrText>
      </w:r>
      <w:r>
        <w:fldChar w:fldCharType="separate"/>
      </w:r>
      <w:r>
        <w:rPr>
          <w:rFonts w:hint="eastAsia" w:ascii="宋体" w:hAnsi="宋体" w:eastAsia="宋体" w:cs="宋体"/>
        </w:rPr>
        <w:t xml:space="preserve">(二) </w:t>
      </w:r>
      <w:r>
        <w:rPr>
          <w:rFonts w:hint="eastAsia"/>
        </w:rPr>
        <w:t>成交结果</w:t>
      </w:r>
      <w:r>
        <w:tab/>
      </w:r>
      <w:r>
        <w:fldChar w:fldCharType="begin"/>
      </w:r>
      <w:r>
        <w:instrText xml:space="preserve"> PAGEREF _Toc8634 \h </w:instrText>
      </w:r>
      <w:r>
        <w:fldChar w:fldCharType="separate"/>
      </w:r>
      <w:r>
        <w:t>22</w:t>
      </w:r>
      <w:r>
        <w:fldChar w:fldCharType="end"/>
      </w:r>
      <w:r>
        <w:fldChar w:fldCharType="end"/>
      </w:r>
    </w:p>
    <w:p>
      <w:pPr>
        <w:pStyle w:val="15"/>
        <w:tabs>
          <w:tab w:val="right" w:leader="dot" w:pos="9746"/>
          <w:tab w:val="clear" w:pos="0"/>
        </w:tabs>
      </w:pPr>
      <w:r>
        <w:fldChar w:fldCharType="begin"/>
      </w:r>
      <w:r>
        <w:instrText xml:space="preserve"> HYPERLINK \l _Toc18970 </w:instrText>
      </w:r>
      <w:r>
        <w:fldChar w:fldCharType="separate"/>
      </w:r>
      <w:r>
        <w:rPr>
          <w:rFonts w:hint="eastAsia" w:ascii="宋体" w:hAnsi="宋体" w:eastAsia="宋体" w:cs="宋体"/>
        </w:rPr>
        <w:t xml:space="preserve">(三) </w:t>
      </w:r>
      <w:r>
        <w:rPr>
          <w:rFonts w:hint="eastAsia"/>
        </w:rPr>
        <w:t>成交通知书</w:t>
      </w:r>
      <w:r>
        <w:tab/>
      </w:r>
      <w:r>
        <w:fldChar w:fldCharType="begin"/>
      </w:r>
      <w:r>
        <w:instrText xml:space="preserve"> PAGEREF _Toc18970 \h </w:instrText>
      </w:r>
      <w:r>
        <w:fldChar w:fldCharType="separate"/>
      </w:r>
      <w:r>
        <w:t>22</w:t>
      </w:r>
      <w:r>
        <w:fldChar w:fldCharType="end"/>
      </w:r>
      <w:r>
        <w:fldChar w:fldCharType="end"/>
      </w:r>
    </w:p>
    <w:p>
      <w:pPr>
        <w:pStyle w:val="21"/>
        <w:tabs>
          <w:tab w:val="right" w:leader="dot" w:pos="9746"/>
          <w:tab w:val="clear" w:pos="0"/>
        </w:tabs>
      </w:pPr>
      <w:r>
        <w:fldChar w:fldCharType="begin"/>
      </w:r>
      <w:r>
        <w:instrText xml:space="preserve"> HYPERLINK \l _Toc22451 </w:instrText>
      </w:r>
      <w:r>
        <w:fldChar w:fldCharType="separate"/>
      </w:r>
      <w:r>
        <w:rPr>
          <w:rFonts w:hint="eastAsia" w:ascii="宋体" w:hAnsi="宋体" w:eastAsia="宋体" w:cs="宋体"/>
          <w:szCs w:val="36"/>
        </w:rPr>
        <w:t xml:space="preserve">七、 </w:t>
      </w:r>
      <w:r>
        <w:rPr>
          <w:rFonts w:hint="eastAsia"/>
          <w:szCs w:val="36"/>
        </w:rPr>
        <w:t>合同事项</w:t>
      </w:r>
      <w:r>
        <w:tab/>
      </w:r>
      <w:r>
        <w:fldChar w:fldCharType="begin"/>
      </w:r>
      <w:r>
        <w:instrText xml:space="preserve"> PAGEREF _Toc22451 \h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_Toc12717 </w:instrText>
      </w:r>
      <w:r>
        <w:fldChar w:fldCharType="separate"/>
      </w:r>
      <w:r>
        <w:rPr>
          <w:rFonts w:hint="eastAsia" w:ascii="宋体" w:hAnsi="宋体" w:eastAsia="宋体" w:cs="宋体"/>
        </w:rPr>
        <w:t xml:space="preserve">(一) </w:t>
      </w:r>
      <w:r>
        <w:rPr>
          <w:rFonts w:hint="eastAsia"/>
        </w:rPr>
        <w:t>签订合同</w:t>
      </w:r>
      <w:r>
        <w:tab/>
      </w:r>
      <w:r>
        <w:fldChar w:fldCharType="begin"/>
      </w:r>
      <w:r>
        <w:instrText xml:space="preserve"> PAGEREF _Toc12717 \h </w:instrText>
      </w:r>
      <w:r>
        <w:fldChar w:fldCharType="separate"/>
      </w:r>
      <w:r>
        <w:t>23</w:t>
      </w:r>
      <w:r>
        <w:fldChar w:fldCharType="end"/>
      </w:r>
      <w:r>
        <w:fldChar w:fldCharType="end"/>
      </w:r>
    </w:p>
    <w:p>
      <w:pPr>
        <w:pStyle w:val="15"/>
        <w:tabs>
          <w:tab w:val="right" w:leader="dot" w:pos="9746"/>
          <w:tab w:val="clear" w:pos="0"/>
        </w:tabs>
      </w:pPr>
      <w:r>
        <w:fldChar w:fldCharType="begin"/>
      </w:r>
      <w:r>
        <w:instrText xml:space="preserve"> HYPERLINK \l _Toc5791 </w:instrText>
      </w:r>
      <w:r>
        <w:fldChar w:fldCharType="separate"/>
      </w:r>
      <w:r>
        <w:rPr>
          <w:rFonts w:hint="eastAsia" w:ascii="宋体" w:hAnsi="宋体" w:eastAsia="宋体" w:cs="宋体"/>
        </w:rPr>
        <w:t xml:space="preserve">(二) </w:t>
      </w:r>
      <w:r>
        <w:rPr>
          <w:rFonts w:hint="eastAsia"/>
        </w:rPr>
        <w:t>合同分包(实质性要求)</w:t>
      </w:r>
      <w:r>
        <w:tab/>
      </w:r>
      <w:r>
        <w:fldChar w:fldCharType="begin"/>
      </w:r>
      <w:r>
        <w:instrText xml:space="preserve"> PAGEREF _Toc5791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_Toc23958 </w:instrText>
      </w:r>
      <w:r>
        <w:fldChar w:fldCharType="separate"/>
      </w:r>
      <w:r>
        <w:rPr>
          <w:rFonts w:hint="eastAsia" w:ascii="宋体" w:hAnsi="宋体" w:eastAsia="宋体" w:cs="宋体"/>
        </w:rPr>
        <w:t xml:space="preserve">(三) </w:t>
      </w:r>
      <w:r>
        <w:rPr>
          <w:rFonts w:hint="eastAsia"/>
        </w:rPr>
        <w:t>合同转包(实质性要求)</w:t>
      </w:r>
      <w:r>
        <w:tab/>
      </w:r>
      <w:r>
        <w:fldChar w:fldCharType="begin"/>
      </w:r>
      <w:r>
        <w:instrText xml:space="preserve"> PAGEREF _Toc23958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_Toc31738 </w:instrText>
      </w:r>
      <w:r>
        <w:fldChar w:fldCharType="separate"/>
      </w:r>
      <w:r>
        <w:rPr>
          <w:rFonts w:hint="eastAsia" w:ascii="宋体" w:hAnsi="宋体" w:eastAsia="宋体" w:cs="宋体"/>
        </w:rPr>
        <w:t xml:space="preserve">(四) </w:t>
      </w:r>
      <w:r>
        <w:rPr>
          <w:rFonts w:hint="eastAsia"/>
        </w:rPr>
        <w:t>补充合同</w:t>
      </w:r>
      <w:r>
        <w:tab/>
      </w:r>
      <w:r>
        <w:fldChar w:fldCharType="begin"/>
      </w:r>
      <w:r>
        <w:instrText xml:space="preserve"> PAGEREF _Toc31738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_Toc2277 </w:instrText>
      </w:r>
      <w:r>
        <w:fldChar w:fldCharType="separate"/>
      </w:r>
      <w:r>
        <w:rPr>
          <w:rFonts w:hint="eastAsia" w:ascii="宋体" w:hAnsi="宋体" w:eastAsia="宋体" w:cs="宋体"/>
        </w:rPr>
        <w:t xml:space="preserve">(五) </w:t>
      </w:r>
      <w:r>
        <w:rPr>
          <w:rFonts w:hint="eastAsia"/>
        </w:rPr>
        <w:t>履行合同</w:t>
      </w:r>
      <w:r>
        <w:tab/>
      </w:r>
      <w:r>
        <w:fldChar w:fldCharType="begin"/>
      </w:r>
      <w:r>
        <w:instrText xml:space="preserve"> PAGEREF _Toc2277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_Toc9227 </w:instrText>
      </w:r>
      <w:r>
        <w:fldChar w:fldCharType="separate"/>
      </w:r>
      <w:r>
        <w:rPr>
          <w:rFonts w:hint="eastAsia" w:ascii="宋体" w:hAnsi="宋体" w:eastAsia="宋体" w:cs="宋体"/>
        </w:rPr>
        <w:t xml:space="preserve">(六) </w:t>
      </w:r>
      <w:r>
        <w:rPr>
          <w:rFonts w:hint="eastAsia"/>
        </w:rPr>
        <w:t>履约验收</w:t>
      </w:r>
      <w:r>
        <w:tab/>
      </w:r>
      <w:r>
        <w:fldChar w:fldCharType="begin"/>
      </w:r>
      <w:r>
        <w:instrText xml:space="preserve"> PAGEREF _Toc9227 \h </w:instrText>
      </w:r>
      <w:r>
        <w:fldChar w:fldCharType="separate"/>
      </w:r>
      <w:r>
        <w:t>24</w:t>
      </w:r>
      <w:r>
        <w:fldChar w:fldCharType="end"/>
      </w:r>
      <w:r>
        <w:fldChar w:fldCharType="end"/>
      </w:r>
    </w:p>
    <w:p>
      <w:pPr>
        <w:pStyle w:val="21"/>
        <w:tabs>
          <w:tab w:val="right" w:leader="dot" w:pos="9746"/>
          <w:tab w:val="clear" w:pos="0"/>
        </w:tabs>
      </w:pPr>
      <w:r>
        <w:fldChar w:fldCharType="begin"/>
      </w:r>
      <w:r>
        <w:instrText xml:space="preserve"> HYPERLINK \l _Toc24153 </w:instrText>
      </w:r>
      <w:r>
        <w:fldChar w:fldCharType="separate"/>
      </w:r>
      <w:r>
        <w:rPr>
          <w:rFonts w:hint="eastAsia" w:ascii="宋体" w:hAnsi="宋体" w:eastAsia="宋体" w:cs="宋体"/>
          <w:szCs w:val="36"/>
        </w:rPr>
        <w:t xml:space="preserve">八、 </w:t>
      </w:r>
      <w:r>
        <w:rPr>
          <w:rFonts w:hint="eastAsia"/>
          <w:szCs w:val="36"/>
        </w:rPr>
        <w:t>磋商纪律要求</w:t>
      </w:r>
      <w:r>
        <w:tab/>
      </w:r>
      <w:r>
        <w:fldChar w:fldCharType="begin"/>
      </w:r>
      <w:r>
        <w:instrText xml:space="preserve"> PAGEREF _Toc24153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_Toc22497 </w:instrText>
      </w:r>
      <w:r>
        <w:fldChar w:fldCharType="separate"/>
      </w:r>
      <w:r>
        <w:rPr>
          <w:rFonts w:hint="eastAsia" w:ascii="宋体" w:hAnsi="宋体" w:eastAsia="宋体" w:cs="宋体"/>
        </w:rPr>
        <w:t xml:space="preserve">(一) </w:t>
      </w:r>
      <w:r>
        <w:rPr>
          <w:rFonts w:hint="eastAsia"/>
        </w:rPr>
        <w:t>供应商参加本项目采购活动不得具有的情形</w:t>
      </w:r>
      <w:r>
        <w:tab/>
      </w:r>
      <w:r>
        <w:fldChar w:fldCharType="begin"/>
      </w:r>
      <w:r>
        <w:instrText xml:space="preserve"> PAGEREF _Toc22497 \h </w:instrText>
      </w:r>
      <w:r>
        <w:fldChar w:fldCharType="separate"/>
      </w:r>
      <w:r>
        <w:t>24</w:t>
      </w:r>
      <w:r>
        <w:fldChar w:fldCharType="end"/>
      </w:r>
      <w:r>
        <w:fldChar w:fldCharType="end"/>
      </w:r>
    </w:p>
    <w:p>
      <w:pPr>
        <w:pStyle w:val="15"/>
        <w:tabs>
          <w:tab w:val="right" w:leader="dot" w:pos="9746"/>
          <w:tab w:val="clear" w:pos="0"/>
        </w:tabs>
      </w:pPr>
      <w:r>
        <w:fldChar w:fldCharType="begin"/>
      </w:r>
      <w:r>
        <w:instrText xml:space="preserve"> HYPERLINK \l _Toc20193 </w:instrText>
      </w:r>
      <w:r>
        <w:fldChar w:fldCharType="separate"/>
      </w:r>
      <w:r>
        <w:rPr>
          <w:rFonts w:hint="eastAsia" w:ascii="宋体" w:hAnsi="宋体" w:eastAsia="宋体" w:cs="宋体"/>
        </w:rPr>
        <w:t xml:space="preserve">(二) </w:t>
      </w:r>
      <w:r>
        <w:rPr>
          <w:rFonts w:hint="eastAsia"/>
        </w:rPr>
        <w:t>磋商现场纪律要求</w:t>
      </w:r>
      <w:r>
        <w:tab/>
      </w:r>
      <w:r>
        <w:fldChar w:fldCharType="begin"/>
      </w:r>
      <w:r>
        <w:instrText xml:space="preserve"> PAGEREF _Toc20193 \h </w:instrText>
      </w:r>
      <w:r>
        <w:fldChar w:fldCharType="separate"/>
      </w:r>
      <w:r>
        <w:t>25</w:t>
      </w:r>
      <w:r>
        <w:fldChar w:fldCharType="end"/>
      </w:r>
      <w:r>
        <w:fldChar w:fldCharType="end"/>
      </w:r>
    </w:p>
    <w:p>
      <w:pPr>
        <w:pStyle w:val="21"/>
        <w:tabs>
          <w:tab w:val="right" w:leader="dot" w:pos="9746"/>
          <w:tab w:val="clear" w:pos="0"/>
        </w:tabs>
      </w:pPr>
      <w:r>
        <w:fldChar w:fldCharType="begin"/>
      </w:r>
      <w:r>
        <w:instrText xml:space="preserve"> HYPERLINK \l _Toc26695 </w:instrText>
      </w:r>
      <w:r>
        <w:fldChar w:fldCharType="separate"/>
      </w:r>
      <w:r>
        <w:rPr>
          <w:rFonts w:hint="eastAsia" w:ascii="宋体" w:hAnsi="宋体" w:eastAsia="宋体" w:cs="宋体"/>
          <w:szCs w:val="36"/>
        </w:rPr>
        <w:t xml:space="preserve">九、 </w:t>
      </w:r>
      <w:r>
        <w:rPr>
          <w:rFonts w:hint="eastAsia"/>
          <w:szCs w:val="36"/>
        </w:rPr>
        <w:t>其他</w:t>
      </w:r>
      <w:r>
        <w:tab/>
      </w:r>
      <w:r>
        <w:fldChar w:fldCharType="begin"/>
      </w:r>
      <w:r>
        <w:instrText xml:space="preserve"> PAGEREF _Toc26695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_Toc25939 </w:instrText>
      </w:r>
      <w:r>
        <w:fldChar w:fldCharType="separate"/>
      </w:r>
      <w:r>
        <w:rPr>
          <w:rFonts w:hint="eastAsia" w:ascii="宋体" w:hAnsi="宋体" w:eastAsia="宋体" w:cs="宋体"/>
        </w:rPr>
        <w:t xml:space="preserve">(一) </w:t>
      </w:r>
      <w:r>
        <w:rPr>
          <w:rFonts w:hint="eastAsia"/>
        </w:rPr>
        <w:t>询问、质疑和投诉</w:t>
      </w:r>
      <w:r>
        <w:tab/>
      </w:r>
      <w:r>
        <w:fldChar w:fldCharType="begin"/>
      </w:r>
      <w:r>
        <w:instrText xml:space="preserve"> PAGEREF _Toc25939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_Toc1319 </w:instrText>
      </w:r>
      <w:r>
        <w:fldChar w:fldCharType="separate"/>
      </w:r>
      <w:r>
        <w:rPr>
          <w:rFonts w:hint="eastAsia" w:ascii="宋体" w:hAnsi="宋体" w:eastAsia="宋体" w:cs="宋体"/>
        </w:rPr>
        <w:t xml:space="preserve">(二) </w:t>
      </w:r>
      <w:r>
        <w:rPr>
          <w:rFonts w:hint="eastAsia"/>
        </w:rPr>
        <w:t>关于行贿犯罪档案查询工作的规定</w:t>
      </w:r>
      <w:r>
        <w:tab/>
      </w:r>
      <w:r>
        <w:fldChar w:fldCharType="begin"/>
      </w:r>
      <w:r>
        <w:instrText xml:space="preserve"> PAGEREF _Toc1319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_Toc18609 </w:instrText>
      </w:r>
      <w:r>
        <w:fldChar w:fldCharType="separate"/>
      </w:r>
      <w:r>
        <w:rPr>
          <w:rFonts w:hint="eastAsia" w:ascii="宋体" w:hAnsi="宋体" w:eastAsia="宋体" w:cs="宋体"/>
        </w:rPr>
        <w:t xml:space="preserve">(三) </w:t>
      </w:r>
      <w:r>
        <w:rPr>
          <w:rFonts w:hint="eastAsia"/>
        </w:rPr>
        <w:t>供应商信用信息查询</w:t>
      </w:r>
      <w:r>
        <w:tab/>
      </w:r>
      <w:r>
        <w:fldChar w:fldCharType="begin"/>
      </w:r>
      <w:r>
        <w:instrText xml:space="preserve"> PAGEREF _Toc18609 \h </w:instrText>
      </w:r>
      <w:r>
        <w:fldChar w:fldCharType="separate"/>
      </w:r>
      <w:r>
        <w:t>25</w:t>
      </w:r>
      <w:r>
        <w:fldChar w:fldCharType="end"/>
      </w:r>
      <w:r>
        <w:fldChar w:fldCharType="end"/>
      </w:r>
    </w:p>
    <w:p>
      <w:pPr>
        <w:pStyle w:val="15"/>
        <w:tabs>
          <w:tab w:val="right" w:leader="dot" w:pos="9746"/>
          <w:tab w:val="clear" w:pos="0"/>
        </w:tabs>
      </w:pPr>
      <w:r>
        <w:fldChar w:fldCharType="begin"/>
      </w:r>
      <w:r>
        <w:instrText xml:space="preserve"> HYPERLINK \l _Toc7478 </w:instrText>
      </w:r>
      <w:r>
        <w:fldChar w:fldCharType="separate"/>
      </w:r>
      <w:r>
        <w:rPr>
          <w:rFonts w:hint="eastAsia" w:ascii="宋体" w:hAnsi="宋体" w:eastAsia="宋体" w:cs="宋体"/>
        </w:rPr>
        <w:t xml:space="preserve">(四) </w:t>
      </w:r>
      <w:r>
        <w:rPr>
          <w:rFonts w:hint="eastAsia"/>
        </w:rPr>
        <w:t>保密</w:t>
      </w:r>
      <w:r>
        <w:tab/>
      </w:r>
      <w:r>
        <w:fldChar w:fldCharType="begin"/>
      </w:r>
      <w:r>
        <w:instrText xml:space="preserve"> PAGEREF _Toc7478 \h </w:instrText>
      </w:r>
      <w:r>
        <w:fldChar w:fldCharType="separate"/>
      </w:r>
      <w:r>
        <w:t>26</w:t>
      </w:r>
      <w:r>
        <w:fldChar w:fldCharType="end"/>
      </w:r>
      <w:r>
        <w:fldChar w:fldCharType="end"/>
      </w:r>
    </w:p>
    <w:p>
      <w:pPr>
        <w:pStyle w:val="15"/>
        <w:tabs>
          <w:tab w:val="right" w:leader="dot" w:pos="9746"/>
          <w:tab w:val="clear" w:pos="0"/>
        </w:tabs>
      </w:pPr>
      <w:r>
        <w:fldChar w:fldCharType="begin"/>
      </w:r>
      <w:r>
        <w:instrText xml:space="preserve"> HYPERLINK \l _Toc27052 </w:instrText>
      </w:r>
      <w:r>
        <w:fldChar w:fldCharType="separate"/>
      </w:r>
      <w:r>
        <w:rPr>
          <w:rFonts w:hint="eastAsia" w:ascii="宋体" w:hAnsi="宋体" w:eastAsia="宋体" w:cs="宋体"/>
        </w:rPr>
        <w:t xml:space="preserve">(五) </w:t>
      </w:r>
      <w:r>
        <w:rPr>
          <w:rFonts w:hint="eastAsia"/>
        </w:rPr>
        <w:t>回避</w:t>
      </w:r>
      <w:r>
        <w:tab/>
      </w:r>
      <w:r>
        <w:fldChar w:fldCharType="begin"/>
      </w:r>
      <w:r>
        <w:instrText xml:space="preserve"> PAGEREF _Toc27052 \h </w:instrText>
      </w:r>
      <w:r>
        <w:fldChar w:fldCharType="separate"/>
      </w:r>
      <w:r>
        <w:t>26</w:t>
      </w:r>
      <w:r>
        <w:fldChar w:fldCharType="end"/>
      </w:r>
      <w:r>
        <w:fldChar w:fldCharType="end"/>
      </w:r>
    </w:p>
    <w:p>
      <w:pPr>
        <w:pStyle w:val="15"/>
        <w:tabs>
          <w:tab w:val="right" w:leader="dot" w:pos="9746"/>
          <w:tab w:val="clear" w:pos="0"/>
        </w:tabs>
      </w:pPr>
      <w:r>
        <w:fldChar w:fldCharType="begin"/>
      </w:r>
      <w:r>
        <w:instrText xml:space="preserve"> HYPERLINK \l _Toc28646 </w:instrText>
      </w:r>
      <w:r>
        <w:fldChar w:fldCharType="separate"/>
      </w:r>
      <w:r>
        <w:rPr>
          <w:rFonts w:hint="eastAsia" w:ascii="宋体" w:hAnsi="宋体" w:eastAsia="宋体" w:cs="宋体"/>
        </w:rPr>
        <w:t xml:space="preserve">(六) </w:t>
      </w:r>
      <w:r>
        <w:rPr>
          <w:rFonts w:hint="eastAsia"/>
        </w:rPr>
        <w:t>解释说明</w:t>
      </w:r>
      <w:r>
        <w:tab/>
      </w:r>
      <w:r>
        <w:fldChar w:fldCharType="begin"/>
      </w:r>
      <w:r>
        <w:instrText xml:space="preserve"> PAGEREF _Toc28646 \h </w:instrText>
      </w:r>
      <w:r>
        <w:fldChar w:fldCharType="separate"/>
      </w:r>
      <w:r>
        <w:t>26</w:t>
      </w:r>
      <w:r>
        <w:fldChar w:fldCharType="end"/>
      </w:r>
      <w:r>
        <w:fldChar w:fldCharType="end"/>
      </w:r>
    </w:p>
    <w:p>
      <w:pPr>
        <w:pStyle w:val="19"/>
        <w:tabs>
          <w:tab w:val="clear" w:pos="0"/>
        </w:tabs>
      </w:pPr>
      <w:r>
        <w:fldChar w:fldCharType="begin"/>
      </w:r>
      <w:r>
        <w:instrText xml:space="preserve"> HYPERLINK \l _Toc32083 </w:instrText>
      </w:r>
      <w:r>
        <w:fldChar w:fldCharType="separate"/>
      </w:r>
      <w:r>
        <w:rPr>
          <w:rFonts w:hint="eastAsia" w:ascii="宋体" w:hAnsi="宋体" w:eastAsia="宋体" w:cs="宋体"/>
        </w:rPr>
        <w:t xml:space="preserve">第三章 </w:t>
      </w:r>
      <w:r>
        <w:rPr>
          <w:rFonts w:hint="eastAsia"/>
        </w:rPr>
        <w:t>响应文件格式</w:t>
      </w:r>
      <w:r>
        <w:tab/>
      </w:r>
      <w:r>
        <w:fldChar w:fldCharType="begin"/>
      </w:r>
      <w:r>
        <w:instrText xml:space="preserve"> PAGEREF _Toc32083 \h </w:instrText>
      </w:r>
      <w:r>
        <w:fldChar w:fldCharType="separate"/>
      </w:r>
      <w:r>
        <w:t>28</w:t>
      </w:r>
      <w:r>
        <w:fldChar w:fldCharType="end"/>
      </w:r>
      <w:r>
        <w:fldChar w:fldCharType="end"/>
      </w:r>
    </w:p>
    <w:p>
      <w:pPr>
        <w:pStyle w:val="21"/>
        <w:tabs>
          <w:tab w:val="right" w:leader="dot" w:pos="9746"/>
          <w:tab w:val="clear" w:pos="0"/>
        </w:tabs>
      </w:pPr>
      <w:r>
        <w:fldChar w:fldCharType="begin"/>
      </w:r>
      <w:r>
        <w:instrText xml:space="preserve"> HYPERLINK \l _Toc3048 </w:instrText>
      </w:r>
      <w:r>
        <w:fldChar w:fldCharType="separate"/>
      </w:r>
      <w:r>
        <w:rPr>
          <w:rFonts w:hint="eastAsia"/>
          <w:szCs w:val="32"/>
        </w:rPr>
        <w:t>第一部分 资格、资质性及其他类似效力响应文件(格式)</w:t>
      </w:r>
      <w:r>
        <w:tab/>
      </w:r>
      <w:r>
        <w:fldChar w:fldCharType="begin"/>
      </w:r>
      <w:r>
        <w:instrText xml:space="preserve"> PAGEREF _Toc3048 \h </w:instrText>
      </w:r>
      <w:r>
        <w:fldChar w:fldCharType="separate"/>
      </w:r>
      <w:r>
        <w:t>31</w:t>
      </w:r>
      <w:r>
        <w:fldChar w:fldCharType="end"/>
      </w:r>
      <w:r>
        <w:fldChar w:fldCharType="end"/>
      </w:r>
    </w:p>
    <w:p>
      <w:pPr>
        <w:pStyle w:val="15"/>
        <w:tabs>
          <w:tab w:val="right" w:leader="dot" w:pos="9746"/>
          <w:tab w:val="clear" w:pos="0"/>
        </w:tabs>
      </w:pPr>
      <w:r>
        <w:fldChar w:fldCharType="begin"/>
      </w:r>
      <w:r>
        <w:instrText xml:space="preserve"> HYPERLINK \l _Toc13830 </w:instrText>
      </w:r>
      <w:r>
        <w:fldChar w:fldCharType="separate"/>
      </w:r>
      <w:r>
        <w:rPr>
          <w:rFonts w:hint="eastAsia"/>
        </w:rPr>
        <w:t>一、 法定代表人/单位负责人授权书</w:t>
      </w:r>
      <w:r>
        <w:tab/>
      </w:r>
      <w:r>
        <w:fldChar w:fldCharType="begin"/>
      </w:r>
      <w:r>
        <w:instrText xml:space="preserve"> PAGEREF _Toc13830 \h </w:instrText>
      </w:r>
      <w:r>
        <w:fldChar w:fldCharType="separate"/>
      </w:r>
      <w:r>
        <w:t>32</w:t>
      </w:r>
      <w:r>
        <w:fldChar w:fldCharType="end"/>
      </w:r>
      <w:r>
        <w:fldChar w:fldCharType="end"/>
      </w:r>
    </w:p>
    <w:p>
      <w:pPr>
        <w:pStyle w:val="15"/>
        <w:tabs>
          <w:tab w:val="right" w:leader="dot" w:pos="9746"/>
          <w:tab w:val="clear" w:pos="0"/>
        </w:tabs>
      </w:pPr>
      <w:r>
        <w:fldChar w:fldCharType="begin"/>
      </w:r>
      <w:r>
        <w:instrText xml:space="preserve"> HYPERLINK \l _Toc1737 </w:instrText>
      </w:r>
      <w:r>
        <w:fldChar w:fldCharType="separate"/>
      </w:r>
      <w:r>
        <w:rPr>
          <w:rFonts w:hint="eastAsia"/>
        </w:rPr>
        <w:t>一、 法定代表人/单位负责人证明书</w:t>
      </w:r>
      <w:r>
        <w:tab/>
      </w:r>
      <w:r>
        <w:fldChar w:fldCharType="begin"/>
      </w:r>
      <w:r>
        <w:instrText xml:space="preserve"> PAGEREF _Toc1737 \h </w:instrText>
      </w:r>
      <w:r>
        <w:fldChar w:fldCharType="separate"/>
      </w:r>
      <w:r>
        <w:t>33</w:t>
      </w:r>
      <w:r>
        <w:fldChar w:fldCharType="end"/>
      </w:r>
      <w:r>
        <w:fldChar w:fldCharType="end"/>
      </w:r>
    </w:p>
    <w:p>
      <w:pPr>
        <w:pStyle w:val="15"/>
        <w:tabs>
          <w:tab w:val="right" w:leader="dot" w:pos="9746"/>
          <w:tab w:val="clear" w:pos="0"/>
        </w:tabs>
      </w:pPr>
      <w:r>
        <w:fldChar w:fldCharType="begin"/>
      </w:r>
      <w:r>
        <w:instrText xml:space="preserve"> HYPERLINK \l _Toc29983 </w:instrText>
      </w:r>
      <w:r>
        <w:fldChar w:fldCharType="separate"/>
      </w:r>
      <w:r>
        <w:rPr>
          <w:rFonts w:hint="eastAsia"/>
        </w:rPr>
        <w:t>二、 供应商具有独立承担民事责任的能力的证明材料</w:t>
      </w:r>
      <w:r>
        <w:tab/>
      </w:r>
      <w:r>
        <w:fldChar w:fldCharType="begin"/>
      </w:r>
      <w:r>
        <w:instrText xml:space="preserve"> PAGEREF _Toc29983 \h </w:instrText>
      </w:r>
      <w:r>
        <w:fldChar w:fldCharType="separate"/>
      </w:r>
      <w:r>
        <w:t>34</w:t>
      </w:r>
      <w:r>
        <w:fldChar w:fldCharType="end"/>
      </w:r>
      <w:r>
        <w:fldChar w:fldCharType="end"/>
      </w:r>
    </w:p>
    <w:p>
      <w:pPr>
        <w:pStyle w:val="15"/>
        <w:tabs>
          <w:tab w:val="right" w:leader="dot" w:pos="9746"/>
          <w:tab w:val="clear" w:pos="0"/>
        </w:tabs>
      </w:pPr>
      <w:r>
        <w:fldChar w:fldCharType="begin"/>
      </w:r>
      <w:r>
        <w:instrText xml:space="preserve"> HYPERLINK \l _Toc24173 </w:instrText>
      </w:r>
      <w:r>
        <w:fldChar w:fldCharType="separate"/>
      </w:r>
      <w:r>
        <w:rPr>
          <w:rFonts w:hint="eastAsia"/>
        </w:rPr>
        <w:t>三、 供应商具有良好的商业信誉和健全的财务会计制度的证明材料</w:t>
      </w:r>
      <w:r>
        <w:tab/>
      </w:r>
      <w:r>
        <w:fldChar w:fldCharType="begin"/>
      </w:r>
      <w:r>
        <w:instrText xml:space="preserve"> PAGEREF _Toc24173 \h </w:instrText>
      </w:r>
      <w:r>
        <w:fldChar w:fldCharType="separate"/>
      </w:r>
      <w:r>
        <w:t>35</w:t>
      </w:r>
      <w:r>
        <w:fldChar w:fldCharType="end"/>
      </w:r>
      <w:r>
        <w:fldChar w:fldCharType="end"/>
      </w:r>
    </w:p>
    <w:p>
      <w:pPr>
        <w:pStyle w:val="15"/>
        <w:tabs>
          <w:tab w:val="right" w:leader="dot" w:pos="9746"/>
          <w:tab w:val="clear" w:pos="0"/>
        </w:tabs>
      </w:pPr>
      <w:r>
        <w:fldChar w:fldCharType="begin"/>
      </w:r>
      <w:r>
        <w:instrText xml:space="preserve"> HYPERLINK \l _Toc17154 </w:instrText>
      </w:r>
      <w:r>
        <w:fldChar w:fldCharType="separate"/>
      </w:r>
      <w:r>
        <w:rPr>
          <w:rFonts w:hint="eastAsia"/>
        </w:rPr>
        <w:t>四、 供应商有依法缴纳税收和社会保障资金的良好记录的证明材料</w:t>
      </w:r>
      <w:r>
        <w:tab/>
      </w:r>
      <w:r>
        <w:fldChar w:fldCharType="begin"/>
      </w:r>
      <w:r>
        <w:instrText xml:space="preserve"> PAGEREF _Toc17154 \h </w:instrText>
      </w:r>
      <w:r>
        <w:fldChar w:fldCharType="separate"/>
      </w:r>
      <w:r>
        <w:t>36</w:t>
      </w:r>
      <w:r>
        <w:fldChar w:fldCharType="end"/>
      </w:r>
      <w:r>
        <w:fldChar w:fldCharType="end"/>
      </w:r>
    </w:p>
    <w:p>
      <w:pPr>
        <w:pStyle w:val="15"/>
        <w:tabs>
          <w:tab w:val="right" w:leader="dot" w:pos="9746"/>
          <w:tab w:val="clear" w:pos="0"/>
        </w:tabs>
      </w:pPr>
      <w:r>
        <w:fldChar w:fldCharType="begin"/>
      </w:r>
      <w:r>
        <w:instrText xml:space="preserve"> HYPERLINK \l _Toc15225 </w:instrText>
      </w:r>
      <w:r>
        <w:fldChar w:fldCharType="separate"/>
      </w:r>
      <w:r>
        <w:rPr>
          <w:rFonts w:hint="eastAsia"/>
        </w:rPr>
        <w:t>五、 供应商具有履行合同所必需的设备和专业技术能力证明材料</w:t>
      </w:r>
      <w:r>
        <w:tab/>
      </w:r>
      <w:r>
        <w:fldChar w:fldCharType="begin"/>
      </w:r>
      <w:r>
        <w:instrText xml:space="preserve"> PAGEREF _Toc15225 \h </w:instrText>
      </w:r>
      <w:r>
        <w:fldChar w:fldCharType="separate"/>
      </w:r>
      <w:r>
        <w:t>37</w:t>
      </w:r>
      <w:r>
        <w:fldChar w:fldCharType="end"/>
      </w:r>
      <w:r>
        <w:fldChar w:fldCharType="end"/>
      </w:r>
    </w:p>
    <w:p>
      <w:pPr>
        <w:pStyle w:val="15"/>
        <w:tabs>
          <w:tab w:val="right" w:leader="dot" w:pos="9746"/>
          <w:tab w:val="clear" w:pos="0"/>
        </w:tabs>
      </w:pPr>
      <w:r>
        <w:fldChar w:fldCharType="begin"/>
      </w:r>
      <w:r>
        <w:instrText xml:space="preserve"> HYPERLINK \l _Toc2147 </w:instrText>
      </w:r>
      <w:r>
        <w:fldChar w:fldCharType="separate"/>
      </w:r>
      <w:r>
        <w:rPr>
          <w:rFonts w:hint="eastAsia"/>
        </w:rPr>
        <w:t>六、 供应商参加采购活动前三年内，在经营活动中没有重大违法记录的证明材料</w:t>
      </w:r>
      <w:r>
        <w:tab/>
      </w:r>
      <w:r>
        <w:fldChar w:fldCharType="begin"/>
      </w:r>
      <w:r>
        <w:instrText xml:space="preserve"> PAGEREF _Toc2147 \h </w:instrText>
      </w:r>
      <w:r>
        <w:fldChar w:fldCharType="separate"/>
      </w:r>
      <w:r>
        <w:t>38</w:t>
      </w:r>
      <w:r>
        <w:fldChar w:fldCharType="end"/>
      </w:r>
      <w:r>
        <w:fldChar w:fldCharType="end"/>
      </w:r>
    </w:p>
    <w:p>
      <w:pPr>
        <w:pStyle w:val="15"/>
        <w:tabs>
          <w:tab w:val="right" w:leader="dot" w:pos="9746"/>
          <w:tab w:val="clear" w:pos="0"/>
        </w:tabs>
      </w:pPr>
      <w:r>
        <w:fldChar w:fldCharType="begin"/>
      </w:r>
      <w:r>
        <w:instrText xml:space="preserve"> HYPERLINK \l _Toc17383 </w:instrText>
      </w:r>
      <w:r>
        <w:fldChar w:fldCharType="separate"/>
      </w:r>
      <w:r>
        <w:rPr>
          <w:rFonts w:hint="eastAsia"/>
          <w:lang w:val="zh-CN"/>
        </w:rPr>
        <w:t xml:space="preserve">七、 </w:t>
      </w:r>
      <w:r>
        <w:rPr>
          <w:rFonts w:hint="eastAsia"/>
          <w:w w:val="95"/>
        </w:rPr>
        <w:t>供应商单位</w:t>
      </w:r>
      <w:r>
        <w:rPr>
          <w:rFonts w:hint="eastAsia"/>
          <w:w w:val="95"/>
          <w:lang w:val="zh-CN"/>
        </w:rPr>
        <w:t>及其现任法定代表人、主要负责人不得具有行贿犯罪记录</w:t>
      </w:r>
      <w:r>
        <w:rPr>
          <w:rFonts w:hint="eastAsia"/>
          <w:w w:val="95"/>
        </w:rPr>
        <w:t>的承诺函</w:t>
      </w:r>
      <w:r>
        <w:tab/>
      </w:r>
      <w:r>
        <w:fldChar w:fldCharType="begin"/>
      </w:r>
      <w:r>
        <w:instrText xml:space="preserve"> PAGEREF _Toc17383 \h </w:instrText>
      </w:r>
      <w:r>
        <w:fldChar w:fldCharType="separate"/>
      </w:r>
      <w:r>
        <w:t>39</w:t>
      </w:r>
      <w:r>
        <w:fldChar w:fldCharType="end"/>
      </w:r>
      <w:r>
        <w:fldChar w:fldCharType="end"/>
      </w:r>
    </w:p>
    <w:p>
      <w:pPr>
        <w:pStyle w:val="15"/>
        <w:tabs>
          <w:tab w:val="right" w:leader="dot" w:pos="9746"/>
          <w:tab w:val="clear" w:pos="0"/>
        </w:tabs>
      </w:pPr>
      <w:r>
        <w:fldChar w:fldCharType="begin"/>
      </w:r>
      <w:r>
        <w:instrText xml:space="preserve"> HYPERLINK \l _Toc6917 </w:instrText>
      </w:r>
      <w:r>
        <w:fldChar w:fldCharType="separate"/>
      </w:r>
      <w:r>
        <w:rPr>
          <w:rFonts w:hint="eastAsia"/>
        </w:rPr>
        <w:t>八、 根据采购项目的特殊要求，规定供应商提供的特定条件的证明材料</w:t>
      </w:r>
      <w:r>
        <w:tab/>
      </w:r>
      <w:r>
        <w:fldChar w:fldCharType="begin"/>
      </w:r>
      <w:r>
        <w:instrText xml:space="preserve"> PAGEREF _Toc6917 \h </w:instrText>
      </w:r>
      <w:r>
        <w:fldChar w:fldCharType="separate"/>
      </w:r>
      <w:r>
        <w:t>40</w:t>
      </w:r>
      <w:r>
        <w:fldChar w:fldCharType="end"/>
      </w:r>
      <w:r>
        <w:fldChar w:fldCharType="end"/>
      </w:r>
    </w:p>
    <w:p>
      <w:pPr>
        <w:pStyle w:val="15"/>
        <w:tabs>
          <w:tab w:val="right" w:leader="dot" w:pos="9746"/>
          <w:tab w:val="clear" w:pos="0"/>
        </w:tabs>
      </w:pPr>
      <w:r>
        <w:fldChar w:fldCharType="begin"/>
      </w:r>
      <w:r>
        <w:instrText xml:space="preserve"> HYPERLINK \l _Toc330 </w:instrText>
      </w:r>
      <w:r>
        <w:fldChar w:fldCharType="separate"/>
      </w:r>
      <w:r>
        <w:rPr>
          <w:rFonts w:hint="eastAsia"/>
          <w:w w:val="95"/>
        </w:rPr>
        <w:t>九、 承诺及声明函</w:t>
      </w:r>
      <w:r>
        <w:tab/>
      </w:r>
      <w:r>
        <w:fldChar w:fldCharType="begin"/>
      </w:r>
      <w:r>
        <w:instrText xml:space="preserve"> PAGEREF _Toc330 \h </w:instrText>
      </w:r>
      <w:r>
        <w:fldChar w:fldCharType="separate"/>
      </w:r>
      <w:r>
        <w:t>41</w:t>
      </w:r>
      <w:r>
        <w:fldChar w:fldCharType="end"/>
      </w:r>
      <w:r>
        <w:fldChar w:fldCharType="end"/>
      </w:r>
    </w:p>
    <w:p>
      <w:pPr>
        <w:pStyle w:val="21"/>
        <w:tabs>
          <w:tab w:val="right" w:leader="dot" w:pos="9746"/>
          <w:tab w:val="clear" w:pos="0"/>
        </w:tabs>
      </w:pPr>
      <w:r>
        <w:fldChar w:fldCharType="begin"/>
      </w:r>
      <w:r>
        <w:instrText xml:space="preserve"> HYPERLINK \l _Toc6883 </w:instrText>
      </w:r>
      <w:r>
        <w:fldChar w:fldCharType="separate"/>
      </w:r>
      <w:r>
        <w:rPr>
          <w:rFonts w:hint="eastAsia"/>
          <w:szCs w:val="32"/>
        </w:rPr>
        <w:t>第二部分 其他响应文件(格式)</w:t>
      </w:r>
      <w:r>
        <w:tab/>
      </w:r>
      <w:r>
        <w:fldChar w:fldCharType="begin"/>
      </w:r>
      <w:r>
        <w:instrText xml:space="preserve"> PAGEREF _Toc6883 \h </w:instrText>
      </w:r>
      <w:r>
        <w:fldChar w:fldCharType="separate"/>
      </w:r>
      <w:r>
        <w:t>42</w:t>
      </w:r>
      <w:r>
        <w:fldChar w:fldCharType="end"/>
      </w:r>
      <w:r>
        <w:fldChar w:fldCharType="end"/>
      </w:r>
    </w:p>
    <w:p>
      <w:pPr>
        <w:pStyle w:val="15"/>
        <w:tabs>
          <w:tab w:val="right" w:leader="dot" w:pos="9746"/>
          <w:tab w:val="clear" w:pos="0"/>
        </w:tabs>
      </w:pPr>
      <w:r>
        <w:fldChar w:fldCharType="begin"/>
      </w:r>
      <w:r>
        <w:instrText xml:space="preserve"> HYPERLINK \l _Toc11068 </w:instrText>
      </w:r>
      <w:r>
        <w:fldChar w:fldCharType="separate"/>
      </w:r>
      <w:r>
        <w:rPr>
          <w:rFonts w:hint="eastAsia"/>
        </w:rPr>
        <w:t>一、 磋商函</w:t>
      </w:r>
      <w:r>
        <w:tab/>
      </w:r>
      <w:r>
        <w:fldChar w:fldCharType="begin"/>
      </w:r>
      <w:r>
        <w:instrText xml:space="preserve"> PAGEREF _Toc11068 \h </w:instrText>
      </w:r>
      <w:r>
        <w:fldChar w:fldCharType="separate"/>
      </w:r>
      <w:r>
        <w:t>43</w:t>
      </w:r>
      <w:r>
        <w:fldChar w:fldCharType="end"/>
      </w:r>
      <w:r>
        <w:fldChar w:fldCharType="end"/>
      </w:r>
    </w:p>
    <w:p>
      <w:pPr>
        <w:pStyle w:val="15"/>
        <w:tabs>
          <w:tab w:val="right" w:leader="dot" w:pos="9746"/>
          <w:tab w:val="clear" w:pos="0"/>
        </w:tabs>
      </w:pPr>
      <w:r>
        <w:fldChar w:fldCharType="begin"/>
      </w:r>
      <w:r>
        <w:instrText xml:space="preserve"> HYPERLINK \l _Toc26738 </w:instrText>
      </w:r>
      <w:r>
        <w:fldChar w:fldCharType="separate"/>
      </w:r>
      <w:r>
        <w:rPr>
          <w:rFonts w:hint="eastAsia"/>
        </w:rPr>
        <w:t>二、 实质性要求承诺</w:t>
      </w:r>
      <w:r>
        <w:tab/>
      </w:r>
      <w:r>
        <w:fldChar w:fldCharType="begin"/>
      </w:r>
      <w:r>
        <w:instrText xml:space="preserve"> PAGEREF _Toc26738 \h </w:instrText>
      </w:r>
      <w:r>
        <w:fldChar w:fldCharType="separate"/>
      </w:r>
      <w:r>
        <w:t>45</w:t>
      </w:r>
      <w:r>
        <w:fldChar w:fldCharType="end"/>
      </w:r>
      <w:r>
        <w:fldChar w:fldCharType="end"/>
      </w:r>
    </w:p>
    <w:p>
      <w:pPr>
        <w:pStyle w:val="15"/>
        <w:tabs>
          <w:tab w:val="right" w:leader="dot" w:pos="9746"/>
          <w:tab w:val="clear" w:pos="0"/>
        </w:tabs>
      </w:pPr>
      <w:r>
        <w:fldChar w:fldCharType="begin"/>
      </w:r>
      <w:r>
        <w:instrText xml:space="preserve"> HYPERLINK \l _Toc5378 </w:instrText>
      </w:r>
      <w:r>
        <w:fldChar w:fldCharType="separate"/>
      </w:r>
      <w:r>
        <w:rPr>
          <w:rFonts w:hint="eastAsia"/>
        </w:rPr>
        <w:t>三、 供应商基本情况表</w:t>
      </w:r>
      <w:r>
        <w:tab/>
      </w:r>
      <w:r>
        <w:fldChar w:fldCharType="begin"/>
      </w:r>
      <w:r>
        <w:instrText xml:space="preserve"> PAGEREF _Toc5378 \h </w:instrText>
      </w:r>
      <w:r>
        <w:fldChar w:fldCharType="separate"/>
      </w:r>
      <w:r>
        <w:t>47</w:t>
      </w:r>
      <w:r>
        <w:fldChar w:fldCharType="end"/>
      </w:r>
      <w:r>
        <w:fldChar w:fldCharType="end"/>
      </w:r>
    </w:p>
    <w:p>
      <w:pPr>
        <w:pStyle w:val="15"/>
        <w:tabs>
          <w:tab w:val="right" w:leader="dot" w:pos="9746"/>
          <w:tab w:val="clear" w:pos="0"/>
        </w:tabs>
      </w:pPr>
      <w:r>
        <w:fldChar w:fldCharType="begin"/>
      </w:r>
      <w:r>
        <w:instrText xml:space="preserve"> HYPERLINK \l _Toc5610 </w:instrText>
      </w:r>
      <w:r>
        <w:fldChar w:fldCharType="separate"/>
      </w:r>
      <w:r>
        <w:rPr>
          <w:rFonts w:hint="eastAsia"/>
        </w:rPr>
        <w:t>四、 商务应答表</w:t>
      </w:r>
      <w:r>
        <w:tab/>
      </w:r>
      <w:r>
        <w:fldChar w:fldCharType="begin"/>
      </w:r>
      <w:r>
        <w:instrText xml:space="preserve"> PAGEREF _Toc5610 \h </w:instrText>
      </w:r>
      <w:r>
        <w:fldChar w:fldCharType="separate"/>
      </w:r>
      <w:r>
        <w:t>48</w:t>
      </w:r>
      <w:r>
        <w:fldChar w:fldCharType="end"/>
      </w:r>
      <w:r>
        <w:fldChar w:fldCharType="end"/>
      </w:r>
    </w:p>
    <w:p>
      <w:pPr>
        <w:pStyle w:val="15"/>
        <w:tabs>
          <w:tab w:val="right" w:leader="dot" w:pos="9746"/>
          <w:tab w:val="clear" w:pos="0"/>
        </w:tabs>
      </w:pPr>
      <w:r>
        <w:fldChar w:fldCharType="begin"/>
      </w:r>
      <w:r>
        <w:instrText xml:space="preserve"> HYPERLINK \l _Toc9693 </w:instrText>
      </w:r>
      <w:r>
        <w:fldChar w:fldCharType="separate"/>
      </w:r>
      <w:r>
        <w:rPr>
          <w:rFonts w:hint="eastAsia"/>
        </w:rPr>
        <w:t>五、 服务应答表</w:t>
      </w:r>
      <w:r>
        <w:tab/>
      </w:r>
      <w:r>
        <w:fldChar w:fldCharType="begin"/>
      </w:r>
      <w:r>
        <w:instrText xml:space="preserve"> PAGEREF _Toc9693 \h </w:instrText>
      </w:r>
      <w:r>
        <w:fldChar w:fldCharType="separate"/>
      </w:r>
      <w:r>
        <w:t>49</w:t>
      </w:r>
      <w:r>
        <w:fldChar w:fldCharType="end"/>
      </w:r>
      <w:r>
        <w:fldChar w:fldCharType="end"/>
      </w:r>
    </w:p>
    <w:p>
      <w:pPr>
        <w:pStyle w:val="15"/>
        <w:tabs>
          <w:tab w:val="right" w:leader="dot" w:pos="9746"/>
          <w:tab w:val="clear" w:pos="0"/>
        </w:tabs>
      </w:pPr>
      <w:r>
        <w:fldChar w:fldCharType="begin"/>
      </w:r>
      <w:r>
        <w:instrText xml:space="preserve"> HYPERLINK \l _Toc2737 </w:instrText>
      </w:r>
      <w:r>
        <w:fldChar w:fldCharType="separate"/>
      </w:r>
      <w:r>
        <w:rPr>
          <w:rFonts w:hint="eastAsia"/>
        </w:rPr>
        <w:t>六、 供应商针对本项目人员配置情况表</w:t>
      </w:r>
      <w:r>
        <w:tab/>
      </w:r>
      <w:r>
        <w:fldChar w:fldCharType="begin"/>
      </w:r>
      <w:r>
        <w:instrText xml:space="preserve"> PAGEREF _Toc2737 \h </w:instrText>
      </w:r>
      <w:r>
        <w:fldChar w:fldCharType="separate"/>
      </w:r>
      <w:r>
        <w:t>50</w:t>
      </w:r>
      <w:r>
        <w:fldChar w:fldCharType="end"/>
      </w:r>
      <w:r>
        <w:fldChar w:fldCharType="end"/>
      </w:r>
    </w:p>
    <w:p>
      <w:pPr>
        <w:pStyle w:val="15"/>
        <w:tabs>
          <w:tab w:val="right" w:leader="dot" w:pos="9746"/>
          <w:tab w:val="clear" w:pos="0"/>
        </w:tabs>
      </w:pPr>
      <w:r>
        <w:fldChar w:fldCharType="begin"/>
      </w:r>
      <w:r>
        <w:instrText xml:space="preserve"> HYPERLINK \l _Toc30749 </w:instrText>
      </w:r>
      <w:r>
        <w:fldChar w:fldCharType="separate"/>
      </w:r>
      <w:r>
        <w:rPr>
          <w:rFonts w:hint="eastAsia"/>
        </w:rPr>
        <w:t>七、 履约能力及相关证明</w:t>
      </w:r>
      <w:r>
        <w:tab/>
      </w:r>
      <w:r>
        <w:fldChar w:fldCharType="begin"/>
      </w:r>
      <w:r>
        <w:instrText xml:space="preserve"> PAGEREF _Toc30749 \h </w:instrText>
      </w:r>
      <w:r>
        <w:fldChar w:fldCharType="separate"/>
      </w:r>
      <w:r>
        <w:t>51</w:t>
      </w:r>
      <w:r>
        <w:fldChar w:fldCharType="end"/>
      </w:r>
      <w:r>
        <w:fldChar w:fldCharType="end"/>
      </w:r>
    </w:p>
    <w:p>
      <w:pPr>
        <w:pStyle w:val="15"/>
        <w:tabs>
          <w:tab w:val="right" w:leader="dot" w:pos="9746"/>
          <w:tab w:val="clear" w:pos="0"/>
        </w:tabs>
      </w:pPr>
      <w:r>
        <w:fldChar w:fldCharType="begin"/>
      </w:r>
      <w:r>
        <w:instrText xml:space="preserve"> HYPERLINK \l _Toc3666 </w:instrText>
      </w:r>
      <w:r>
        <w:fldChar w:fldCharType="separate"/>
      </w:r>
      <w:r>
        <w:rPr>
          <w:rFonts w:hint="eastAsia"/>
        </w:rPr>
        <w:t>八、 招标代理服务费承诺函</w:t>
      </w:r>
      <w:r>
        <w:tab/>
      </w:r>
      <w:r>
        <w:fldChar w:fldCharType="begin"/>
      </w:r>
      <w:r>
        <w:instrText xml:space="preserve"> PAGEREF _Toc3666 \h </w:instrText>
      </w:r>
      <w:r>
        <w:fldChar w:fldCharType="separate"/>
      </w:r>
      <w:r>
        <w:t>52</w:t>
      </w:r>
      <w:r>
        <w:fldChar w:fldCharType="end"/>
      </w:r>
      <w:r>
        <w:fldChar w:fldCharType="end"/>
      </w:r>
    </w:p>
    <w:p>
      <w:pPr>
        <w:pStyle w:val="15"/>
        <w:tabs>
          <w:tab w:val="right" w:leader="dot" w:pos="9746"/>
          <w:tab w:val="clear" w:pos="0"/>
        </w:tabs>
      </w:pPr>
      <w:r>
        <w:fldChar w:fldCharType="begin"/>
      </w:r>
      <w:r>
        <w:instrText xml:space="preserve"> HYPERLINK \l _Toc22960 </w:instrText>
      </w:r>
      <w:r>
        <w:fldChar w:fldCharType="separate"/>
      </w:r>
      <w:r>
        <w:rPr>
          <w:rFonts w:hint="eastAsia"/>
        </w:rPr>
        <w:t>九、 报价表</w:t>
      </w:r>
      <w:r>
        <w:tab/>
      </w:r>
      <w:r>
        <w:fldChar w:fldCharType="begin"/>
      </w:r>
      <w:r>
        <w:instrText xml:space="preserve"> PAGEREF _Toc22960 \h </w:instrText>
      </w:r>
      <w:r>
        <w:fldChar w:fldCharType="separate"/>
      </w:r>
      <w:r>
        <w:t>53</w:t>
      </w:r>
      <w:r>
        <w:fldChar w:fldCharType="end"/>
      </w:r>
      <w:r>
        <w:fldChar w:fldCharType="end"/>
      </w:r>
    </w:p>
    <w:p>
      <w:pPr>
        <w:pStyle w:val="19"/>
        <w:tabs>
          <w:tab w:val="clear" w:pos="0"/>
        </w:tabs>
      </w:pPr>
      <w:r>
        <w:fldChar w:fldCharType="begin"/>
      </w:r>
      <w:r>
        <w:instrText xml:space="preserve"> HYPERLINK \l _Toc4432 </w:instrText>
      </w:r>
      <w:r>
        <w:fldChar w:fldCharType="separate"/>
      </w:r>
      <w:r>
        <w:rPr>
          <w:rFonts w:hint="eastAsia" w:ascii="宋体" w:hAnsi="宋体" w:eastAsia="宋体" w:cs="宋体"/>
        </w:rPr>
        <w:t xml:space="preserve">第四章 </w:t>
      </w:r>
      <w:r>
        <w:rPr>
          <w:rFonts w:hint="eastAsia"/>
        </w:rPr>
        <w:t>资格性审查内容</w:t>
      </w:r>
      <w:r>
        <w:tab/>
      </w:r>
      <w:r>
        <w:fldChar w:fldCharType="begin"/>
      </w:r>
      <w:r>
        <w:instrText xml:space="preserve"> PAGEREF _Toc4432 \h </w:instrText>
      </w:r>
      <w:r>
        <w:fldChar w:fldCharType="separate"/>
      </w:r>
      <w:r>
        <w:t>54</w:t>
      </w:r>
      <w:r>
        <w:fldChar w:fldCharType="end"/>
      </w:r>
      <w:r>
        <w:fldChar w:fldCharType="end"/>
      </w:r>
    </w:p>
    <w:p>
      <w:pPr>
        <w:pStyle w:val="19"/>
        <w:tabs>
          <w:tab w:val="clear" w:pos="0"/>
        </w:tabs>
      </w:pPr>
      <w:r>
        <w:fldChar w:fldCharType="begin"/>
      </w:r>
      <w:r>
        <w:instrText xml:space="preserve"> HYPERLINK \l _Toc4664 </w:instrText>
      </w:r>
      <w:r>
        <w:fldChar w:fldCharType="separate"/>
      </w:r>
      <w:r>
        <w:rPr>
          <w:rFonts w:hint="eastAsia" w:ascii="宋体" w:hAnsi="宋体" w:eastAsia="宋体" w:cs="宋体"/>
        </w:rPr>
        <w:t xml:space="preserve">第五章 </w:t>
      </w:r>
      <w:r>
        <w:rPr>
          <w:rFonts w:hint="eastAsia" w:asciiTheme="minorEastAsia" w:hAnsiTheme="minorEastAsia" w:eastAsiaTheme="minorEastAsia" w:cstheme="minorEastAsia"/>
          <w:szCs w:val="36"/>
        </w:rPr>
        <w:t>采购项目技术、服务、合同内容条款及商务要求</w:t>
      </w:r>
      <w:r>
        <w:tab/>
      </w:r>
      <w:r>
        <w:fldChar w:fldCharType="begin"/>
      </w:r>
      <w:r>
        <w:instrText xml:space="preserve"> PAGEREF _Toc4664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_Toc31066 </w:instrText>
      </w:r>
      <w:r>
        <w:fldChar w:fldCharType="separate"/>
      </w:r>
      <w:r>
        <w:rPr>
          <w:rFonts w:hint="eastAsia" w:ascii="宋体" w:hAnsi="宋体" w:eastAsia="宋体" w:cs="宋体"/>
        </w:rPr>
        <w:t xml:space="preserve">一、 </w:t>
      </w:r>
      <w:r>
        <w:rPr>
          <w:rFonts w:hint="eastAsia"/>
          <w:highlight w:val="none"/>
          <w:lang w:val="en-US" w:eastAsia="zh-CN"/>
        </w:rPr>
        <w:t>项目概况</w:t>
      </w:r>
      <w:r>
        <w:tab/>
      </w:r>
      <w:r>
        <w:fldChar w:fldCharType="begin"/>
      </w:r>
      <w:r>
        <w:instrText xml:space="preserve"> PAGEREF _Toc31066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_Toc8911 </w:instrText>
      </w:r>
      <w:r>
        <w:fldChar w:fldCharType="separate"/>
      </w:r>
      <w:r>
        <w:rPr>
          <w:rFonts w:hint="eastAsia" w:ascii="宋体" w:hAnsi="宋体" w:eastAsia="宋体" w:cs="宋体"/>
          <w:szCs w:val="24"/>
          <w:lang w:val="en-US" w:eastAsia="zh-CN"/>
        </w:rPr>
        <w:t xml:space="preserve">二、 </w:t>
      </w:r>
      <w:r>
        <w:rPr>
          <w:rFonts w:hint="eastAsia" w:ascii="宋体" w:hAnsi="宋体" w:eastAsia="宋体" w:cs="宋体"/>
          <w:szCs w:val="24"/>
          <w:highlight w:val="none"/>
          <w:lang w:val="en-US" w:eastAsia="zh-CN"/>
        </w:rPr>
        <w:t>采购标的</w:t>
      </w:r>
      <w:r>
        <w:tab/>
      </w:r>
      <w:r>
        <w:fldChar w:fldCharType="begin"/>
      </w:r>
      <w:r>
        <w:instrText xml:space="preserve"> PAGEREF _Toc8911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_Toc29841 </w:instrText>
      </w:r>
      <w:r>
        <w:fldChar w:fldCharType="separate"/>
      </w:r>
      <w:r>
        <w:rPr>
          <w:rFonts w:hint="eastAsia" w:ascii="宋体" w:hAnsi="宋体" w:eastAsia="宋体" w:cs="宋体"/>
          <w:szCs w:val="24"/>
          <w:lang w:val="en-US" w:eastAsia="zh-CN"/>
        </w:rPr>
        <w:t xml:space="preserve">三、 </w:t>
      </w:r>
      <w:r>
        <w:rPr>
          <w:rFonts w:hint="eastAsia" w:ascii="宋体" w:hAnsi="宋体" w:eastAsia="宋体" w:cs="宋体"/>
          <w:szCs w:val="24"/>
          <w:highlight w:val="none"/>
          <w:lang w:val="zh-CN"/>
        </w:rPr>
        <w:t>★</w:t>
      </w:r>
      <w:r>
        <w:rPr>
          <w:rFonts w:hint="eastAsia" w:ascii="宋体" w:hAnsi="宋体" w:eastAsia="宋体" w:cs="宋体"/>
          <w:szCs w:val="24"/>
          <w:highlight w:val="none"/>
          <w:lang w:val="en-US" w:eastAsia="zh-CN"/>
        </w:rPr>
        <w:t>服务内容</w:t>
      </w:r>
      <w:r>
        <w:tab/>
      </w:r>
      <w:r>
        <w:fldChar w:fldCharType="begin"/>
      </w:r>
      <w:r>
        <w:instrText xml:space="preserve"> PAGEREF _Toc29841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_Toc5339 </w:instrText>
      </w:r>
      <w:r>
        <w:fldChar w:fldCharType="separate"/>
      </w:r>
      <w:r>
        <w:rPr>
          <w:rFonts w:hint="eastAsia" w:ascii="宋体" w:hAnsi="宋体" w:eastAsia="宋体" w:cs="宋体"/>
          <w:szCs w:val="24"/>
          <w:lang w:val="en-US" w:eastAsia="zh-CN"/>
        </w:rPr>
        <w:t xml:space="preserve">四、 </w:t>
      </w:r>
      <w:r>
        <w:rPr>
          <w:rFonts w:hint="eastAsia" w:ascii="宋体" w:hAnsi="宋体" w:eastAsia="宋体" w:cs="宋体"/>
          <w:szCs w:val="24"/>
          <w:highlight w:val="none"/>
          <w:lang w:val="en-US" w:eastAsia="zh-CN"/>
        </w:rPr>
        <w:t>履约能力要求</w:t>
      </w:r>
      <w:r>
        <w:tab/>
      </w:r>
      <w:r>
        <w:fldChar w:fldCharType="begin"/>
      </w:r>
      <w:r>
        <w:instrText xml:space="preserve"> PAGEREF _Toc5339 \h </w:instrText>
      </w:r>
      <w:r>
        <w:fldChar w:fldCharType="separate"/>
      </w:r>
      <w:r>
        <w:t>58</w:t>
      </w:r>
      <w:r>
        <w:fldChar w:fldCharType="end"/>
      </w:r>
      <w:r>
        <w:fldChar w:fldCharType="end"/>
      </w:r>
    </w:p>
    <w:p>
      <w:pPr>
        <w:pStyle w:val="21"/>
        <w:tabs>
          <w:tab w:val="right" w:leader="dot" w:pos="9746"/>
          <w:tab w:val="clear" w:pos="0"/>
        </w:tabs>
      </w:pPr>
      <w:r>
        <w:fldChar w:fldCharType="begin"/>
      </w:r>
      <w:r>
        <w:instrText xml:space="preserve"> HYPERLINK \l _Toc13175 </w:instrText>
      </w:r>
      <w:r>
        <w:fldChar w:fldCharType="separate"/>
      </w:r>
      <w:r>
        <w:rPr>
          <w:rFonts w:hint="eastAsia" w:ascii="宋体" w:hAnsi="宋体" w:eastAsia="宋体" w:cs="宋体"/>
          <w:szCs w:val="24"/>
          <w:lang w:val="en-US" w:eastAsia="zh-CN"/>
        </w:rPr>
        <w:t xml:space="preserve">五、 </w:t>
      </w:r>
      <w:r>
        <w:rPr>
          <w:rFonts w:hint="eastAsia"/>
          <w:highlight w:val="none"/>
          <w:lang w:val="en-US" w:eastAsia="zh-CN"/>
        </w:rPr>
        <w:t>★</w:t>
      </w:r>
      <w:r>
        <w:rPr>
          <w:rFonts w:hint="eastAsia" w:ascii="宋体" w:hAnsi="宋体" w:eastAsia="宋体" w:cs="宋体"/>
          <w:szCs w:val="24"/>
          <w:highlight w:val="none"/>
          <w:lang w:val="en-US" w:eastAsia="zh-CN"/>
        </w:rPr>
        <w:t>商务要求</w:t>
      </w:r>
      <w:r>
        <w:tab/>
      </w:r>
      <w:r>
        <w:fldChar w:fldCharType="begin"/>
      </w:r>
      <w:r>
        <w:instrText xml:space="preserve"> PAGEREF _Toc13175 \h </w:instrText>
      </w:r>
      <w:r>
        <w:fldChar w:fldCharType="separate"/>
      </w:r>
      <w:r>
        <w:t>59</w:t>
      </w:r>
      <w:r>
        <w:fldChar w:fldCharType="end"/>
      </w:r>
      <w:r>
        <w:fldChar w:fldCharType="end"/>
      </w:r>
    </w:p>
    <w:p>
      <w:pPr>
        <w:pStyle w:val="15"/>
        <w:tabs>
          <w:tab w:val="right" w:leader="dot" w:pos="9746"/>
          <w:tab w:val="clear" w:pos="0"/>
        </w:tabs>
      </w:pPr>
      <w:r>
        <w:fldChar w:fldCharType="begin"/>
      </w:r>
      <w:r>
        <w:instrText xml:space="preserve"> HYPERLINK \l _Toc22698 </w:instrText>
      </w:r>
      <w:r>
        <w:fldChar w:fldCharType="separate"/>
      </w:r>
      <w:r>
        <w:rPr>
          <w:rFonts w:hint="eastAsia" w:ascii="宋体" w:hAnsi="宋体" w:eastAsia="宋体" w:cs="宋体"/>
          <w:lang w:val="en-US" w:eastAsia="zh-CN"/>
        </w:rPr>
        <w:t xml:space="preserve">(一) </w:t>
      </w:r>
      <w:r>
        <w:rPr>
          <w:rFonts w:hint="eastAsia"/>
          <w:highlight w:val="none"/>
          <w:lang w:val="en-US" w:eastAsia="zh-CN"/>
        </w:rPr>
        <w:t>履约时间和地点</w:t>
      </w:r>
      <w:r>
        <w:tab/>
      </w:r>
      <w:r>
        <w:fldChar w:fldCharType="begin"/>
      </w:r>
      <w:r>
        <w:instrText xml:space="preserve"> PAGEREF _Toc22698 \h </w:instrText>
      </w:r>
      <w:r>
        <w:fldChar w:fldCharType="separate"/>
      </w:r>
      <w:r>
        <w:t>59</w:t>
      </w:r>
      <w:r>
        <w:fldChar w:fldCharType="end"/>
      </w:r>
      <w:r>
        <w:fldChar w:fldCharType="end"/>
      </w:r>
    </w:p>
    <w:p>
      <w:pPr>
        <w:pStyle w:val="15"/>
        <w:tabs>
          <w:tab w:val="right" w:leader="dot" w:pos="9746"/>
          <w:tab w:val="clear" w:pos="0"/>
        </w:tabs>
      </w:pPr>
      <w:r>
        <w:fldChar w:fldCharType="begin"/>
      </w:r>
      <w:r>
        <w:instrText xml:space="preserve"> HYPERLINK \l _Toc10163 </w:instrText>
      </w:r>
      <w:r>
        <w:fldChar w:fldCharType="separate"/>
      </w:r>
      <w:r>
        <w:rPr>
          <w:rFonts w:hint="eastAsia" w:ascii="宋体" w:hAnsi="宋体" w:eastAsia="宋体" w:cs="宋体"/>
          <w:bCs/>
          <w:szCs w:val="24"/>
          <w:lang w:val="en-US" w:eastAsia="zh-CN"/>
        </w:rPr>
        <w:t xml:space="preserve">(二) </w:t>
      </w:r>
      <w:r>
        <w:rPr>
          <w:rFonts w:hint="eastAsia" w:asciiTheme="minorEastAsia" w:hAnsiTheme="minorEastAsia" w:eastAsiaTheme="minorEastAsia" w:cstheme="minorEastAsia"/>
          <w:bCs/>
          <w:szCs w:val="24"/>
          <w:highlight w:val="none"/>
          <w:lang w:val="en-US" w:eastAsia="zh-CN"/>
        </w:rPr>
        <w:t>利息及结算方式</w:t>
      </w:r>
      <w:r>
        <w:tab/>
      </w:r>
      <w:r>
        <w:fldChar w:fldCharType="begin"/>
      </w:r>
      <w:r>
        <w:instrText xml:space="preserve"> PAGEREF _Toc10163 \h </w:instrText>
      </w:r>
      <w:r>
        <w:fldChar w:fldCharType="separate"/>
      </w:r>
      <w:r>
        <w:t>59</w:t>
      </w:r>
      <w:r>
        <w:fldChar w:fldCharType="end"/>
      </w:r>
      <w:r>
        <w:fldChar w:fldCharType="end"/>
      </w:r>
    </w:p>
    <w:p>
      <w:pPr>
        <w:pStyle w:val="15"/>
        <w:tabs>
          <w:tab w:val="right" w:leader="dot" w:pos="9746"/>
          <w:tab w:val="clear" w:pos="0"/>
        </w:tabs>
      </w:pPr>
      <w:r>
        <w:fldChar w:fldCharType="begin"/>
      </w:r>
      <w:r>
        <w:instrText xml:space="preserve"> HYPERLINK \l _Toc31137 </w:instrText>
      </w:r>
      <w:r>
        <w:fldChar w:fldCharType="separate"/>
      </w:r>
      <w:r>
        <w:rPr>
          <w:rFonts w:hint="eastAsia" w:ascii="宋体" w:hAnsi="宋体" w:eastAsia="宋体" w:cs="宋体"/>
          <w:bCs/>
          <w:szCs w:val="24"/>
          <w:lang w:val="en-US" w:eastAsia="zh-CN"/>
        </w:rPr>
        <w:t xml:space="preserve">(三) </w:t>
      </w:r>
      <w:r>
        <w:rPr>
          <w:rFonts w:hint="eastAsia" w:asciiTheme="minorEastAsia" w:hAnsiTheme="minorEastAsia" w:eastAsiaTheme="minorEastAsia" w:cstheme="minorEastAsia"/>
          <w:bCs/>
          <w:szCs w:val="24"/>
          <w:highlight w:val="none"/>
          <w:lang w:val="en-US" w:eastAsia="zh-CN"/>
        </w:rPr>
        <w:t>其他要求</w:t>
      </w:r>
      <w:r>
        <w:tab/>
      </w:r>
      <w:r>
        <w:fldChar w:fldCharType="begin"/>
      </w:r>
      <w:r>
        <w:instrText xml:space="preserve"> PAGEREF _Toc31137 \h </w:instrText>
      </w:r>
      <w:r>
        <w:fldChar w:fldCharType="separate"/>
      </w:r>
      <w:r>
        <w:t>59</w:t>
      </w:r>
      <w:r>
        <w:fldChar w:fldCharType="end"/>
      </w:r>
      <w:r>
        <w:fldChar w:fldCharType="end"/>
      </w:r>
    </w:p>
    <w:p>
      <w:pPr>
        <w:pStyle w:val="19"/>
        <w:tabs>
          <w:tab w:val="clear" w:pos="0"/>
        </w:tabs>
      </w:pPr>
      <w:r>
        <w:fldChar w:fldCharType="begin"/>
      </w:r>
      <w:r>
        <w:instrText xml:space="preserve"> HYPERLINK \l _Toc5608 </w:instrText>
      </w:r>
      <w:r>
        <w:fldChar w:fldCharType="separate"/>
      </w:r>
      <w:r>
        <w:rPr>
          <w:rFonts w:hint="eastAsia" w:ascii="宋体" w:hAnsi="宋体" w:eastAsia="宋体" w:cs="宋体"/>
        </w:rPr>
        <w:t xml:space="preserve">第六章 </w:t>
      </w:r>
      <w:r>
        <w:rPr>
          <w:rFonts w:hint="eastAsia"/>
        </w:rPr>
        <w:t>磋商内容、磋商过程中可实质性变动的内容</w:t>
      </w:r>
      <w:r>
        <w:tab/>
      </w:r>
      <w:r>
        <w:fldChar w:fldCharType="begin"/>
      </w:r>
      <w:r>
        <w:instrText xml:space="preserve"> PAGEREF _Toc5608 \h </w:instrText>
      </w:r>
      <w:r>
        <w:fldChar w:fldCharType="separate"/>
      </w:r>
      <w:r>
        <w:t>61</w:t>
      </w:r>
      <w:r>
        <w:fldChar w:fldCharType="end"/>
      </w:r>
      <w:r>
        <w:fldChar w:fldCharType="end"/>
      </w:r>
    </w:p>
    <w:p>
      <w:pPr>
        <w:pStyle w:val="19"/>
        <w:tabs>
          <w:tab w:val="clear" w:pos="0"/>
        </w:tabs>
      </w:pPr>
      <w:r>
        <w:fldChar w:fldCharType="begin"/>
      </w:r>
      <w:r>
        <w:instrText xml:space="preserve"> HYPERLINK \l _Toc23885 </w:instrText>
      </w:r>
      <w:r>
        <w:fldChar w:fldCharType="separate"/>
      </w:r>
      <w:r>
        <w:rPr>
          <w:rFonts w:hint="eastAsia" w:ascii="宋体" w:hAnsi="宋体" w:eastAsia="宋体" w:cs="宋体"/>
        </w:rPr>
        <w:t xml:space="preserve">第七章 </w:t>
      </w:r>
      <w:r>
        <w:rPr>
          <w:rFonts w:hint="eastAsia"/>
        </w:rPr>
        <w:t>磋商程序</w:t>
      </w:r>
      <w:r>
        <w:tab/>
      </w:r>
      <w:r>
        <w:fldChar w:fldCharType="begin"/>
      </w:r>
      <w:r>
        <w:instrText xml:space="preserve"> PAGEREF _Toc23885 \h </w:instrText>
      </w:r>
      <w:r>
        <w:fldChar w:fldCharType="separate"/>
      </w:r>
      <w:r>
        <w:t>62</w:t>
      </w:r>
      <w:r>
        <w:fldChar w:fldCharType="end"/>
      </w:r>
      <w:r>
        <w:fldChar w:fldCharType="end"/>
      </w:r>
    </w:p>
    <w:p>
      <w:pPr>
        <w:pStyle w:val="21"/>
        <w:tabs>
          <w:tab w:val="right" w:leader="dot" w:pos="9746"/>
          <w:tab w:val="clear" w:pos="0"/>
        </w:tabs>
      </w:pPr>
      <w:r>
        <w:fldChar w:fldCharType="begin"/>
      </w:r>
      <w:r>
        <w:instrText xml:space="preserve"> HYPERLINK \l _Toc31518 </w:instrText>
      </w:r>
      <w:r>
        <w:fldChar w:fldCharType="separate"/>
      </w:r>
      <w:r>
        <w:rPr>
          <w:rFonts w:hint="eastAsia" w:ascii="宋体" w:hAnsi="宋体" w:eastAsia="宋体" w:cs="宋体"/>
        </w:rPr>
        <w:t xml:space="preserve">一、 </w:t>
      </w:r>
      <w:r>
        <w:rPr>
          <w:rFonts w:hint="eastAsia"/>
        </w:rPr>
        <w:t>磋商小组及专家组成</w:t>
      </w:r>
      <w:r>
        <w:tab/>
      </w:r>
      <w:r>
        <w:fldChar w:fldCharType="begin"/>
      </w:r>
      <w:r>
        <w:instrText xml:space="preserve"> PAGEREF _Toc31518 \h </w:instrText>
      </w:r>
      <w:r>
        <w:fldChar w:fldCharType="separate"/>
      </w:r>
      <w:r>
        <w:t>62</w:t>
      </w:r>
      <w:r>
        <w:fldChar w:fldCharType="end"/>
      </w:r>
      <w:r>
        <w:fldChar w:fldCharType="end"/>
      </w:r>
    </w:p>
    <w:p>
      <w:pPr>
        <w:pStyle w:val="21"/>
        <w:tabs>
          <w:tab w:val="right" w:leader="dot" w:pos="9746"/>
          <w:tab w:val="clear" w:pos="0"/>
        </w:tabs>
      </w:pPr>
      <w:r>
        <w:fldChar w:fldCharType="begin"/>
      </w:r>
      <w:r>
        <w:instrText xml:space="preserve"> HYPERLINK \l _Toc11161 </w:instrText>
      </w:r>
      <w:r>
        <w:fldChar w:fldCharType="separate"/>
      </w:r>
      <w:r>
        <w:rPr>
          <w:rFonts w:hint="eastAsia" w:ascii="宋体" w:hAnsi="宋体" w:eastAsia="宋体" w:cs="宋体"/>
        </w:rPr>
        <w:t xml:space="preserve">二、 </w:t>
      </w:r>
      <w:r>
        <w:rPr>
          <w:rFonts w:hint="eastAsia"/>
        </w:rPr>
        <w:t>磋商组织</w:t>
      </w:r>
      <w:r>
        <w:tab/>
      </w:r>
      <w:r>
        <w:fldChar w:fldCharType="begin"/>
      </w:r>
      <w:r>
        <w:instrText xml:space="preserve"> PAGEREF _Toc11161 \h </w:instrText>
      </w:r>
      <w:r>
        <w:fldChar w:fldCharType="separate"/>
      </w:r>
      <w:r>
        <w:t>62</w:t>
      </w:r>
      <w:r>
        <w:fldChar w:fldCharType="end"/>
      </w:r>
      <w:r>
        <w:fldChar w:fldCharType="end"/>
      </w:r>
    </w:p>
    <w:p>
      <w:pPr>
        <w:pStyle w:val="21"/>
        <w:tabs>
          <w:tab w:val="right" w:leader="dot" w:pos="9746"/>
          <w:tab w:val="clear" w:pos="0"/>
        </w:tabs>
      </w:pPr>
      <w:r>
        <w:fldChar w:fldCharType="begin"/>
      </w:r>
      <w:r>
        <w:instrText xml:space="preserve"> HYPERLINK \l _Toc2704 </w:instrText>
      </w:r>
      <w:r>
        <w:fldChar w:fldCharType="separate"/>
      </w:r>
      <w:r>
        <w:rPr>
          <w:rFonts w:hint="eastAsia" w:ascii="宋体" w:hAnsi="宋体" w:eastAsia="宋体" w:cs="宋体"/>
        </w:rPr>
        <w:t xml:space="preserve">三、 </w:t>
      </w:r>
      <w:r>
        <w:rPr>
          <w:rFonts w:hint="eastAsia"/>
        </w:rPr>
        <w:t>评审程序</w:t>
      </w:r>
      <w:r>
        <w:tab/>
      </w:r>
      <w:r>
        <w:fldChar w:fldCharType="begin"/>
      </w:r>
      <w:r>
        <w:instrText xml:space="preserve"> PAGEREF _Toc2704 \h </w:instrText>
      </w:r>
      <w:r>
        <w:fldChar w:fldCharType="separate"/>
      </w:r>
      <w:r>
        <w:t>63</w:t>
      </w:r>
      <w:r>
        <w:fldChar w:fldCharType="end"/>
      </w:r>
      <w:r>
        <w:fldChar w:fldCharType="end"/>
      </w:r>
    </w:p>
    <w:p>
      <w:pPr>
        <w:pStyle w:val="15"/>
        <w:tabs>
          <w:tab w:val="right" w:leader="dot" w:pos="9746"/>
          <w:tab w:val="clear" w:pos="0"/>
        </w:tabs>
      </w:pPr>
      <w:r>
        <w:fldChar w:fldCharType="begin"/>
      </w:r>
      <w:r>
        <w:instrText xml:space="preserve"> HYPERLINK \l _Toc12774 </w:instrText>
      </w:r>
      <w:r>
        <w:fldChar w:fldCharType="separate"/>
      </w:r>
      <w:r>
        <w:rPr>
          <w:rFonts w:hint="eastAsia" w:ascii="宋体" w:hAnsi="宋体" w:eastAsia="宋体" w:cs="宋体"/>
        </w:rPr>
        <w:t xml:space="preserve">(一) </w:t>
      </w:r>
      <w:r>
        <w:rPr>
          <w:rFonts w:hint="eastAsia"/>
        </w:rPr>
        <w:t>供应商资格审查</w:t>
      </w:r>
      <w:r>
        <w:tab/>
      </w:r>
      <w:r>
        <w:fldChar w:fldCharType="begin"/>
      </w:r>
      <w:r>
        <w:instrText xml:space="preserve"> PAGEREF _Toc12774 \h </w:instrText>
      </w:r>
      <w:r>
        <w:fldChar w:fldCharType="separate"/>
      </w:r>
      <w:r>
        <w:t>63</w:t>
      </w:r>
      <w:r>
        <w:fldChar w:fldCharType="end"/>
      </w:r>
      <w:r>
        <w:fldChar w:fldCharType="end"/>
      </w:r>
    </w:p>
    <w:p>
      <w:pPr>
        <w:pStyle w:val="15"/>
        <w:tabs>
          <w:tab w:val="right" w:leader="dot" w:pos="9746"/>
          <w:tab w:val="clear" w:pos="0"/>
        </w:tabs>
      </w:pPr>
      <w:r>
        <w:fldChar w:fldCharType="begin"/>
      </w:r>
      <w:r>
        <w:instrText xml:space="preserve"> HYPERLINK \l _Toc28386 </w:instrText>
      </w:r>
      <w:r>
        <w:fldChar w:fldCharType="separate"/>
      </w:r>
      <w:r>
        <w:rPr>
          <w:rFonts w:hint="eastAsia" w:ascii="宋体" w:hAnsi="宋体" w:eastAsia="宋体" w:cs="宋体"/>
        </w:rPr>
        <w:t xml:space="preserve">(二) </w:t>
      </w:r>
      <w:r>
        <w:rPr>
          <w:rFonts w:hint="eastAsia"/>
        </w:rPr>
        <w:t>磋商</w:t>
      </w:r>
      <w:r>
        <w:tab/>
      </w:r>
      <w:r>
        <w:fldChar w:fldCharType="begin"/>
      </w:r>
      <w:r>
        <w:instrText xml:space="preserve"> PAGEREF _Toc28386 \h </w:instrText>
      </w:r>
      <w:r>
        <w:fldChar w:fldCharType="separate"/>
      </w:r>
      <w:r>
        <w:t>63</w:t>
      </w:r>
      <w:r>
        <w:fldChar w:fldCharType="end"/>
      </w:r>
      <w:r>
        <w:fldChar w:fldCharType="end"/>
      </w:r>
    </w:p>
    <w:p>
      <w:pPr>
        <w:pStyle w:val="15"/>
        <w:tabs>
          <w:tab w:val="right" w:leader="dot" w:pos="9746"/>
          <w:tab w:val="clear" w:pos="0"/>
        </w:tabs>
      </w:pPr>
      <w:r>
        <w:fldChar w:fldCharType="begin"/>
      </w:r>
      <w:r>
        <w:instrText xml:space="preserve"> HYPERLINK \l _Toc24555 </w:instrText>
      </w:r>
      <w:r>
        <w:fldChar w:fldCharType="separate"/>
      </w:r>
      <w:r>
        <w:rPr>
          <w:rFonts w:hint="eastAsia" w:ascii="宋体" w:hAnsi="宋体" w:eastAsia="宋体" w:cs="宋体"/>
        </w:rPr>
        <w:t xml:space="preserve">(三) </w:t>
      </w:r>
      <w:r>
        <w:rPr>
          <w:rFonts w:hint="eastAsia"/>
        </w:rPr>
        <w:t>采购活动终止</w:t>
      </w:r>
      <w:r>
        <w:tab/>
      </w:r>
      <w:r>
        <w:fldChar w:fldCharType="begin"/>
      </w:r>
      <w:r>
        <w:instrText xml:space="preserve"> PAGEREF _Toc24555 \h </w:instrText>
      </w:r>
      <w:r>
        <w:fldChar w:fldCharType="separate"/>
      </w:r>
      <w:r>
        <w:t>65</w:t>
      </w:r>
      <w:r>
        <w:fldChar w:fldCharType="end"/>
      </w:r>
      <w:r>
        <w:fldChar w:fldCharType="end"/>
      </w:r>
    </w:p>
    <w:p>
      <w:pPr>
        <w:pStyle w:val="15"/>
        <w:tabs>
          <w:tab w:val="right" w:leader="dot" w:pos="9746"/>
          <w:tab w:val="clear" w:pos="0"/>
        </w:tabs>
      </w:pPr>
      <w:r>
        <w:fldChar w:fldCharType="begin"/>
      </w:r>
      <w:r>
        <w:instrText xml:space="preserve"> HYPERLINK \l _Toc4613 </w:instrText>
      </w:r>
      <w:r>
        <w:fldChar w:fldCharType="separate"/>
      </w:r>
      <w:r>
        <w:rPr>
          <w:rFonts w:hint="eastAsia" w:ascii="宋体" w:hAnsi="宋体" w:eastAsia="宋体" w:cs="宋体"/>
        </w:rPr>
        <w:t xml:space="preserve">(四) </w:t>
      </w:r>
      <w:r>
        <w:rPr>
          <w:rFonts w:hint="eastAsia"/>
        </w:rPr>
        <w:t>报价</w:t>
      </w:r>
      <w:r>
        <w:tab/>
      </w:r>
      <w:r>
        <w:fldChar w:fldCharType="begin"/>
      </w:r>
      <w:r>
        <w:instrText xml:space="preserve"> PAGEREF _Toc4613 \h </w:instrText>
      </w:r>
      <w:r>
        <w:fldChar w:fldCharType="separate"/>
      </w:r>
      <w:r>
        <w:t>65</w:t>
      </w:r>
      <w:r>
        <w:fldChar w:fldCharType="end"/>
      </w:r>
      <w:r>
        <w:fldChar w:fldCharType="end"/>
      </w:r>
    </w:p>
    <w:p>
      <w:pPr>
        <w:pStyle w:val="15"/>
        <w:tabs>
          <w:tab w:val="right" w:leader="dot" w:pos="9746"/>
          <w:tab w:val="clear" w:pos="0"/>
        </w:tabs>
      </w:pPr>
      <w:r>
        <w:fldChar w:fldCharType="begin"/>
      </w:r>
      <w:r>
        <w:instrText xml:space="preserve"> HYPERLINK \l _Toc13441 </w:instrText>
      </w:r>
      <w:r>
        <w:fldChar w:fldCharType="separate"/>
      </w:r>
      <w:r>
        <w:rPr>
          <w:rFonts w:hint="eastAsia" w:ascii="宋体" w:hAnsi="宋体" w:eastAsia="宋体" w:cs="宋体"/>
        </w:rPr>
        <w:t xml:space="preserve">(五) </w:t>
      </w:r>
      <w:r>
        <w:rPr>
          <w:rFonts w:hint="eastAsia"/>
        </w:rPr>
        <w:t>评审方法</w:t>
      </w:r>
      <w:r>
        <w:tab/>
      </w:r>
      <w:r>
        <w:fldChar w:fldCharType="begin"/>
      </w:r>
      <w:r>
        <w:instrText xml:space="preserve"> PAGEREF _Toc13441 \h </w:instrText>
      </w:r>
      <w:r>
        <w:fldChar w:fldCharType="separate"/>
      </w:r>
      <w:r>
        <w:t>66</w:t>
      </w:r>
      <w:r>
        <w:fldChar w:fldCharType="end"/>
      </w:r>
      <w:r>
        <w:fldChar w:fldCharType="end"/>
      </w:r>
    </w:p>
    <w:p>
      <w:pPr>
        <w:pStyle w:val="15"/>
        <w:tabs>
          <w:tab w:val="right" w:leader="dot" w:pos="9746"/>
          <w:tab w:val="clear" w:pos="0"/>
        </w:tabs>
      </w:pPr>
      <w:r>
        <w:fldChar w:fldCharType="begin"/>
      </w:r>
      <w:r>
        <w:instrText xml:space="preserve"> HYPERLINK \l _Toc2399 </w:instrText>
      </w:r>
      <w:r>
        <w:fldChar w:fldCharType="separate"/>
      </w:r>
      <w:r>
        <w:rPr>
          <w:rFonts w:hint="eastAsia" w:ascii="宋体" w:hAnsi="宋体" w:eastAsia="宋体" w:cs="宋体"/>
        </w:rPr>
        <w:t xml:space="preserve">(六) </w:t>
      </w:r>
      <w:r>
        <w:rPr>
          <w:rFonts w:hint="eastAsia"/>
        </w:rPr>
        <w:t>评审标准</w:t>
      </w:r>
      <w:r>
        <w:tab/>
      </w:r>
      <w:r>
        <w:fldChar w:fldCharType="begin"/>
      </w:r>
      <w:r>
        <w:instrText xml:space="preserve"> PAGEREF _Toc2399 \h </w:instrText>
      </w:r>
      <w:r>
        <w:fldChar w:fldCharType="separate"/>
      </w:r>
      <w:r>
        <w:t>67</w:t>
      </w:r>
      <w:r>
        <w:fldChar w:fldCharType="end"/>
      </w:r>
      <w:r>
        <w:fldChar w:fldCharType="end"/>
      </w:r>
    </w:p>
    <w:p>
      <w:pPr>
        <w:pStyle w:val="15"/>
        <w:tabs>
          <w:tab w:val="right" w:leader="dot" w:pos="9746"/>
          <w:tab w:val="clear" w:pos="0"/>
        </w:tabs>
      </w:pPr>
      <w:r>
        <w:fldChar w:fldCharType="begin"/>
      </w:r>
      <w:r>
        <w:instrText xml:space="preserve"> HYPERLINK \l _Toc25023 </w:instrText>
      </w:r>
      <w:r>
        <w:fldChar w:fldCharType="separate"/>
      </w:r>
      <w:r>
        <w:rPr>
          <w:rFonts w:hint="eastAsia" w:ascii="宋体" w:hAnsi="宋体" w:eastAsia="宋体" w:cs="宋体"/>
        </w:rPr>
        <w:t xml:space="preserve">(七) </w:t>
      </w:r>
      <w:r>
        <w:rPr>
          <w:rFonts w:hint="eastAsia"/>
        </w:rPr>
        <w:t>复核</w:t>
      </w:r>
      <w:r>
        <w:tab/>
      </w:r>
      <w:r>
        <w:fldChar w:fldCharType="begin"/>
      </w:r>
      <w:r>
        <w:instrText xml:space="preserve"> PAGEREF _Toc25023 \h </w:instrText>
      </w:r>
      <w:r>
        <w:fldChar w:fldCharType="separate"/>
      </w:r>
      <w:r>
        <w:t>68</w:t>
      </w:r>
      <w:r>
        <w:fldChar w:fldCharType="end"/>
      </w:r>
      <w:r>
        <w:fldChar w:fldCharType="end"/>
      </w:r>
    </w:p>
    <w:p>
      <w:pPr>
        <w:pStyle w:val="15"/>
        <w:tabs>
          <w:tab w:val="right" w:leader="dot" w:pos="9746"/>
          <w:tab w:val="clear" w:pos="0"/>
        </w:tabs>
      </w:pPr>
      <w:r>
        <w:fldChar w:fldCharType="begin"/>
      </w:r>
      <w:r>
        <w:instrText xml:space="preserve"> HYPERLINK \l _Toc28645 </w:instrText>
      </w:r>
      <w:r>
        <w:fldChar w:fldCharType="separate"/>
      </w:r>
      <w:r>
        <w:rPr>
          <w:rFonts w:hint="eastAsia" w:ascii="宋体" w:hAnsi="宋体" w:eastAsia="宋体" w:cs="宋体"/>
        </w:rPr>
        <w:t xml:space="preserve">(八) </w:t>
      </w:r>
      <w:r>
        <w:rPr>
          <w:rFonts w:hint="eastAsia"/>
        </w:rPr>
        <w:t>评审报告</w:t>
      </w:r>
      <w:r>
        <w:tab/>
      </w:r>
      <w:r>
        <w:fldChar w:fldCharType="begin"/>
      </w:r>
      <w:r>
        <w:instrText xml:space="preserve"> PAGEREF _Toc28645 \h </w:instrText>
      </w:r>
      <w:r>
        <w:fldChar w:fldCharType="separate"/>
      </w:r>
      <w:r>
        <w:t>69</w:t>
      </w:r>
      <w:r>
        <w:fldChar w:fldCharType="end"/>
      </w:r>
      <w:r>
        <w:fldChar w:fldCharType="end"/>
      </w:r>
    </w:p>
    <w:p>
      <w:pPr>
        <w:pStyle w:val="19"/>
        <w:tabs>
          <w:tab w:val="clear" w:pos="0"/>
        </w:tabs>
      </w:pPr>
      <w:r>
        <w:fldChar w:fldCharType="begin"/>
      </w:r>
      <w:r>
        <w:instrText xml:space="preserve"> HYPERLINK \l _Toc27415 </w:instrText>
      </w:r>
      <w:r>
        <w:fldChar w:fldCharType="separate"/>
      </w:r>
      <w:r>
        <w:rPr>
          <w:rFonts w:hint="eastAsia" w:ascii="宋体" w:hAnsi="宋体" w:eastAsia="宋体" w:cs="宋体"/>
        </w:rPr>
        <w:t xml:space="preserve">第八章 </w:t>
      </w:r>
      <w:r>
        <w:rPr>
          <w:rFonts w:hint="eastAsia"/>
        </w:rPr>
        <w:t>采购合同</w:t>
      </w:r>
      <w:r>
        <w:tab/>
      </w:r>
      <w:r>
        <w:fldChar w:fldCharType="begin"/>
      </w:r>
      <w:r>
        <w:instrText xml:space="preserve"> PAGEREF _Toc27415 \h </w:instrText>
      </w:r>
      <w:r>
        <w:fldChar w:fldCharType="separate"/>
      </w:r>
      <w:r>
        <w:t>71</w:t>
      </w:r>
      <w:r>
        <w:fldChar w:fldCharType="end"/>
      </w:r>
      <w:r>
        <w:fldChar w:fldCharType="end"/>
      </w:r>
    </w:p>
    <w:p>
      <w:pPr>
        <w:pStyle w:val="19"/>
        <w:tabs>
          <w:tab w:val="clear" w:pos="0"/>
        </w:tabs>
      </w:pPr>
      <w:r>
        <w:fldChar w:fldCharType="begin"/>
      </w:r>
      <w:r>
        <w:instrText xml:space="preserve"> HYPERLINK \l _Toc1605 </w:instrText>
      </w:r>
      <w:r>
        <w:fldChar w:fldCharType="separate"/>
      </w:r>
      <w:r>
        <w:rPr>
          <w:rFonts w:hint="eastAsia" w:ascii="宋体" w:hAnsi="宋体" w:eastAsia="宋体" w:cs="宋体"/>
        </w:rPr>
        <w:t xml:space="preserve">第九章 </w:t>
      </w:r>
      <w:r>
        <w:rPr>
          <w:rFonts w:hint="eastAsia"/>
        </w:rPr>
        <w:t>附件</w:t>
      </w:r>
      <w:r>
        <w:tab/>
      </w:r>
      <w:r>
        <w:fldChar w:fldCharType="begin"/>
      </w:r>
      <w:r>
        <w:instrText xml:space="preserve"> PAGEREF _Toc1605 \h </w:instrText>
      </w:r>
      <w:r>
        <w:fldChar w:fldCharType="separate"/>
      </w:r>
      <w:r>
        <w:t>76</w:t>
      </w:r>
      <w:r>
        <w:fldChar w:fldCharType="end"/>
      </w:r>
      <w:r>
        <w:fldChar w:fldCharType="end"/>
      </w:r>
    </w:p>
    <w:p>
      <w:pPr>
        <w:pStyle w:val="21"/>
        <w:tabs>
          <w:tab w:val="right" w:leader="dot" w:pos="9746"/>
          <w:tab w:val="clear" w:pos="0"/>
        </w:tabs>
      </w:pPr>
      <w:r>
        <w:fldChar w:fldCharType="begin"/>
      </w:r>
      <w:r>
        <w:instrText xml:space="preserve"> HYPERLINK \l _Toc21850 </w:instrText>
      </w:r>
      <w:r>
        <w:fldChar w:fldCharType="separate"/>
      </w:r>
      <w:r>
        <w:rPr>
          <w:rFonts w:hint="eastAsia"/>
        </w:rPr>
        <w:t>附件一：问题的澄清、说明、更正通知</w:t>
      </w:r>
      <w:r>
        <w:tab/>
      </w:r>
      <w:r>
        <w:fldChar w:fldCharType="begin"/>
      </w:r>
      <w:r>
        <w:instrText xml:space="preserve"> PAGEREF _Toc21850 \h </w:instrText>
      </w:r>
      <w:r>
        <w:fldChar w:fldCharType="separate"/>
      </w:r>
      <w:r>
        <w:t>76</w:t>
      </w:r>
      <w:r>
        <w:fldChar w:fldCharType="end"/>
      </w:r>
      <w:r>
        <w:fldChar w:fldCharType="end"/>
      </w:r>
    </w:p>
    <w:p>
      <w:pPr>
        <w:pStyle w:val="21"/>
        <w:tabs>
          <w:tab w:val="right" w:leader="dot" w:pos="9746"/>
          <w:tab w:val="clear" w:pos="0"/>
        </w:tabs>
      </w:pPr>
      <w:r>
        <w:fldChar w:fldCharType="begin"/>
      </w:r>
      <w:r>
        <w:instrText xml:space="preserve"> HYPERLINK \l _Toc29033 </w:instrText>
      </w:r>
      <w:r>
        <w:fldChar w:fldCharType="separate"/>
      </w:r>
      <w:r>
        <w:rPr>
          <w:rFonts w:hint="eastAsia" w:asciiTheme="minorEastAsia" w:hAnsiTheme="minorEastAsia" w:eastAsiaTheme="minorEastAsia" w:cstheme="minorEastAsia"/>
        </w:rPr>
        <w:t>附件二：问题的澄清、说明、更正</w:t>
      </w:r>
      <w:r>
        <w:tab/>
      </w:r>
      <w:r>
        <w:fldChar w:fldCharType="begin"/>
      </w:r>
      <w:r>
        <w:instrText xml:space="preserve"> PAGEREF _Toc29033 \h </w:instrText>
      </w:r>
      <w:r>
        <w:fldChar w:fldCharType="separate"/>
      </w:r>
      <w:r>
        <w:t>77</w:t>
      </w:r>
      <w:r>
        <w:fldChar w:fldCharType="end"/>
      </w:r>
      <w:r>
        <w:fldChar w:fldCharType="end"/>
      </w:r>
    </w:p>
    <w:p>
      <w:pPr>
        <w:pStyle w:val="21"/>
        <w:tabs>
          <w:tab w:val="right" w:leader="dot" w:pos="9746"/>
          <w:tab w:val="clear" w:pos="0"/>
        </w:tabs>
      </w:pPr>
      <w:r>
        <w:fldChar w:fldCharType="begin"/>
      </w:r>
      <w:r>
        <w:instrText xml:space="preserve"> HYPERLINK \l _Toc32711 </w:instrText>
      </w:r>
      <w:r>
        <w:fldChar w:fldCharType="separate"/>
      </w:r>
      <w:r>
        <w:rPr>
          <w:rFonts w:hint="eastAsia"/>
        </w:rPr>
        <w:t>附件三：2023年度信用评价服务效果调查表</w:t>
      </w:r>
      <w:r>
        <w:tab/>
      </w:r>
      <w:r>
        <w:fldChar w:fldCharType="begin"/>
      </w:r>
      <w:r>
        <w:instrText xml:space="preserve"> PAGEREF _Toc32711 \h </w:instrText>
      </w:r>
      <w:r>
        <w:fldChar w:fldCharType="separate"/>
      </w:r>
      <w:r>
        <w:t>78</w:t>
      </w:r>
      <w:r>
        <w:fldChar w:fldCharType="end"/>
      </w:r>
      <w:r>
        <w:fldChar w:fldCharType="end"/>
      </w:r>
    </w:p>
    <w:p>
      <w:r>
        <w:fldChar w:fldCharType="end"/>
      </w:r>
    </w:p>
    <w:p>
      <w:pPr>
        <w:pStyle w:val="48"/>
        <w:spacing w:before="120" w:after="120"/>
      </w:pPr>
      <w:r>
        <w:rPr>
          <w:rFonts w:hint="eastAsia"/>
        </w:rPr>
        <w:br w:type="page"/>
      </w:r>
      <w:bookmarkEnd w:id="2"/>
      <w:bookmarkEnd w:id="3"/>
      <w:bookmarkEnd w:id="4"/>
      <w:bookmarkEnd w:id="5"/>
      <w:bookmarkStart w:id="6" w:name="_Toc15291"/>
      <w:bookmarkStart w:id="7" w:name="_Toc2592"/>
      <w:bookmarkStart w:id="8" w:name="_Toc213496267"/>
      <w:bookmarkStart w:id="9" w:name="_Toc213397009"/>
      <w:bookmarkStart w:id="10" w:name="_Toc213396759"/>
      <w:bookmarkStart w:id="11" w:name="_Toc213396945"/>
      <w:bookmarkStart w:id="12" w:name="_Toc217446031"/>
      <w:r>
        <w:rPr>
          <w:rFonts w:hint="eastAsia"/>
        </w:rPr>
        <w:t>竞争性磋商邀请公告</w:t>
      </w:r>
      <w:bookmarkEnd w:id="6"/>
      <w:bookmarkEnd w:id="7"/>
    </w:p>
    <w:p>
      <w:pPr>
        <w:pStyle w:val="46"/>
        <w:spacing w:line="520" w:lineRule="exact"/>
        <w:rPr>
          <w:rFonts w:cs="宋体"/>
        </w:rPr>
      </w:pPr>
      <w:r>
        <w:rPr>
          <w:rFonts w:hint="eastAsia" w:cs="宋体"/>
          <w:lang w:val="zh-CN"/>
        </w:rPr>
        <w:t>四川乾新招投标代理有限公司</w:t>
      </w:r>
      <w:r>
        <w:rPr>
          <w:rFonts w:hint="eastAsia" w:cs="宋体"/>
        </w:rPr>
        <w:t>受</w:t>
      </w:r>
      <w:r>
        <w:rPr>
          <w:rFonts w:hint="eastAsia" w:cs="宋体"/>
          <w:lang w:eastAsia="zh-CN"/>
        </w:rPr>
        <w:t>成都市技师学院</w:t>
      </w:r>
      <w:r>
        <w:rPr>
          <w:rFonts w:hint="eastAsia" w:cs="宋体"/>
        </w:rPr>
        <w:t>的委托，拟对</w:t>
      </w:r>
      <w:r>
        <w:rPr>
          <w:rFonts w:hint="eastAsia" w:cs="宋体"/>
          <w:lang w:eastAsia="zh-CN"/>
        </w:rPr>
        <w:t>成都市技师学院食堂专用存款账户银行采购项目</w:t>
      </w:r>
      <w:r>
        <w:rPr>
          <w:rFonts w:hint="eastAsia" w:cs="宋体"/>
        </w:rPr>
        <w:t>采用竞争性磋商方式进行采购，特邀请合格的供应商参加该项目的竞争性磋商。</w:t>
      </w:r>
    </w:p>
    <w:p>
      <w:pPr>
        <w:pStyle w:val="43"/>
        <w:numPr>
          <w:ilvl w:val="0"/>
          <w:numId w:val="7"/>
        </w:numPr>
        <w:spacing w:line="520" w:lineRule="exact"/>
        <w:ind w:firstLine="482" w:firstLineChars="200"/>
        <w:rPr>
          <w:rFonts w:cs="宋体"/>
        </w:rPr>
      </w:pPr>
      <w:r>
        <w:rPr>
          <w:rFonts w:hint="eastAsia" w:cs="宋体"/>
          <w:b/>
          <w:bCs/>
        </w:rPr>
        <w:t>项目编号：</w:t>
      </w:r>
      <w:bookmarkStart w:id="528" w:name="_GoBack"/>
      <w:r>
        <w:rPr>
          <w:rFonts w:hint="eastAsia" w:cs="宋体"/>
        </w:rPr>
        <w:t>QXZB-2023-1226B</w:t>
      </w:r>
      <w:bookmarkEnd w:id="528"/>
    </w:p>
    <w:p>
      <w:pPr>
        <w:pStyle w:val="43"/>
        <w:numPr>
          <w:ilvl w:val="0"/>
          <w:numId w:val="7"/>
        </w:numPr>
        <w:spacing w:line="520" w:lineRule="exact"/>
        <w:ind w:firstLine="482" w:firstLineChars="200"/>
        <w:rPr>
          <w:rFonts w:cs="宋体"/>
        </w:rPr>
      </w:pPr>
      <w:r>
        <w:rPr>
          <w:rFonts w:hint="eastAsia" w:cs="宋体"/>
          <w:b/>
          <w:bCs/>
        </w:rPr>
        <w:t>项目名称：</w:t>
      </w:r>
      <w:r>
        <w:rPr>
          <w:rFonts w:hint="eastAsia" w:cs="宋体"/>
          <w:spacing w:val="-6"/>
          <w:sz w:val="24"/>
          <w:lang w:eastAsia="zh-CN"/>
        </w:rPr>
        <w:t>成都市技师学院食堂专用存款账户银行采购项目</w:t>
      </w:r>
    </w:p>
    <w:p>
      <w:pPr>
        <w:pStyle w:val="43"/>
        <w:numPr>
          <w:ilvl w:val="0"/>
          <w:numId w:val="7"/>
        </w:numPr>
        <w:spacing w:line="520" w:lineRule="exact"/>
        <w:ind w:firstLine="482" w:firstLineChars="200"/>
        <w:rPr>
          <w:rFonts w:cs="宋体"/>
        </w:rPr>
      </w:pPr>
      <w:r>
        <w:rPr>
          <w:rFonts w:hint="eastAsia" w:cs="宋体"/>
          <w:b/>
          <w:bCs/>
        </w:rPr>
        <w:t>资金来源：</w:t>
      </w:r>
      <w:r>
        <w:rPr>
          <w:rFonts w:hint="eastAsia" w:cs="宋体"/>
          <w:lang w:val="en-US" w:eastAsia="zh-CN"/>
        </w:rPr>
        <w:t>食堂专用存款账户</w:t>
      </w:r>
      <w:r>
        <w:rPr>
          <w:rFonts w:hint="eastAsia" w:cs="宋体"/>
        </w:rPr>
        <w:t>。</w:t>
      </w:r>
    </w:p>
    <w:p>
      <w:pPr>
        <w:pStyle w:val="43"/>
        <w:numPr>
          <w:ilvl w:val="0"/>
          <w:numId w:val="7"/>
        </w:numPr>
        <w:spacing w:line="520" w:lineRule="exact"/>
        <w:ind w:firstLine="482" w:firstLineChars="200"/>
        <w:rPr>
          <w:rFonts w:cs="宋体"/>
          <w:b/>
          <w:bCs/>
        </w:rPr>
      </w:pPr>
      <w:r>
        <w:rPr>
          <w:rFonts w:hint="eastAsia" w:cs="宋体"/>
          <w:b/>
          <w:bCs/>
        </w:rPr>
        <w:t>采购项目简介：</w:t>
      </w:r>
    </w:p>
    <w:p>
      <w:pPr>
        <w:pStyle w:val="43"/>
        <w:spacing w:line="520" w:lineRule="exact"/>
        <w:ind w:firstLine="482" w:firstLineChars="200"/>
        <w:rPr>
          <w:rFonts w:cs="宋体"/>
        </w:rPr>
      </w:pPr>
      <w:r>
        <w:rPr>
          <w:rFonts w:hint="eastAsia" w:cs="宋体"/>
          <w:b/>
          <w:bCs/>
        </w:rPr>
        <w:t>(一)采购内容：</w:t>
      </w:r>
      <w:r>
        <w:rPr>
          <w:rFonts w:hint="eastAsia" w:cs="宋体"/>
          <w:spacing w:val="-6"/>
          <w:sz w:val="24"/>
          <w:lang w:eastAsia="zh-CN"/>
        </w:rPr>
        <w:t>食堂专用存款账户银行</w:t>
      </w:r>
      <w:r>
        <w:rPr>
          <w:rFonts w:hint="eastAsia" w:cs="宋体"/>
          <w:spacing w:val="-6"/>
          <w:sz w:val="24"/>
          <w:lang w:val="en-US" w:eastAsia="zh-CN"/>
        </w:rPr>
        <w:t>服务</w:t>
      </w:r>
      <w:r>
        <w:rPr>
          <w:rFonts w:hint="eastAsia" w:cs="宋体"/>
        </w:rPr>
        <w:t>，具体详见竞争性磋商文件第五章。</w:t>
      </w:r>
    </w:p>
    <w:p>
      <w:pPr>
        <w:pStyle w:val="43"/>
        <w:spacing w:line="520" w:lineRule="exact"/>
        <w:ind w:firstLine="482" w:firstLineChars="200"/>
        <w:rPr>
          <w:rFonts w:cs="宋体"/>
          <w:b/>
          <w:bCs/>
        </w:rPr>
      </w:pPr>
      <w:r>
        <w:rPr>
          <w:rFonts w:hint="eastAsia" w:cs="宋体"/>
          <w:b/>
          <w:bCs/>
        </w:rPr>
        <w:t>(二)采购包划分：</w:t>
      </w:r>
      <w:r>
        <w:rPr>
          <w:rFonts w:hint="eastAsia" w:cs="宋体"/>
        </w:rPr>
        <w:t>本项目共计1个包，设置1名成交供应商。</w:t>
      </w:r>
    </w:p>
    <w:p>
      <w:pPr>
        <w:pStyle w:val="43"/>
        <w:spacing w:line="520" w:lineRule="exact"/>
        <w:ind w:firstLine="482" w:firstLineChars="200"/>
        <w:rPr>
          <w:rFonts w:cs="宋体"/>
        </w:rPr>
      </w:pPr>
      <w:r>
        <w:rPr>
          <w:rFonts w:hint="eastAsia" w:cs="宋体"/>
          <w:b/>
          <w:bCs/>
        </w:rPr>
        <w:t>(三)采购用途：</w:t>
      </w:r>
      <w:r>
        <w:rPr>
          <w:rFonts w:hint="eastAsia" w:cs="宋体"/>
        </w:rPr>
        <w:t>用于</w:t>
      </w:r>
      <w:r>
        <w:rPr>
          <w:rFonts w:hint="eastAsia" w:cs="宋体"/>
          <w:lang w:eastAsia="zh-CN"/>
        </w:rPr>
        <w:t>成都市技师学院</w:t>
      </w:r>
      <w:r>
        <w:rPr>
          <w:rFonts w:hint="eastAsia"/>
          <w:u w:val="none"/>
          <w:lang w:val="en-US" w:eastAsia="zh-CN"/>
        </w:rPr>
        <w:t>食堂专用银行账户日常服务</w:t>
      </w:r>
      <w:r>
        <w:rPr>
          <w:rFonts w:hint="eastAsia" w:cs="宋体"/>
        </w:rPr>
        <w:t>。</w:t>
      </w:r>
    </w:p>
    <w:p>
      <w:pPr>
        <w:pStyle w:val="43"/>
        <w:spacing w:line="520" w:lineRule="exact"/>
        <w:ind w:firstLine="482" w:firstLineChars="200"/>
        <w:rPr>
          <w:rFonts w:cs="宋体"/>
        </w:rPr>
      </w:pPr>
      <w:r>
        <w:rPr>
          <w:rFonts w:hint="eastAsia" w:cs="宋体"/>
          <w:b/>
          <w:bCs/>
        </w:rPr>
        <w:t>(四)项目性质：</w:t>
      </w:r>
      <w:r>
        <w:rPr>
          <w:rFonts w:hint="eastAsia" w:cs="宋体"/>
        </w:rPr>
        <w:t>非法定政府采购。</w:t>
      </w:r>
    </w:p>
    <w:p>
      <w:pPr>
        <w:pStyle w:val="43"/>
        <w:numPr>
          <w:ilvl w:val="0"/>
          <w:numId w:val="7"/>
        </w:numPr>
        <w:spacing w:line="520" w:lineRule="exact"/>
        <w:ind w:firstLine="482" w:firstLineChars="200"/>
        <w:rPr>
          <w:rFonts w:cs="宋体"/>
          <w:b/>
          <w:bCs/>
        </w:rPr>
      </w:pPr>
      <w:r>
        <w:rPr>
          <w:rFonts w:hint="eastAsia" w:cs="宋体"/>
          <w:b/>
          <w:bCs/>
        </w:rPr>
        <w:t>合格供应商应具备的资格条件：</w:t>
      </w:r>
    </w:p>
    <w:p>
      <w:pPr>
        <w:pStyle w:val="34"/>
        <w:spacing w:line="520" w:lineRule="exact"/>
        <w:ind w:firstLine="480" w:firstLineChars="200"/>
        <w:rPr>
          <w:rFonts w:cs="宋体"/>
        </w:rPr>
      </w:pPr>
      <w:r>
        <w:rPr>
          <w:rFonts w:hint="eastAsia" w:cs="宋体"/>
        </w:rPr>
        <w:t>(一)具有独立承担</w:t>
      </w:r>
      <w:r>
        <w:fldChar w:fldCharType="begin"/>
      </w:r>
      <w:r>
        <w:instrText xml:space="preserve"> HYPERLINK "http://www.lawtime.cn/info/minfa/mszeren/" \t "_blank" </w:instrText>
      </w:r>
      <w:r>
        <w:fldChar w:fldCharType="separate"/>
      </w:r>
      <w:r>
        <w:rPr>
          <w:rFonts w:hint="eastAsia" w:cs="宋体"/>
        </w:rPr>
        <w:t>民事责任</w:t>
      </w:r>
      <w:r>
        <w:rPr>
          <w:rFonts w:hint="eastAsia" w:cs="宋体"/>
        </w:rPr>
        <w:fldChar w:fldCharType="end"/>
      </w:r>
      <w:r>
        <w:rPr>
          <w:rFonts w:hint="eastAsia" w:cs="宋体"/>
        </w:rPr>
        <w:t>的能力；</w:t>
      </w:r>
    </w:p>
    <w:p>
      <w:pPr>
        <w:pStyle w:val="34"/>
        <w:spacing w:line="520" w:lineRule="exact"/>
        <w:ind w:firstLine="480" w:firstLineChars="200"/>
        <w:rPr>
          <w:rFonts w:cs="宋体"/>
        </w:rPr>
      </w:pPr>
      <w:r>
        <w:rPr>
          <w:rFonts w:hint="eastAsia" w:cs="宋体"/>
        </w:rPr>
        <w:t>(二)具有良好的商业信誉和健全的财务会计制度；</w:t>
      </w:r>
    </w:p>
    <w:p>
      <w:pPr>
        <w:pStyle w:val="34"/>
        <w:spacing w:line="520" w:lineRule="exact"/>
        <w:ind w:firstLine="480" w:firstLineChars="200"/>
        <w:rPr>
          <w:rFonts w:cs="宋体"/>
        </w:rPr>
      </w:pPr>
      <w:r>
        <w:rPr>
          <w:rFonts w:hint="eastAsia" w:cs="宋体"/>
        </w:rPr>
        <w:t>(三)具有履行合同所必需的设备和专业技术能力；</w:t>
      </w:r>
    </w:p>
    <w:p>
      <w:pPr>
        <w:pStyle w:val="34"/>
        <w:spacing w:line="520" w:lineRule="exact"/>
        <w:ind w:firstLine="480" w:firstLineChars="200"/>
        <w:rPr>
          <w:rFonts w:cs="宋体"/>
        </w:rPr>
      </w:pPr>
      <w:r>
        <w:rPr>
          <w:rFonts w:hint="eastAsia" w:cs="宋体"/>
        </w:rPr>
        <w:t>(四)有依法缴纳税收和</w:t>
      </w:r>
      <w:r>
        <w:fldChar w:fldCharType="begin"/>
      </w:r>
      <w:r>
        <w:instrText xml:space="preserve"> HYPERLINK "http://www.lawtime.cn/info/laodong/shehuibaozhang/" \t "_blank" </w:instrText>
      </w:r>
      <w:r>
        <w:fldChar w:fldCharType="separate"/>
      </w:r>
      <w:r>
        <w:rPr>
          <w:rFonts w:hint="eastAsia" w:cs="宋体"/>
        </w:rPr>
        <w:t>社会保障</w:t>
      </w:r>
      <w:r>
        <w:rPr>
          <w:rFonts w:hint="eastAsia" w:cs="宋体"/>
        </w:rPr>
        <w:fldChar w:fldCharType="end"/>
      </w:r>
      <w:r>
        <w:rPr>
          <w:rFonts w:hint="eastAsia" w:cs="宋体"/>
        </w:rPr>
        <w:t>资金的良好记录；</w:t>
      </w:r>
    </w:p>
    <w:p>
      <w:pPr>
        <w:pStyle w:val="34"/>
        <w:spacing w:line="520" w:lineRule="exact"/>
        <w:ind w:firstLine="480" w:firstLineChars="200"/>
        <w:rPr>
          <w:rFonts w:cs="宋体"/>
        </w:rPr>
      </w:pPr>
      <w:r>
        <w:rPr>
          <w:rFonts w:hint="eastAsia" w:cs="宋体"/>
        </w:rPr>
        <w:t>(五)参加采购活动前三年内，在经营活动中没有重大违法记录；</w:t>
      </w:r>
    </w:p>
    <w:p>
      <w:pPr>
        <w:pStyle w:val="34"/>
        <w:spacing w:line="520" w:lineRule="exact"/>
        <w:ind w:firstLine="480" w:firstLineChars="200"/>
        <w:rPr>
          <w:rFonts w:cs="宋体"/>
          <w:lang w:val="zh-CN"/>
        </w:rPr>
      </w:pPr>
      <w:r>
        <w:rPr>
          <w:rFonts w:hint="eastAsia" w:cs="宋体"/>
        </w:rPr>
        <w:t>(六)法律、</w:t>
      </w:r>
      <w:r>
        <w:fldChar w:fldCharType="begin"/>
      </w:r>
      <w:r>
        <w:instrText xml:space="preserve"> HYPERLINK "http://www.lawtime.cn/info/sifakaoshi/xingzhengfa/" \t "_blank" </w:instrText>
      </w:r>
      <w:r>
        <w:fldChar w:fldCharType="separate"/>
      </w:r>
      <w:r>
        <w:rPr>
          <w:rFonts w:hint="eastAsia" w:cs="宋体"/>
        </w:rPr>
        <w:t>行政法</w:t>
      </w:r>
      <w:r>
        <w:rPr>
          <w:rFonts w:hint="eastAsia" w:cs="宋体"/>
        </w:rPr>
        <w:fldChar w:fldCharType="end"/>
      </w:r>
      <w:r>
        <w:rPr>
          <w:rFonts w:hint="eastAsia" w:cs="宋体"/>
        </w:rPr>
        <w:t>规规定的其他条件；</w:t>
      </w:r>
    </w:p>
    <w:p>
      <w:pPr>
        <w:pStyle w:val="43"/>
        <w:spacing w:line="520" w:lineRule="exact"/>
        <w:ind w:firstLine="480" w:firstLineChars="200"/>
        <w:rPr>
          <w:rFonts w:hint="eastAsia" w:cs="宋体"/>
          <w:lang w:val="zh-CN"/>
        </w:rPr>
      </w:pPr>
      <w:r>
        <w:rPr>
          <w:rFonts w:hint="eastAsia" w:cs="宋体"/>
        </w:rPr>
        <w:t>(七)</w:t>
      </w:r>
      <w:r>
        <w:rPr>
          <w:rFonts w:hint="eastAsia" w:cs="宋体"/>
          <w:lang w:val="zh-CN"/>
        </w:rPr>
        <w:t>本项目的特定资格要求：</w:t>
      </w:r>
    </w:p>
    <w:p>
      <w:pPr>
        <w:pStyle w:val="43"/>
        <w:spacing w:line="520" w:lineRule="exact"/>
        <w:ind w:firstLine="480" w:firstLineChars="200"/>
        <w:rPr>
          <w:rFonts w:hint="eastAsia" w:cs="宋体"/>
          <w:lang w:val="en-US" w:eastAsia="zh-CN"/>
        </w:rPr>
      </w:pPr>
      <w:r>
        <w:rPr>
          <w:rFonts w:hint="eastAsia" w:cs="宋体"/>
          <w:lang w:val="en-US" w:eastAsia="zh-CN"/>
        </w:rPr>
        <w:t>1.供应商须为中华人民共和国境内依法设立的商业银行、农村信用合作社、农村合作银行等吸收公众存款的同城银行业金融机构。</w:t>
      </w:r>
    </w:p>
    <w:p>
      <w:pPr>
        <w:pStyle w:val="43"/>
        <w:spacing w:line="520" w:lineRule="exact"/>
        <w:ind w:firstLine="480" w:firstLineChars="200"/>
        <w:rPr>
          <w:rFonts w:hint="default" w:eastAsia="宋体" w:cs="宋体"/>
          <w:lang w:val="en-US" w:eastAsia="zh-CN"/>
        </w:rPr>
      </w:pPr>
      <w:r>
        <w:rPr>
          <w:rFonts w:hint="eastAsia" w:cs="宋体"/>
          <w:lang w:val="en-US" w:eastAsia="zh-CN"/>
        </w:rPr>
        <w:t>2.2022年度在当地(项目所在地成都市)人民银行分支机构综合评价等级为B等及以上。</w:t>
      </w:r>
    </w:p>
    <w:p>
      <w:pPr>
        <w:pStyle w:val="43"/>
        <w:spacing w:line="520" w:lineRule="exact"/>
        <w:ind w:firstLine="480" w:firstLineChars="200"/>
        <w:rPr>
          <w:rFonts w:hint="eastAsia" w:cs="宋体"/>
          <w:lang w:val="en-US" w:eastAsia="zh-CN"/>
        </w:rPr>
      </w:pPr>
      <w:r>
        <w:rPr>
          <w:rFonts w:hint="eastAsia" w:cs="宋体"/>
          <w:lang w:val="en-US" w:eastAsia="zh-CN"/>
        </w:rPr>
        <w:t>3.财务稳健，资本充足率、不良贷款率、拨备覆盖率、流动性覆盖率、流动性比例等指标达到监管标准。</w:t>
      </w:r>
    </w:p>
    <w:p>
      <w:pPr>
        <w:pStyle w:val="43"/>
        <w:spacing w:line="520" w:lineRule="exact"/>
        <w:ind w:firstLine="480" w:firstLineChars="200"/>
        <w:rPr>
          <w:rFonts w:hint="eastAsia" w:cs="宋体"/>
          <w:lang w:val="en-US" w:eastAsia="zh-CN"/>
        </w:rPr>
      </w:pPr>
      <w:r>
        <w:rPr>
          <w:rFonts w:hint="eastAsia" w:cs="宋体"/>
          <w:lang w:val="en-US" w:eastAsia="zh-CN"/>
        </w:rPr>
        <w:t>4.内部管理机制健全，具有较强的风险控制能力，近3年内未发生金融风险及重大违约事件。</w:t>
      </w:r>
    </w:p>
    <w:p>
      <w:pPr>
        <w:pStyle w:val="43"/>
        <w:spacing w:line="520" w:lineRule="exact"/>
        <w:ind w:firstLine="480" w:firstLineChars="200"/>
        <w:rPr>
          <w:rFonts w:hint="eastAsia" w:cs="宋体"/>
          <w:lang w:val="en-US" w:eastAsia="zh-CN"/>
        </w:rPr>
      </w:pPr>
      <w:r>
        <w:rPr>
          <w:rFonts w:hint="eastAsia" w:cs="宋体"/>
          <w:lang w:val="en-US" w:eastAsia="zh-CN"/>
        </w:rPr>
        <w:t>5.一家银行仅允许一个分支机构报名参与本项目。</w:t>
      </w:r>
    </w:p>
    <w:p>
      <w:pPr>
        <w:pStyle w:val="43"/>
        <w:spacing w:line="520" w:lineRule="exact"/>
        <w:ind w:firstLine="480" w:firstLineChars="200"/>
        <w:rPr>
          <w:rFonts w:cs="宋体"/>
          <w:lang w:val="zh-CN"/>
        </w:rPr>
      </w:pPr>
      <w:r>
        <w:rPr>
          <w:rFonts w:hint="eastAsia" w:cs="宋体"/>
          <w:lang w:val="en-US" w:eastAsia="zh-CN"/>
        </w:rPr>
        <w:t>6.</w:t>
      </w:r>
      <w:r>
        <w:rPr>
          <w:rFonts w:hint="eastAsia" w:cs="宋体"/>
        </w:rPr>
        <w:t>本项目不接受联合体参加本次采购活动。</w:t>
      </w:r>
    </w:p>
    <w:p>
      <w:pPr>
        <w:pStyle w:val="43"/>
        <w:numPr>
          <w:ilvl w:val="0"/>
          <w:numId w:val="7"/>
        </w:numPr>
        <w:spacing w:line="520" w:lineRule="exact"/>
        <w:ind w:firstLine="482" w:firstLineChars="200"/>
        <w:rPr>
          <w:rFonts w:cs="宋体"/>
          <w:b/>
          <w:bCs/>
        </w:rPr>
      </w:pPr>
      <w:r>
        <w:rPr>
          <w:rFonts w:hint="eastAsia" w:cs="宋体"/>
          <w:b/>
          <w:bCs/>
        </w:rPr>
        <w:t>禁止参加本次采购活动的供应商</w:t>
      </w:r>
    </w:p>
    <w:p>
      <w:pPr>
        <w:pStyle w:val="34"/>
        <w:spacing w:line="520" w:lineRule="exact"/>
        <w:ind w:firstLine="480" w:firstLineChars="200"/>
        <w:rPr>
          <w:rFonts w:cs="宋体"/>
        </w:rPr>
      </w:pPr>
      <w:bookmarkStart w:id="13" w:name="PO_默认文件内容_4"/>
      <w:r>
        <w:rPr>
          <w:rFonts w:hint="eastAsia" w:cs="宋体"/>
        </w:rPr>
        <w:t>参照《关于在政府采购活动中查询及使用信用记录有关问题的通知》(财库〔2016〕125号)的要求，采购代理机构将通过“信用中国”网站(www.creditchina.gov.cn)、“中国政府采购网”网站(www.ccgp.gov.cn)等渠道查询供应商在响应文件递交截止日前的信用记录并保存信用记录结果网页截图，拒绝列入失信被执行人名单、重大税收违法案件当事人名单(重大税收违法失信主体)、政府采购严重违法失信行为记录名单中的供应商参加本项目的采购活动。</w:t>
      </w:r>
    </w:p>
    <w:bookmarkEnd w:id="13"/>
    <w:p>
      <w:pPr>
        <w:pStyle w:val="43"/>
        <w:numPr>
          <w:ilvl w:val="0"/>
          <w:numId w:val="7"/>
        </w:numPr>
        <w:spacing w:line="520" w:lineRule="exact"/>
        <w:ind w:firstLine="482" w:firstLineChars="200"/>
        <w:rPr>
          <w:rFonts w:cs="宋体"/>
          <w:b/>
          <w:bCs/>
        </w:rPr>
      </w:pPr>
      <w:r>
        <w:rPr>
          <w:rFonts w:hint="eastAsia" w:cs="宋体"/>
          <w:b/>
          <w:bCs/>
        </w:rPr>
        <w:t>获取磋商文件的时间期限、地点、方式</w:t>
      </w:r>
    </w:p>
    <w:p>
      <w:pPr>
        <w:pStyle w:val="43"/>
        <w:spacing w:line="520" w:lineRule="exact"/>
        <w:ind w:firstLine="482" w:firstLineChars="200"/>
        <w:rPr>
          <w:rFonts w:cs="宋体"/>
          <w:lang w:val="zh-CN"/>
        </w:rPr>
      </w:pPr>
      <w:r>
        <w:rPr>
          <w:rFonts w:hint="eastAsia" w:cs="宋体"/>
          <w:b/>
          <w:bCs/>
        </w:rPr>
        <w:t>(一)获取磋商文件的时间期限(即报名时间)</w:t>
      </w:r>
      <w:r>
        <w:rPr>
          <w:rFonts w:hint="eastAsia" w:cs="宋体"/>
        </w:rPr>
        <w:t>：2023年</w:t>
      </w:r>
      <w:r>
        <w:rPr>
          <w:rFonts w:hint="eastAsia" w:cs="宋体"/>
          <w:lang w:val="en-US" w:eastAsia="zh-CN"/>
        </w:rPr>
        <w:t>12</w:t>
      </w:r>
      <w:r>
        <w:rPr>
          <w:rFonts w:hint="eastAsia" w:cs="宋体"/>
        </w:rPr>
        <w:t>月</w:t>
      </w:r>
      <w:r>
        <w:rPr>
          <w:rFonts w:hint="eastAsia" w:cs="宋体"/>
          <w:lang w:val="en-US" w:eastAsia="zh-CN"/>
        </w:rPr>
        <w:t>22</w:t>
      </w:r>
      <w:r>
        <w:rPr>
          <w:rFonts w:hint="eastAsia" w:cs="宋体"/>
        </w:rPr>
        <w:t>日至2023年</w:t>
      </w:r>
      <w:r>
        <w:rPr>
          <w:rFonts w:hint="eastAsia" w:cs="宋体"/>
          <w:lang w:val="en-US" w:eastAsia="zh-CN"/>
        </w:rPr>
        <w:t>12</w:t>
      </w:r>
      <w:r>
        <w:rPr>
          <w:rFonts w:hint="eastAsia" w:cs="宋体"/>
        </w:rPr>
        <w:t>月</w:t>
      </w:r>
      <w:r>
        <w:rPr>
          <w:rFonts w:hint="eastAsia" w:cs="宋体"/>
          <w:lang w:val="en-US" w:eastAsia="zh-CN"/>
        </w:rPr>
        <w:t>28</w:t>
      </w:r>
      <w:r>
        <w:rPr>
          <w:rFonts w:hint="eastAsia" w:cs="宋体"/>
        </w:rPr>
        <w:t>日，每天上午9时00分至12时00分，下午14时00分至17时00分(北京时间，法定节假日除外)。</w:t>
      </w:r>
    </w:p>
    <w:p>
      <w:pPr>
        <w:pStyle w:val="43"/>
        <w:spacing w:line="520" w:lineRule="exact"/>
        <w:ind w:firstLine="482" w:firstLineChars="200"/>
        <w:rPr>
          <w:rFonts w:cs="宋体"/>
          <w:lang w:val="zh-CN"/>
        </w:rPr>
      </w:pPr>
      <w:r>
        <w:rPr>
          <w:rFonts w:hint="eastAsia" w:cs="宋体"/>
          <w:b/>
          <w:bCs/>
        </w:rPr>
        <w:t>(二)获取磋商文件的地点：http：//www.qxztb.cn</w:t>
      </w:r>
      <w:r>
        <w:rPr>
          <w:rFonts w:hint="eastAsia" w:cs="宋体"/>
          <w:lang w:val="zh-CN"/>
        </w:rPr>
        <w:t>。</w:t>
      </w:r>
    </w:p>
    <w:p>
      <w:pPr>
        <w:pStyle w:val="43"/>
        <w:spacing w:line="520" w:lineRule="exact"/>
        <w:ind w:firstLine="482" w:firstLineChars="200"/>
        <w:rPr>
          <w:rFonts w:cs="宋体"/>
          <w:b/>
          <w:bCs/>
        </w:rPr>
      </w:pPr>
      <w:r>
        <w:rPr>
          <w:rFonts w:hint="eastAsia" w:cs="宋体"/>
          <w:b/>
          <w:bCs/>
        </w:rPr>
        <w:t>(三)获取磋商文件的方式：</w:t>
      </w:r>
    </w:p>
    <w:p>
      <w:pPr>
        <w:pStyle w:val="43"/>
        <w:spacing w:line="520" w:lineRule="exact"/>
        <w:ind w:firstLine="482" w:firstLineChars="200"/>
        <w:rPr>
          <w:rFonts w:cs="宋体"/>
        </w:rPr>
      </w:pPr>
      <w:r>
        <w:rPr>
          <w:rFonts w:hint="eastAsia" w:cs="宋体"/>
          <w:b/>
          <w:bCs/>
        </w:rPr>
        <w:t>1.</w:t>
      </w:r>
      <w:r>
        <w:rPr>
          <w:rFonts w:hint="eastAsia" w:cs="宋体"/>
          <w:b/>
          <w:bCs/>
        </w:rPr>
        <w:tab/>
      </w:r>
      <w:r>
        <w:rPr>
          <w:rFonts w:hint="eastAsia" w:cs="宋体"/>
          <w:b/>
          <w:bCs/>
        </w:rPr>
        <w:t>在本项目磋商文件获取时间期限内，在采购代理机构指定网站(http：//www.qxztb.cn)获取，具体获取流程详见该网站的“标书在线获取流程”</w:t>
      </w:r>
      <w:r>
        <w:rPr>
          <w:rFonts w:hint="eastAsia" w:cs="宋体"/>
        </w:rPr>
        <w:t>。</w:t>
      </w:r>
    </w:p>
    <w:p>
      <w:pPr>
        <w:pStyle w:val="43"/>
        <w:spacing w:line="520" w:lineRule="exact"/>
        <w:ind w:firstLine="482" w:firstLineChars="200"/>
        <w:rPr>
          <w:rFonts w:cs="宋体"/>
          <w:b/>
          <w:bCs/>
          <w:lang w:val="zh-CN"/>
        </w:rPr>
      </w:pPr>
      <w:r>
        <w:rPr>
          <w:rFonts w:hint="eastAsia" w:cs="宋体"/>
          <w:b/>
          <w:bCs/>
        </w:rPr>
        <w:t>2.报名咨询电话：</w:t>
      </w:r>
      <w:r>
        <w:rPr>
          <w:rFonts w:hint="eastAsia" w:cs="宋体"/>
          <w:b/>
          <w:bCs/>
          <w:lang w:val="zh-CN"/>
        </w:rPr>
        <w:t>028-61375575、62600820、62630990转601或602。</w:t>
      </w:r>
    </w:p>
    <w:p>
      <w:pPr>
        <w:pStyle w:val="43"/>
        <w:spacing w:line="520" w:lineRule="exact"/>
        <w:ind w:firstLine="482" w:firstLineChars="200"/>
        <w:rPr>
          <w:rFonts w:cs="宋体"/>
        </w:rPr>
      </w:pPr>
      <w:r>
        <w:rPr>
          <w:rFonts w:hint="eastAsia" w:cs="宋体"/>
          <w:b/>
          <w:bCs/>
        </w:rPr>
        <w:t>(四)</w:t>
      </w:r>
      <w:r>
        <w:rPr>
          <w:rFonts w:hint="eastAsia" w:cs="宋体"/>
          <w:b/>
          <w:bCs/>
          <w:lang w:val="zh-CN"/>
        </w:rPr>
        <w:t>磋商文件售价：</w:t>
      </w:r>
      <w:r>
        <w:rPr>
          <w:rFonts w:hint="eastAsia" w:cs="宋体"/>
          <w:lang w:val="zh-CN"/>
        </w:rPr>
        <w:t>人民币</w:t>
      </w:r>
      <w:r>
        <w:rPr>
          <w:rFonts w:hint="eastAsia" w:cs="宋体"/>
        </w:rPr>
        <w:t>300元</w:t>
      </w:r>
      <w:r>
        <w:rPr>
          <w:rFonts w:hint="eastAsia" w:cs="宋体"/>
          <w:lang w:val="zh-CN"/>
        </w:rPr>
        <w:t xml:space="preserve">/份(磋商文件售后不退, </w:t>
      </w:r>
      <w:r>
        <w:rPr>
          <w:rFonts w:hint="eastAsia" w:cs="宋体"/>
        </w:rPr>
        <w:t>磋商资格不得转让)。</w:t>
      </w:r>
    </w:p>
    <w:p>
      <w:pPr>
        <w:pStyle w:val="43"/>
        <w:spacing w:line="520" w:lineRule="exact"/>
        <w:ind w:firstLine="482" w:firstLineChars="200"/>
        <w:rPr>
          <w:rFonts w:cs="宋体"/>
        </w:rPr>
      </w:pPr>
      <w:r>
        <w:rPr>
          <w:rFonts w:hint="eastAsia" w:cs="宋体"/>
          <w:b/>
          <w:bCs/>
        </w:rPr>
        <w:t>(五)</w:t>
      </w:r>
      <w:r>
        <w:rPr>
          <w:rFonts w:hint="eastAsia" w:cs="宋体"/>
        </w:rPr>
        <w:t>供应商应在规定的时间内按上述要求获取本磋商文件并登记，否则均无资格参加该项目。</w:t>
      </w:r>
    </w:p>
    <w:p>
      <w:pPr>
        <w:pStyle w:val="43"/>
        <w:numPr>
          <w:ilvl w:val="0"/>
          <w:numId w:val="7"/>
        </w:numPr>
        <w:spacing w:line="520" w:lineRule="exact"/>
        <w:ind w:firstLine="482" w:firstLineChars="200"/>
        <w:rPr>
          <w:rFonts w:cs="宋体"/>
          <w:b/>
          <w:bCs/>
        </w:rPr>
      </w:pPr>
      <w:r>
        <w:rPr>
          <w:rFonts w:hint="eastAsia" w:cs="宋体"/>
          <w:b/>
          <w:bCs/>
        </w:rPr>
        <w:t>竞争性磋商响应文件递交的截止时间：202</w:t>
      </w:r>
      <w:r>
        <w:rPr>
          <w:rFonts w:hint="eastAsia" w:cs="宋体"/>
          <w:b/>
          <w:bCs/>
          <w:lang w:val="en-US" w:eastAsia="zh-CN"/>
        </w:rPr>
        <w:t>4</w:t>
      </w:r>
      <w:r>
        <w:rPr>
          <w:rFonts w:hint="eastAsia" w:cs="宋体"/>
          <w:b/>
          <w:bCs/>
        </w:rPr>
        <w:t>年</w:t>
      </w:r>
      <w:r>
        <w:rPr>
          <w:rFonts w:hint="eastAsia" w:cs="宋体"/>
          <w:b/>
          <w:bCs/>
          <w:lang w:val="en-US" w:eastAsia="zh-CN" w:bidi="ar"/>
        </w:rPr>
        <w:t>1</w:t>
      </w:r>
      <w:r>
        <w:rPr>
          <w:rFonts w:hint="eastAsia" w:cs="宋体"/>
          <w:b/>
          <w:bCs/>
        </w:rPr>
        <w:t>月</w:t>
      </w:r>
      <w:r>
        <w:rPr>
          <w:rFonts w:hint="eastAsia" w:cs="宋体"/>
          <w:b/>
          <w:bCs/>
          <w:lang w:val="en-US" w:eastAsia="zh-CN" w:bidi="ar"/>
        </w:rPr>
        <w:t>2</w:t>
      </w:r>
      <w:r>
        <w:rPr>
          <w:rFonts w:hint="eastAsia" w:cs="宋体"/>
          <w:b/>
          <w:bCs/>
        </w:rPr>
        <w:t>日10时</w:t>
      </w:r>
      <w:r>
        <w:rPr>
          <w:rFonts w:hint="eastAsia" w:cs="宋体"/>
          <w:b/>
          <w:bCs/>
          <w:lang w:val="en-US" w:eastAsia="zh-CN"/>
        </w:rPr>
        <w:t>30</w:t>
      </w:r>
      <w:r>
        <w:rPr>
          <w:rFonts w:hint="eastAsia" w:cs="宋体"/>
          <w:b/>
          <w:bCs/>
        </w:rPr>
        <w:t>分(北京时间)</w:t>
      </w:r>
      <w:r>
        <w:rPr>
          <w:rFonts w:hint="eastAsia" w:cs="宋体"/>
          <w:b/>
          <w:bCs/>
          <w:lang w:eastAsia="zh-CN"/>
        </w:rPr>
        <w:t>；</w:t>
      </w:r>
    </w:p>
    <w:p>
      <w:pPr>
        <w:pStyle w:val="46"/>
        <w:spacing w:line="520" w:lineRule="exact"/>
        <w:ind w:firstLine="482"/>
        <w:rPr>
          <w:rFonts w:cs="宋体"/>
          <w:b/>
          <w:bCs/>
        </w:rPr>
      </w:pPr>
      <w:r>
        <w:rPr>
          <w:rFonts w:hint="eastAsia" w:cs="宋体"/>
          <w:b/>
          <w:bCs/>
        </w:rPr>
        <w:t>响应文件递交的起止时间：磋商当日</w:t>
      </w:r>
      <w:r>
        <w:rPr>
          <w:rFonts w:hint="eastAsia" w:cs="宋体"/>
          <w:b/>
          <w:bCs/>
          <w:lang w:val="en-US" w:eastAsia="zh-CN"/>
        </w:rPr>
        <w:t>10</w:t>
      </w:r>
      <w:r>
        <w:rPr>
          <w:rFonts w:hint="eastAsia" w:cs="宋体"/>
          <w:b/>
          <w:bCs/>
        </w:rPr>
        <w:t>时</w:t>
      </w:r>
      <w:r>
        <w:rPr>
          <w:rFonts w:hint="eastAsia" w:cs="宋体"/>
          <w:b/>
          <w:bCs/>
          <w:lang w:val="en-US" w:eastAsia="zh-CN"/>
        </w:rPr>
        <w:t>0</w:t>
      </w:r>
      <w:r>
        <w:rPr>
          <w:rFonts w:hint="eastAsia" w:cs="宋体"/>
          <w:b/>
          <w:bCs/>
        </w:rPr>
        <w:t>0分-</w:t>
      </w:r>
      <w:r>
        <w:rPr>
          <w:rFonts w:hint="eastAsia" w:cs="宋体"/>
          <w:b/>
          <w:bCs/>
          <w:lang w:val="en-US" w:eastAsia="zh-CN"/>
        </w:rPr>
        <w:t>10</w:t>
      </w:r>
      <w:r>
        <w:rPr>
          <w:rFonts w:hint="eastAsia" w:cs="宋体"/>
          <w:b/>
          <w:bCs/>
        </w:rPr>
        <w:t>时</w:t>
      </w:r>
      <w:r>
        <w:rPr>
          <w:rFonts w:hint="eastAsia" w:cs="宋体"/>
          <w:b/>
          <w:bCs/>
          <w:lang w:val="en-US" w:eastAsia="zh-CN"/>
        </w:rPr>
        <w:t>30</w:t>
      </w:r>
      <w:r>
        <w:rPr>
          <w:rFonts w:hint="eastAsia" w:cs="宋体"/>
          <w:b/>
          <w:bCs/>
        </w:rPr>
        <w:t>分(北京时间)；</w:t>
      </w:r>
    </w:p>
    <w:p>
      <w:pPr>
        <w:pStyle w:val="46"/>
        <w:spacing w:line="520" w:lineRule="exact"/>
        <w:ind w:firstLine="482"/>
        <w:rPr>
          <w:rFonts w:cs="宋体"/>
          <w:b/>
          <w:bCs/>
        </w:rPr>
      </w:pPr>
      <w:r>
        <w:rPr>
          <w:rFonts w:hint="eastAsia" w:cs="宋体"/>
          <w:b/>
          <w:bCs/>
        </w:rPr>
        <w:t>开启时间：磋商小组组建后立即开启；</w:t>
      </w:r>
    </w:p>
    <w:p>
      <w:pPr>
        <w:pStyle w:val="46"/>
        <w:spacing w:line="520" w:lineRule="exact"/>
        <w:ind w:firstLine="482"/>
        <w:rPr>
          <w:rFonts w:cs="宋体"/>
        </w:rPr>
      </w:pPr>
      <w:r>
        <w:rPr>
          <w:rFonts w:hint="eastAsia" w:cs="宋体"/>
          <w:b/>
          <w:bCs/>
        </w:rPr>
        <w:t>响应文件递交的地点：</w:t>
      </w:r>
      <w:r>
        <w:rPr>
          <w:rFonts w:hint="eastAsia" w:cs="宋体"/>
        </w:rPr>
        <w:t>成都市高新区吉庆三路333号蜀都中心二期一号楼一单元401号本项目会议室；</w:t>
      </w:r>
    </w:p>
    <w:p>
      <w:pPr>
        <w:pStyle w:val="46"/>
        <w:spacing w:line="520" w:lineRule="exact"/>
        <w:rPr>
          <w:rFonts w:cs="宋体"/>
        </w:rPr>
      </w:pPr>
      <w:r>
        <w:rPr>
          <w:rFonts w:hint="eastAsia" w:cs="宋体"/>
        </w:rPr>
        <w:t>供应商应当在磋商文件要求的截止时间前，将响应文件密封送达指定地点。在截止时间后送达的响应文件为无效文件，将被采购代理机构拒收。</w:t>
      </w:r>
    </w:p>
    <w:p>
      <w:pPr>
        <w:pStyle w:val="43"/>
        <w:numPr>
          <w:ilvl w:val="0"/>
          <w:numId w:val="7"/>
        </w:numPr>
        <w:spacing w:line="520" w:lineRule="exact"/>
        <w:ind w:firstLine="482" w:firstLineChars="200"/>
        <w:rPr>
          <w:rFonts w:cs="宋体"/>
          <w:b/>
          <w:bCs/>
        </w:rPr>
      </w:pPr>
      <w:r>
        <w:rPr>
          <w:rFonts w:hint="eastAsia" w:cs="宋体"/>
          <w:b/>
          <w:bCs/>
        </w:rPr>
        <w:t>磋商时间：202</w:t>
      </w:r>
      <w:r>
        <w:rPr>
          <w:rFonts w:hint="eastAsia" w:cs="宋体"/>
          <w:b/>
          <w:bCs/>
          <w:lang w:val="en-US" w:eastAsia="zh-CN"/>
        </w:rPr>
        <w:t>4</w:t>
      </w:r>
      <w:r>
        <w:rPr>
          <w:rFonts w:hint="eastAsia" w:cs="宋体"/>
          <w:b/>
          <w:bCs/>
        </w:rPr>
        <w:t>年</w:t>
      </w:r>
      <w:r>
        <w:rPr>
          <w:rFonts w:hint="eastAsia" w:cs="宋体"/>
          <w:b/>
          <w:bCs/>
          <w:lang w:val="en-US" w:eastAsia="zh-CN" w:bidi="ar"/>
        </w:rPr>
        <w:t>1</w:t>
      </w:r>
      <w:r>
        <w:rPr>
          <w:rFonts w:hint="eastAsia" w:cs="宋体"/>
          <w:b/>
          <w:bCs/>
        </w:rPr>
        <w:t>月</w:t>
      </w:r>
      <w:r>
        <w:rPr>
          <w:rFonts w:hint="eastAsia" w:cs="宋体"/>
          <w:b/>
          <w:bCs/>
          <w:lang w:val="en-US" w:eastAsia="zh-CN" w:bidi="ar"/>
        </w:rPr>
        <w:t>2</w:t>
      </w:r>
      <w:r>
        <w:rPr>
          <w:rFonts w:hint="eastAsia" w:cs="宋体"/>
          <w:b/>
          <w:bCs/>
        </w:rPr>
        <w:t>日</w:t>
      </w:r>
      <w:r>
        <w:rPr>
          <w:rFonts w:hint="eastAsia" w:cs="宋体"/>
          <w:b/>
          <w:bCs/>
          <w:lang w:val="en-US" w:eastAsia="zh-CN"/>
        </w:rPr>
        <w:t>10</w:t>
      </w:r>
      <w:r>
        <w:rPr>
          <w:rFonts w:hint="eastAsia" w:cs="宋体"/>
          <w:b/>
          <w:bCs/>
        </w:rPr>
        <w:t>时</w:t>
      </w:r>
      <w:r>
        <w:rPr>
          <w:rFonts w:hint="eastAsia" w:cs="宋体"/>
          <w:b/>
          <w:bCs/>
          <w:lang w:val="en-US" w:eastAsia="zh-CN"/>
        </w:rPr>
        <w:t>3</w:t>
      </w:r>
      <w:r>
        <w:rPr>
          <w:rFonts w:hint="eastAsia" w:cs="宋体"/>
          <w:b/>
          <w:bCs/>
        </w:rPr>
        <w:t>0分(北京时间)。</w:t>
      </w:r>
    </w:p>
    <w:p>
      <w:pPr>
        <w:pStyle w:val="43"/>
        <w:numPr>
          <w:ilvl w:val="0"/>
          <w:numId w:val="7"/>
        </w:numPr>
        <w:spacing w:line="520" w:lineRule="exact"/>
        <w:ind w:firstLine="482" w:firstLineChars="200"/>
        <w:rPr>
          <w:rFonts w:cs="宋体"/>
          <w:b/>
          <w:bCs/>
        </w:rPr>
      </w:pPr>
      <w:r>
        <w:rPr>
          <w:rFonts w:hint="eastAsia" w:cs="宋体"/>
          <w:b/>
          <w:bCs/>
        </w:rPr>
        <w:t>磋商地点：</w:t>
      </w:r>
      <w:r>
        <w:rPr>
          <w:rFonts w:hint="eastAsia" w:cs="宋体"/>
        </w:rPr>
        <w:t>成都市高新区吉庆三路333号蜀都中心二期一号楼一单元401号本项目会议室。</w:t>
      </w:r>
    </w:p>
    <w:p>
      <w:pPr>
        <w:pStyle w:val="43"/>
        <w:numPr>
          <w:ilvl w:val="0"/>
          <w:numId w:val="7"/>
        </w:numPr>
        <w:spacing w:line="520" w:lineRule="exact"/>
        <w:ind w:firstLine="482" w:firstLineChars="200"/>
        <w:rPr>
          <w:rFonts w:cs="宋体"/>
        </w:rPr>
      </w:pPr>
      <w:r>
        <w:rPr>
          <w:rFonts w:hint="eastAsia" w:cs="宋体"/>
          <w:b/>
          <w:bCs/>
        </w:rPr>
        <w:t>采购信息发布媒体：</w:t>
      </w:r>
      <w:r>
        <w:rPr>
          <w:rFonts w:hint="eastAsia" w:cs="宋体"/>
          <w:lang w:eastAsia="zh-CN"/>
        </w:rPr>
        <w:t>“中国招标投标公共服务平台”</w:t>
      </w:r>
      <w:r>
        <w:rPr>
          <w:rFonts w:hint="eastAsia" w:cs="宋体"/>
        </w:rPr>
        <w:t>。</w:t>
      </w:r>
    </w:p>
    <w:p>
      <w:pPr>
        <w:pStyle w:val="43"/>
        <w:numPr>
          <w:ilvl w:val="0"/>
          <w:numId w:val="7"/>
        </w:numPr>
        <w:spacing w:line="520" w:lineRule="exact"/>
        <w:ind w:firstLine="482" w:firstLineChars="200"/>
        <w:rPr>
          <w:rFonts w:cs="宋体"/>
          <w:b/>
          <w:bCs/>
        </w:rPr>
      </w:pPr>
      <w:r>
        <w:rPr>
          <w:rFonts w:hint="eastAsia" w:cs="宋体"/>
          <w:b/>
          <w:bCs/>
        </w:rPr>
        <w:t>凡对本次采购提出询问，请按以下方式联系：</w:t>
      </w:r>
    </w:p>
    <w:p>
      <w:pPr>
        <w:pStyle w:val="43"/>
        <w:spacing w:line="520" w:lineRule="exact"/>
        <w:ind w:firstLine="480" w:firstLineChars="200"/>
        <w:rPr>
          <w:rFonts w:cs="宋体"/>
        </w:rPr>
      </w:pPr>
      <w:r>
        <w:rPr>
          <w:rFonts w:hint="eastAsia" w:cs="宋体"/>
        </w:rPr>
        <w:t>(一)采购人信息</w:t>
      </w:r>
    </w:p>
    <w:p>
      <w:pPr>
        <w:pStyle w:val="43"/>
        <w:spacing w:line="520" w:lineRule="exact"/>
        <w:ind w:firstLine="480" w:firstLineChars="200"/>
        <w:rPr>
          <w:rFonts w:hint="eastAsia" w:eastAsia="宋体" w:cs="宋体"/>
          <w:lang w:eastAsia="zh-CN"/>
        </w:rPr>
      </w:pPr>
      <w:r>
        <w:rPr>
          <w:rFonts w:hint="eastAsia" w:cs="宋体"/>
        </w:rPr>
        <w:t>名    称：</w:t>
      </w:r>
      <w:r>
        <w:rPr>
          <w:rFonts w:hint="eastAsia" w:cs="宋体"/>
          <w:lang w:eastAsia="zh-CN"/>
        </w:rPr>
        <w:t>成都市技师学院</w:t>
      </w:r>
    </w:p>
    <w:p>
      <w:pPr>
        <w:pStyle w:val="43"/>
        <w:spacing w:line="520" w:lineRule="exact"/>
        <w:ind w:firstLine="480" w:firstLineChars="200"/>
        <w:rPr>
          <w:rFonts w:cs="宋体"/>
        </w:rPr>
      </w:pPr>
      <w:r>
        <w:rPr>
          <w:rFonts w:hint="eastAsia" w:cs="宋体"/>
        </w:rPr>
        <w:t xml:space="preserve">地    址：成都市郫都区红光街道港通北三路1899号 </w:t>
      </w:r>
    </w:p>
    <w:p>
      <w:pPr>
        <w:pStyle w:val="43"/>
        <w:spacing w:line="520" w:lineRule="exact"/>
        <w:ind w:firstLine="480" w:firstLineChars="200"/>
        <w:rPr>
          <w:rFonts w:cs="宋体"/>
        </w:rPr>
      </w:pPr>
      <w:r>
        <w:rPr>
          <w:rFonts w:hint="eastAsia" w:cs="宋体"/>
        </w:rPr>
        <w:t>联 系 人：王珏冰</w:t>
      </w:r>
    </w:p>
    <w:p>
      <w:pPr>
        <w:pStyle w:val="43"/>
        <w:spacing w:line="520" w:lineRule="exact"/>
        <w:ind w:firstLine="480" w:firstLineChars="200"/>
        <w:rPr>
          <w:rFonts w:cs="宋体"/>
        </w:rPr>
      </w:pPr>
      <w:r>
        <w:rPr>
          <w:rFonts w:hint="eastAsia" w:cs="宋体"/>
        </w:rPr>
        <w:t xml:space="preserve">联系方式：028-64907283 </w:t>
      </w:r>
    </w:p>
    <w:p>
      <w:pPr>
        <w:pStyle w:val="43"/>
        <w:spacing w:line="520" w:lineRule="exact"/>
        <w:ind w:firstLine="480" w:firstLineChars="200"/>
        <w:rPr>
          <w:rFonts w:cs="宋体"/>
        </w:rPr>
      </w:pPr>
      <w:r>
        <w:rPr>
          <w:rFonts w:hint="eastAsia" w:cs="宋体"/>
        </w:rPr>
        <w:t>(二)采购代理机构信息</w:t>
      </w:r>
    </w:p>
    <w:p>
      <w:pPr>
        <w:pStyle w:val="43"/>
        <w:spacing w:line="520" w:lineRule="exact"/>
        <w:ind w:firstLine="480" w:firstLineChars="200"/>
        <w:rPr>
          <w:rFonts w:cs="宋体"/>
        </w:rPr>
      </w:pPr>
      <w:r>
        <w:rPr>
          <w:rFonts w:hint="eastAsia" w:cs="宋体"/>
        </w:rPr>
        <w:t>名    称：四川乾新招投标代理有限公司</w:t>
      </w:r>
    </w:p>
    <w:p>
      <w:pPr>
        <w:pStyle w:val="43"/>
        <w:spacing w:line="520" w:lineRule="exact"/>
        <w:ind w:firstLine="480" w:firstLineChars="200"/>
        <w:rPr>
          <w:rFonts w:cs="宋体"/>
        </w:rPr>
      </w:pPr>
      <w:r>
        <w:rPr>
          <w:rFonts w:hint="eastAsia" w:cs="宋体"/>
        </w:rPr>
        <w:t>地    址：</w:t>
      </w:r>
      <w:r>
        <w:rPr>
          <w:rFonts w:hint="eastAsia" w:cs="宋体"/>
          <w:lang w:val="zh-CN"/>
        </w:rPr>
        <w:t>成都市高新区吉庆三路333号蜀都中心二期一号楼一单元401号</w:t>
      </w:r>
    </w:p>
    <w:p>
      <w:pPr>
        <w:pStyle w:val="43"/>
        <w:spacing w:line="520" w:lineRule="exact"/>
        <w:ind w:firstLine="480" w:firstLineChars="200"/>
        <w:rPr>
          <w:rFonts w:cs="宋体"/>
        </w:rPr>
      </w:pPr>
      <w:r>
        <w:rPr>
          <w:rFonts w:hint="eastAsia" w:cs="宋体"/>
        </w:rPr>
        <w:t xml:space="preserve">联 系 人：王朝钢 </w:t>
      </w:r>
    </w:p>
    <w:p>
      <w:pPr>
        <w:pStyle w:val="43"/>
        <w:spacing w:line="520" w:lineRule="exact"/>
        <w:ind w:firstLine="480" w:firstLineChars="200"/>
      </w:pPr>
      <w:r>
        <w:rPr>
          <w:rFonts w:hint="eastAsia" w:cs="宋体"/>
        </w:rPr>
        <w:t>采购文件咨询</w:t>
      </w:r>
      <w:r>
        <w:rPr>
          <w:rFonts w:hint="eastAsia" w:cs="宋体"/>
          <w:lang w:val="zh-CN"/>
        </w:rPr>
        <w:t>电话：028-84638556、84882960转</w:t>
      </w:r>
      <w:r>
        <w:rPr>
          <w:rFonts w:hint="eastAsia" w:cs="宋体"/>
        </w:rPr>
        <w:t>663</w:t>
      </w:r>
    </w:p>
    <w:p>
      <w:pPr>
        <w:pStyle w:val="43"/>
        <w:spacing w:line="520" w:lineRule="exact"/>
        <w:ind w:firstLine="480" w:firstLineChars="200"/>
        <w:rPr>
          <w:rFonts w:cs="宋体"/>
        </w:rPr>
      </w:pPr>
      <w:r>
        <w:rPr>
          <w:rFonts w:hint="eastAsia" w:cs="宋体"/>
        </w:rPr>
        <w:t>发票开具与咨询电话：028-84638556、84882960转609</w:t>
      </w:r>
    </w:p>
    <w:p>
      <w:pPr>
        <w:pStyle w:val="43"/>
        <w:spacing w:line="520" w:lineRule="exact"/>
        <w:ind w:firstLine="480" w:firstLineChars="200"/>
        <w:rPr>
          <w:rFonts w:cs="宋体"/>
        </w:rPr>
      </w:pPr>
      <w:r>
        <w:rPr>
          <w:rFonts w:hint="eastAsia" w:cs="宋体"/>
        </w:rPr>
        <w:t>成交通知书领取电话：028-61375575、62630990转601或602</w:t>
      </w:r>
    </w:p>
    <w:p>
      <w:pPr>
        <w:pStyle w:val="43"/>
        <w:spacing w:line="520" w:lineRule="exact"/>
        <w:ind w:firstLine="480" w:firstLineChars="200"/>
        <w:rPr>
          <w:rFonts w:cs="宋体"/>
        </w:rPr>
      </w:pPr>
      <w:r>
        <w:rPr>
          <w:rFonts w:hint="eastAsia" w:cs="宋体"/>
        </w:rPr>
        <w:t>服务质量投诉电话：</w:t>
      </w:r>
      <w:r>
        <w:rPr>
          <w:rFonts w:hint="eastAsia" w:cs="宋体"/>
          <w:lang w:val="zh-CN"/>
        </w:rPr>
        <w:t>028-84638556、84882960</w:t>
      </w:r>
      <w:r>
        <w:rPr>
          <w:rFonts w:hint="eastAsia" w:cs="宋体"/>
        </w:rPr>
        <w:t>转603</w:t>
      </w:r>
    </w:p>
    <w:p>
      <w:pPr>
        <w:pStyle w:val="43"/>
        <w:spacing w:line="520" w:lineRule="exact"/>
        <w:ind w:firstLine="480" w:firstLineChars="200"/>
        <w:rPr>
          <w:rFonts w:cs="宋体"/>
          <w:lang w:val="zh-CN"/>
        </w:rPr>
      </w:pPr>
      <w:r>
        <w:rPr>
          <w:rFonts w:hint="eastAsia" w:cs="宋体"/>
          <w:lang w:val="zh-CN"/>
        </w:rPr>
        <w:t>传    真：</w:t>
      </w:r>
      <w:r>
        <w:rPr>
          <w:rFonts w:hint="eastAsia" w:cs="宋体"/>
        </w:rPr>
        <w:t>028-</w:t>
      </w:r>
      <w:r>
        <w:rPr>
          <w:rFonts w:hint="eastAsia" w:cs="宋体"/>
          <w:lang w:val="zh-CN"/>
        </w:rPr>
        <w:t>83381</w:t>
      </w:r>
      <w:r>
        <w:rPr>
          <w:rFonts w:hint="eastAsia" w:cs="宋体"/>
        </w:rPr>
        <w:t>268</w:t>
      </w:r>
    </w:p>
    <w:p>
      <w:pPr>
        <w:pStyle w:val="43"/>
        <w:spacing w:line="520" w:lineRule="exact"/>
        <w:ind w:firstLine="480" w:firstLineChars="200"/>
        <w:rPr>
          <w:lang w:val="zh-CN"/>
        </w:rPr>
      </w:pPr>
      <w:r>
        <w:rPr>
          <w:rFonts w:hint="eastAsia" w:cs="宋体"/>
          <w:lang w:val="zh-CN"/>
        </w:rPr>
        <w:t>电子邮件：</w:t>
      </w:r>
      <w:r>
        <w:fldChar w:fldCharType="begin"/>
      </w:r>
      <w:r>
        <w:instrText xml:space="preserve"> HYPERLINK "mailto:scqxzb@163.com" </w:instrText>
      </w:r>
      <w:r>
        <w:fldChar w:fldCharType="separate"/>
      </w:r>
      <w:r>
        <w:rPr>
          <w:rFonts w:hint="eastAsia" w:cs="宋体"/>
          <w:lang w:val="zh-CN"/>
        </w:rPr>
        <w:t>scqxzb@163.com</w:t>
      </w:r>
      <w:r>
        <w:rPr>
          <w:rFonts w:hint="eastAsia" w:cs="宋体"/>
          <w:lang w:val="zh-CN"/>
        </w:rPr>
        <w:fldChar w:fldCharType="end"/>
      </w:r>
    </w:p>
    <w:p>
      <w:pPr>
        <w:pStyle w:val="48"/>
        <w:spacing w:before="120" w:after="120"/>
      </w:pPr>
      <w:r>
        <w:rPr>
          <w:rFonts w:hint="eastAsia"/>
        </w:rPr>
        <w:br w:type="page"/>
      </w:r>
      <w:bookmarkEnd w:id="8"/>
      <w:bookmarkEnd w:id="9"/>
      <w:bookmarkEnd w:id="10"/>
      <w:bookmarkEnd w:id="11"/>
      <w:bookmarkEnd w:id="12"/>
      <w:bookmarkStart w:id="14" w:name="_Toc5316"/>
      <w:bookmarkStart w:id="15" w:name="_Toc8252"/>
      <w:bookmarkStart w:id="16" w:name="_Toc26900"/>
      <w:r>
        <w:rPr>
          <w:rFonts w:hint="eastAsia" w:asciiTheme="minorEastAsia" w:hAnsiTheme="minorEastAsia" w:eastAsiaTheme="minorEastAsia" w:cstheme="minorEastAsia"/>
          <w:szCs w:val="36"/>
        </w:rPr>
        <w:t>磋商须知</w:t>
      </w:r>
      <w:bookmarkEnd w:id="14"/>
      <w:bookmarkEnd w:id="15"/>
      <w:bookmarkEnd w:id="16"/>
    </w:p>
    <w:p>
      <w:pPr>
        <w:pStyle w:val="35"/>
        <w:spacing w:before="120" w:beforeLines="50" w:after="120" w:afterLines="50"/>
        <w:ind w:firstLine="0" w:firstLineChars="0"/>
        <w:jc w:val="center"/>
        <w:rPr>
          <w:sz w:val="36"/>
          <w:szCs w:val="36"/>
        </w:rPr>
      </w:pPr>
      <w:bookmarkStart w:id="17" w:name="_Toc14542"/>
      <w:bookmarkStart w:id="18" w:name="_Toc30715"/>
      <w:bookmarkStart w:id="19" w:name="_Toc6754"/>
      <w:r>
        <w:rPr>
          <w:rFonts w:hint="eastAsia"/>
          <w:sz w:val="36"/>
          <w:szCs w:val="36"/>
        </w:rPr>
        <w:t>磋商须知前附表</w:t>
      </w:r>
      <w:bookmarkEnd w:id="17"/>
      <w:bookmarkEnd w:id="18"/>
      <w:bookmarkEnd w:id="19"/>
    </w:p>
    <w:tbl>
      <w:tblPr>
        <w:tblStyle w:val="25"/>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2020"/>
        <w:gridCol w:w="70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blHeader/>
          <w:jc w:val="center"/>
        </w:trPr>
        <w:tc>
          <w:tcPr>
            <w:tcW w:w="622" w:type="dxa"/>
            <w:vAlign w:val="center"/>
          </w:tcPr>
          <w:p>
            <w:pPr>
              <w:pStyle w:val="45"/>
              <w:ind w:left="24" w:leftChars="10" w:right="24" w:rightChars="10"/>
              <w:rPr>
                <w:rFonts w:cs="宋体"/>
                <w:b/>
                <w:bCs/>
                <w:szCs w:val="21"/>
                <w:lang w:val="zh-CN"/>
              </w:rPr>
            </w:pPr>
            <w:bookmarkStart w:id="20" w:name="_Toc327196262"/>
            <w:r>
              <w:rPr>
                <w:rFonts w:hint="eastAsia" w:cs="宋体"/>
                <w:b/>
                <w:bCs/>
                <w:szCs w:val="21"/>
                <w:lang w:val="zh-CN"/>
              </w:rPr>
              <w:t>序号</w:t>
            </w:r>
          </w:p>
        </w:tc>
        <w:tc>
          <w:tcPr>
            <w:tcW w:w="2020" w:type="dxa"/>
            <w:vAlign w:val="center"/>
          </w:tcPr>
          <w:p>
            <w:pPr>
              <w:pStyle w:val="45"/>
              <w:ind w:left="24" w:leftChars="10" w:right="24" w:rightChars="10"/>
              <w:rPr>
                <w:rFonts w:cs="宋体"/>
                <w:b/>
                <w:bCs/>
                <w:szCs w:val="21"/>
                <w:lang w:val="zh-CN"/>
              </w:rPr>
            </w:pPr>
            <w:r>
              <w:rPr>
                <w:rFonts w:hint="eastAsia" w:cs="宋体"/>
                <w:b/>
                <w:bCs/>
                <w:szCs w:val="21"/>
                <w:lang w:val="zh-CN"/>
              </w:rPr>
              <w:t>须知事项</w:t>
            </w:r>
          </w:p>
        </w:tc>
        <w:tc>
          <w:tcPr>
            <w:tcW w:w="7061" w:type="dxa"/>
            <w:vAlign w:val="center"/>
          </w:tcPr>
          <w:p>
            <w:pPr>
              <w:pStyle w:val="45"/>
              <w:ind w:left="24" w:leftChars="10" w:right="24" w:rightChars="10"/>
              <w:rPr>
                <w:rFonts w:cs="宋体"/>
                <w:b/>
                <w:bCs/>
                <w:szCs w:val="21"/>
                <w:lang w:val="zh-CN"/>
              </w:rPr>
            </w:pPr>
            <w:r>
              <w:rPr>
                <w:rFonts w:hint="eastAsia" w:cs="宋体"/>
                <w:b/>
                <w:bCs/>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报价要求</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lang w:val="zh-CN"/>
              </w:rPr>
            </w:pPr>
            <w:r>
              <w:rPr>
                <w:rFonts w:hint="eastAsia" w:cs="宋体"/>
                <w:szCs w:val="21"/>
                <w:lang w:val="zh-CN" w:eastAsia="zh-CN"/>
              </w:rPr>
              <w:t>以中国人民银行对商业银行的利息结算方式要求为</w:t>
            </w:r>
            <w:r>
              <w:rPr>
                <w:rFonts w:hint="eastAsia" w:cs="宋体"/>
                <w:szCs w:val="21"/>
                <w:lang w:val="en-US" w:eastAsia="zh-CN"/>
              </w:rPr>
              <w:t>基准价，在基准价的基础上按照资金存放综合利率上浮率进行报价，报价不得为负数，否则视为无效响应。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项目属性</w:t>
            </w:r>
          </w:p>
        </w:tc>
        <w:tc>
          <w:tcPr>
            <w:tcW w:w="7061" w:type="dxa"/>
            <w:vAlign w:val="center"/>
          </w:tcPr>
          <w:p>
            <w:pPr>
              <w:pStyle w:val="42"/>
              <w:ind w:left="24" w:leftChars="10" w:right="24" w:rightChars="10"/>
              <w:rPr>
                <w:rFonts w:cs="宋体"/>
                <w:szCs w:val="21"/>
              </w:rPr>
            </w:pPr>
            <w:r>
              <w:rPr>
                <w:rFonts w:hint="eastAsia" w:cs="宋体"/>
                <w:szCs w:val="21"/>
              </w:rPr>
              <w:t>本项目属于服务类采购项目。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本项目所属行业</w:t>
            </w:r>
          </w:p>
        </w:tc>
        <w:tc>
          <w:tcPr>
            <w:tcW w:w="7061" w:type="dxa"/>
            <w:vAlign w:val="center"/>
          </w:tcPr>
          <w:p>
            <w:pPr>
              <w:pStyle w:val="42"/>
              <w:ind w:left="24" w:leftChars="10" w:right="24" w:rightChars="10"/>
              <w:rPr>
                <w:rFonts w:cs="宋体"/>
                <w:szCs w:val="21"/>
              </w:rPr>
            </w:pPr>
            <w:r>
              <w:rPr>
                <w:rFonts w:hint="eastAsia" w:cs="宋体"/>
                <w:szCs w:val="21"/>
              </w:rPr>
              <w:t>本项目所属行业为</w:t>
            </w:r>
            <w:r>
              <w:rPr>
                <w:rFonts w:hint="eastAsia" w:cs="宋体"/>
                <w:szCs w:val="21"/>
                <w:lang w:val="zh-CN"/>
              </w:rPr>
              <w:t>其他未列明行业</w:t>
            </w: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本国</w:t>
            </w:r>
            <w:r>
              <w:rPr>
                <w:rFonts w:hint="eastAsia" w:cs="宋体"/>
                <w:szCs w:val="21"/>
              </w:rPr>
              <w:t>服务</w:t>
            </w:r>
          </w:p>
          <w:p>
            <w:pPr>
              <w:pStyle w:val="45"/>
              <w:ind w:left="24" w:leftChars="10" w:right="24" w:rightChars="10"/>
              <w:rPr>
                <w:rFonts w:cs="宋体"/>
                <w:szCs w:val="21"/>
                <w:lang w:val="zh-CN"/>
              </w:rPr>
            </w:pPr>
            <w:r>
              <w:rPr>
                <w:rFonts w:hint="eastAsia" w:cs="宋体"/>
                <w:szCs w:val="21"/>
                <w:lang w:val="zh-CN"/>
              </w:rPr>
              <w:t>(实质性要求)</w:t>
            </w:r>
          </w:p>
        </w:tc>
        <w:tc>
          <w:tcPr>
            <w:tcW w:w="7061" w:type="dxa"/>
            <w:vAlign w:val="center"/>
          </w:tcPr>
          <w:p>
            <w:pPr>
              <w:pStyle w:val="45"/>
              <w:ind w:left="24" w:leftChars="10" w:right="24" w:rightChars="10"/>
              <w:rPr>
                <w:rFonts w:cs="宋体"/>
                <w:szCs w:val="21"/>
                <w:lang w:val="zh-CN"/>
              </w:rPr>
            </w:pPr>
            <w:r>
              <w:rPr>
                <w:rFonts w:hint="eastAsia" w:cs="宋体"/>
                <w:szCs w:val="21"/>
              </w:rPr>
              <w:t>参照</w:t>
            </w:r>
            <w:r>
              <w:rPr>
                <w:rFonts w:hint="eastAsia" w:cs="宋体"/>
                <w:szCs w:val="21"/>
                <w:lang w:val="zh-CN"/>
              </w:rPr>
              <w:t>《中华人民共和国政府采购法》第十条的规定，本项目采购本国</w:t>
            </w:r>
            <w:r>
              <w:rPr>
                <w:rFonts w:hint="eastAsia" w:cs="宋体"/>
                <w:szCs w:val="21"/>
              </w:rPr>
              <w:t>服务</w:t>
            </w:r>
            <w:r>
              <w:rPr>
                <w:rFonts w:hint="eastAsia" w:cs="宋体"/>
                <w:szCs w:val="21"/>
                <w:lang w:val="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采购方式</w:t>
            </w:r>
          </w:p>
        </w:tc>
        <w:tc>
          <w:tcPr>
            <w:tcW w:w="7061" w:type="dxa"/>
            <w:vAlign w:val="center"/>
          </w:tcPr>
          <w:p>
            <w:pPr>
              <w:pStyle w:val="42"/>
              <w:ind w:left="24" w:leftChars="10" w:right="24" w:rightChars="10"/>
              <w:rPr>
                <w:rFonts w:cs="宋体"/>
                <w:szCs w:val="21"/>
              </w:rPr>
            </w:pPr>
            <w:r>
              <w:rPr>
                <w:rFonts w:hint="eastAsia" w:cs="宋体"/>
                <w:szCs w:val="21"/>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评审</w:t>
            </w:r>
            <w:r>
              <w:rPr>
                <w:rFonts w:hint="eastAsia" w:cs="宋体"/>
                <w:szCs w:val="21"/>
                <w:lang w:val="zh-CN"/>
              </w:rPr>
              <w:t>方法</w:t>
            </w:r>
          </w:p>
        </w:tc>
        <w:tc>
          <w:tcPr>
            <w:tcW w:w="7061" w:type="dxa"/>
            <w:vAlign w:val="center"/>
          </w:tcPr>
          <w:p>
            <w:pPr>
              <w:pStyle w:val="42"/>
              <w:ind w:left="24" w:leftChars="10" w:right="24" w:rightChars="10"/>
              <w:rPr>
                <w:rFonts w:cs="宋体"/>
                <w:szCs w:val="21"/>
                <w:lang w:val="zh-CN"/>
              </w:rPr>
            </w:pPr>
            <w:r>
              <w:rPr>
                <w:rFonts w:hint="eastAsia" w:cs="宋体"/>
                <w:szCs w:val="21"/>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竞争范围</w:t>
            </w:r>
          </w:p>
        </w:tc>
        <w:tc>
          <w:tcPr>
            <w:tcW w:w="7061" w:type="dxa"/>
            <w:vAlign w:val="center"/>
          </w:tcPr>
          <w:p>
            <w:pPr>
              <w:pStyle w:val="42"/>
              <w:ind w:left="24" w:leftChars="10" w:right="24" w:rightChars="10"/>
              <w:rPr>
                <w:rFonts w:cs="宋体"/>
                <w:szCs w:val="21"/>
                <w:lang w:val="zh-CN"/>
              </w:rPr>
            </w:pPr>
            <w:r>
              <w:rPr>
                <w:rFonts w:hint="eastAsia" w:cs="宋体"/>
                <w:szCs w:val="21"/>
              </w:rPr>
              <w:t>公开竞争。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合同定价方式</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固定</w:t>
            </w:r>
            <w:r>
              <w:rPr>
                <w:rFonts w:hint="eastAsia" w:cs="宋体"/>
                <w:szCs w:val="21"/>
                <w:lang w:val="en-US" w:eastAsia="zh-CN"/>
              </w:rPr>
              <w:t>上浮率</w:t>
            </w: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7"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合同分包</w:t>
            </w:r>
            <w:r>
              <w:rPr>
                <w:rFonts w:hint="eastAsia" w:cs="宋体"/>
                <w:szCs w:val="21"/>
              </w:rPr>
              <w:t>、转包</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numPr>
                <w:ilvl w:val="0"/>
                <w:numId w:val="9"/>
              </w:numPr>
              <w:tabs>
                <w:tab w:val="clear" w:pos="312"/>
              </w:tabs>
              <w:ind w:left="24" w:leftChars="10" w:right="24" w:rightChars="10"/>
              <w:rPr>
                <w:rFonts w:cs="宋体"/>
                <w:szCs w:val="21"/>
              </w:rPr>
            </w:pPr>
            <w:r>
              <w:rPr>
                <w:rFonts w:hint="eastAsia" w:cs="宋体"/>
                <w:szCs w:val="21"/>
              </w:rPr>
              <w:t>本项目不允许供应商以合同分包形式进行磋商。</w:t>
            </w:r>
          </w:p>
          <w:p>
            <w:pPr>
              <w:pStyle w:val="42"/>
              <w:ind w:left="24" w:leftChars="10" w:right="24" w:rightChars="10"/>
              <w:rPr>
                <w:rFonts w:cs="宋体"/>
                <w:szCs w:val="21"/>
              </w:rPr>
            </w:pPr>
            <w:r>
              <w:rPr>
                <w:rFonts w:hint="eastAsia" w:cs="宋体"/>
                <w:szCs w:val="21"/>
              </w:rPr>
              <w:t>2.本项目禁止成交供应商将任何采购合同义务转包。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联合体磋商</w:t>
            </w:r>
          </w:p>
          <w:p>
            <w:pPr>
              <w:pStyle w:val="45"/>
              <w:ind w:left="24" w:leftChars="10" w:right="24" w:rightChars="10"/>
              <w:rPr>
                <w:rFonts w:cs="宋体"/>
                <w:szCs w:val="21"/>
                <w:lang w:val="zh-CN"/>
              </w:rPr>
            </w:pPr>
            <w:r>
              <w:rPr>
                <w:rFonts w:hint="eastAsia" w:cs="宋体"/>
                <w:szCs w:val="21"/>
              </w:rPr>
              <w:t>(实质性要求)</w:t>
            </w:r>
          </w:p>
        </w:tc>
        <w:tc>
          <w:tcPr>
            <w:tcW w:w="7061" w:type="dxa"/>
            <w:vAlign w:val="center"/>
          </w:tcPr>
          <w:p>
            <w:pPr>
              <w:pStyle w:val="42"/>
              <w:ind w:left="24" w:leftChars="10" w:right="24" w:rightChars="10"/>
              <w:rPr>
                <w:rFonts w:cs="宋体"/>
                <w:szCs w:val="21"/>
                <w:lang w:val="zh-CN"/>
              </w:rPr>
            </w:pPr>
            <w:r>
              <w:rPr>
                <w:rFonts w:hint="eastAsia" w:cs="宋体"/>
                <w:szCs w:val="21"/>
              </w:rPr>
              <w:t>本项目不接受联合体参加本次采购活动。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磋商文件是否能够详细列明采购标的的技术、服务要求。</w:t>
            </w:r>
          </w:p>
        </w:tc>
        <w:tc>
          <w:tcPr>
            <w:tcW w:w="7061" w:type="dxa"/>
            <w:vAlign w:val="center"/>
          </w:tcPr>
          <w:p>
            <w:pPr>
              <w:pStyle w:val="42"/>
              <w:ind w:left="24" w:leftChars="10" w:right="24" w:rightChars="10"/>
              <w:rPr>
                <w:rFonts w:cs="宋体"/>
                <w:szCs w:val="21"/>
              </w:rPr>
            </w:pPr>
            <w:r>
              <w:rPr>
                <w:rFonts w:hint="eastAsia" w:cs="宋体"/>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现场考察、标前</w:t>
            </w:r>
          </w:p>
          <w:p>
            <w:pPr>
              <w:pStyle w:val="45"/>
              <w:ind w:left="24" w:leftChars="10" w:right="24" w:rightChars="10"/>
              <w:rPr>
                <w:rFonts w:cs="宋体"/>
                <w:szCs w:val="21"/>
                <w:lang w:val="zh-CN"/>
              </w:rPr>
            </w:pPr>
            <w:r>
              <w:rPr>
                <w:rFonts w:hint="eastAsia" w:cs="宋体"/>
                <w:szCs w:val="21"/>
              </w:rPr>
              <w:t>答疑会</w:t>
            </w:r>
          </w:p>
        </w:tc>
        <w:tc>
          <w:tcPr>
            <w:tcW w:w="7061" w:type="dxa"/>
            <w:vAlign w:val="center"/>
          </w:tcPr>
          <w:p>
            <w:pPr>
              <w:pStyle w:val="42"/>
              <w:ind w:left="24" w:leftChars="10" w:right="24" w:rightChars="10"/>
              <w:rPr>
                <w:rFonts w:cs="宋体"/>
                <w:szCs w:val="21"/>
              </w:rPr>
            </w:pPr>
            <w:r>
              <w:rPr>
                <w:rFonts w:hint="eastAsia" w:cs="宋体"/>
                <w:szCs w:val="21"/>
              </w:rPr>
              <w:t>1.采购人、采购代理机构可以视采购项目的具体情况，组织供应商进行现场考察或磋商前答疑会，但不得单独或分别组织只有一个供应商参加的现场考察和答疑会。若组织答疑会和现场考察以采购代理机构通知为准。</w:t>
            </w:r>
          </w:p>
          <w:p>
            <w:pPr>
              <w:pStyle w:val="42"/>
              <w:ind w:left="24" w:leftChars="10" w:right="24" w:rightChars="10"/>
              <w:rPr>
                <w:rFonts w:cs="宋体"/>
                <w:szCs w:val="21"/>
              </w:rPr>
            </w:pPr>
            <w:r>
              <w:rPr>
                <w:rFonts w:hint="eastAsia" w:cs="宋体"/>
                <w:szCs w:val="21"/>
              </w:rPr>
              <w:t>2.供应商参加答疑会和现场考察所发生的一切费用由供应商自行承担。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磋商保证金</w:t>
            </w:r>
          </w:p>
        </w:tc>
        <w:tc>
          <w:tcPr>
            <w:tcW w:w="7061" w:type="dxa"/>
            <w:vAlign w:val="center"/>
          </w:tcPr>
          <w:p>
            <w:pPr>
              <w:pStyle w:val="42"/>
              <w:ind w:left="24" w:leftChars="10" w:right="24" w:rightChars="10"/>
              <w:rPr>
                <w:rFonts w:hint="default" w:eastAsia="宋体" w:cs="宋体"/>
                <w:szCs w:val="21"/>
                <w:lang w:val="en-US" w:eastAsia="zh-CN"/>
              </w:rPr>
            </w:pPr>
            <w:r>
              <w:rPr>
                <w:rFonts w:hint="eastAsia" w:cs="宋体"/>
                <w:szCs w:val="21"/>
                <w:lang w:val="en-US" w:eastAsia="zh-CN"/>
              </w:rPr>
              <w:t>本项目不收取磋商保证金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低于成本价不正当竞争预防措施</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参照四川省财政厅关于延长《四川省政府采购评审工作规程(修订)》有效期的通知(川财采〔2022〕7号)、《四川省政府采购评审工作规程(修订)》的通知(川财采〔2016〕53号)第三十一条规定如下：</w:t>
            </w:r>
          </w:p>
          <w:p>
            <w:pPr>
              <w:pStyle w:val="42"/>
              <w:ind w:left="24" w:leftChars="10" w:right="24" w:rightChars="10"/>
              <w:rPr>
                <w:rFonts w:cs="宋体"/>
                <w:szCs w:val="21"/>
              </w:rPr>
            </w:pPr>
            <w:r>
              <w:rPr>
                <w:rFonts w:hint="eastAsia" w:cs="宋体"/>
                <w:szCs w:val="21"/>
              </w:rPr>
              <w:t>1.</w:t>
            </w:r>
            <w:r>
              <w:rPr>
                <w:rFonts w:hint="eastAsia" w:cs="宋体"/>
                <w:szCs w:val="21"/>
                <w:shd w:val="clear" w:color="auto" w:fill="FFFFFF"/>
              </w:rPr>
              <w:t>在评审过程中</w:t>
            </w:r>
            <w:r>
              <w:rPr>
                <w:rFonts w:hint="eastAsia" w:cs="宋体"/>
                <w:szCs w:val="21"/>
              </w:rPr>
              <w:t>，</w:t>
            </w:r>
            <w:r>
              <w:rPr>
                <w:rFonts w:hint="eastAsia" w:cs="宋体"/>
                <w:szCs w:val="21"/>
                <w:shd w:val="clear" w:color="auto" w:fill="FFFFFF"/>
              </w:rPr>
              <w:t>供应商报价低于采购预算50%或者低于其他有效供应商报价算术平均价40%，有可能影响产品质量或者不能诚信履约的，评审委员会应当要求其在评审现场合理的时间内提供成本构成书面说明，并提交相关证明材料</w:t>
            </w:r>
            <w:r>
              <w:rPr>
                <w:rFonts w:hint="eastAsia" w:cs="宋体"/>
                <w:szCs w:val="21"/>
              </w:rPr>
              <w:t>。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pPr>
              <w:pStyle w:val="42"/>
              <w:ind w:left="24" w:leftChars="10" w:right="24" w:rightChars="10"/>
              <w:rPr>
                <w:rFonts w:cs="宋体"/>
                <w:szCs w:val="21"/>
              </w:rPr>
            </w:pPr>
            <w:r>
              <w:rPr>
                <w:rFonts w:hint="eastAsia" w:cs="宋体"/>
                <w:szCs w:val="21"/>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2"/>
              <w:ind w:left="24" w:leftChars="10" w:right="24" w:rightChars="10"/>
              <w:rPr>
                <w:rFonts w:cs="宋体"/>
                <w:szCs w:val="21"/>
              </w:rPr>
            </w:pPr>
            <w:r>
              <w:rPr>
                <w:rFonts w:hint="eastAsia" w:cs="宋体"/>
                <w:szCs w:val="21"/>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节能产品、环境标志产品、无线局域网产品采购政策</w:t>
            </w:r>
          </w:p>
        </w:tc>
        <w:tc>
          <w:tcPr>
            <w:tcW w:w="7061" w:type="dxa"/>
            <w:vAlign w:val="center"/>
          </w:tcPr>
          <w:p>
            <w:pPr>
              <w:pStyle w:val="42"/>
              <w:ind w:left="24" w:leftChars="10" w:right="24" w:rightChars="10"/>
              <w:rPr>
                <w:rFonts w:cs="宋体"/>
                <w:szCs w:val="21"/>
              </w:rPr>
            </w:pPr>
            <w:r>
              <w:rPr>
                <w:rFonts w:hint="eastAsia" w:cs="宋体"/>
                <w:szCs w:val="21"/>
              </w:rPr>
              <w:t>本项目不涉及节能产品、环境标志产品、无线局域网产品、商品包装、快递包装，故不在采购文件中体现相关政策。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品牌或者供应商</w:t>
            </w:r>
          </w:p>
          <w:p>
            <w:pPr>
              <w:pStyle w:val="45"/>
              <w:ind w:left="24" w:leftChars="10" w:right="24" w:rightChars="10"/>
              <w:rPr>
                <w:rFonts w:cs="宋体"/>
                <w:szCs w:val="21"/>
              </w:rPr>
            </w:pPr>
            <w:r>
              <w:rPr>
                <w:rFonts w:hint="eastAsia" w:cs="宋体"/>
                <w:szCs w:val="21"/>
              </w:rPr>
              <w:t>(如涉及)</w:t>
            </w:r>
          </w:p>
        </w:tc>
        <w:tc>
          <w:tcPr>
            <w:tcW w:w="7061" w:type="dxa"/>
            <w:vAlign w:val="center"/>
          </w:tcPr>
          <w:p>
            <w:pPr>
              <w:pStyle w:val="42"/>
              <w:ind w:left="24" w:leftChars="10" w:right="24" w:rightChars="10"/>
              <w:rPr>
                <w:rFonts w:cs="宋体"/>
                <w:szCs w:val="21"/>
              </w:rPr>
            </w:pPr>
            <w:r>
              <w:rPr>
                <w:rFonts w:hint="eastAsia" w:cs="宋体"/>
                <w:szCs w:val="21"/>
              </w:rPr>
              <w:t>若采购文件涉及品牌或者供应商，其目的是为了准确清楚说明采购项目的技术标准和要求，其意思表示为“参照或相当于”该品牌或者供应商，其品牌或供应商具有可替代性。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其他强制性规定</w:t>
            </w:r>
          </w:p>
          <w:p>
            <w:pPr>
              <w:pStyle w:val="45"/>
              <w:ind w:left="24" w:leftChars="10" w:right="24" w:rightChars="10"/>
              <w:rPr>
                <w:rFonts w:cs="宋体"/>
                <w:szCs w:val="21"/>
              </w:rPr>
            </w:pPr>
            <w:r>
              <w:rPr>
                <w:rFonts w:hint="eastAsia" w:cs="宋体"/>
                <w:szCs w:val="21"/>
              </w:rPr>
              <w:t>(如涉及时作为实质性要求)</w:t>
            </w:r>
          </w:p>
        </w:tc>
        <w:tc>
          <w:tcPr>
            <w:tcW w:w="7061" w:type="dxa"/>
            <w:vAlign w:val="center"/>
          </w:tcPr>
          <w:p>
            <w:pPr>
              <w:pStyle w:val="42"/>
              <w:ind w:left="24" w:leftChars="10" w:right="24" w:rightChars="10"/>
              <w:rPr>
                <w:rFonts w:cs="宋体"/>
                <w:szCs w:val="21"/>
              </w:rPr>
            </w:pPr>
            <w:r>
              <w:rPr>
                <w:rFonts w:hint="eastAsia" w:cs="宋体"/>
                <w:szCs w:val="21"/>
              </w:rPr>
              <w:t>国家或行业主管部门对采购产品的技术标准、质量标准和资格资质条件等有强制性规定的，必须符合其要求。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lang w:val="zh-CN"/>
              </w:rPr>
              <w:t>评</w:t>
            </w:r>
            <w:r>
              <w:rPr>
                <w:rFonts w:hint="eastAsia" w:cs="宋体"/>
                <w:szCs w:val="21"/>
              </w:rPr>
              <w:t>审结果</w:t>
            </w:r>
            <w:r>
              <w:rPr>
                <w:rFonts w:hint="eastAsia" w:cs="宋体"/>
                <w:szCs w:val="21"/>
                <w:lang w:val="zh-CN"/>
              </w:rPr>
              <w:t>的公告</w:t>
            </w:r>
          </w:p>
        </w:tc>
        <w:tc>
          <w:tcPr>
            <w:tcW w:w="7061" w:type="dxa"/>
            <w:vAlign w:val="center"/>
          </w:tcPr>
          <w:p>
            <w:pPr>
              <w:pStyle w:val="42"/>
              <w:ind w:left="24" w:leftChars="10" w:right="24" w:rightChars="10"/>
              <w:rPr>
                <w:rFonts w:cs="宋体"/>
                <w:szCs w:val="21"/>
              </w:rPr>
            </w:pPr>
            <w:r>
              <w:rPr>
                <w:rFonts w:hint="eastAsia" w:cs="宋体"/>
                <w:szCs w:val="21"/>
              </w:rPr>
              <w:t>评审结果将在</w:t>
            </w:r>
            <w:r>
              <w:rPr>
                <w:rFonts w:hint="eastAsia" w:cs="宋体"/>
                <w:szCs w:val="21"/>
                <w:lang w:eastAsia="zh-CN"/>
              </w:rPr>
              <w:t>“中国招标投标公共服务平台”</w:t>
            </w:r>
            <w:r>
              <w:rPr>
                <w:rFonts w:hint="eastAsia" w:cs="宋体"/>
                <w:szCs w:val="21"/>
              </w:rPr>
              <w:t>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成交通知书领取</w:t>
            </w:r>
          </w:p>
        </w:tc>
        <w:tc>
          <w:tcPr>
            <w:tcW w:w="7061" w:type="dxa"/>
            <w:vAlign w:val="center"/>
          </w:tcPr>
          <w:p>
            <w:pPr>
              <w:pStyle w:val="42"/>
              <w:ind w:left="24" w:leftChars="10" w:right="24" w:rightChars="10"/>
              <w:rPr>
                <w:rFonts w:cs="宋体"/>
                <w:szCs w:val="21"/>
                <w:lang w:val="zh-CN"/>
              </w:rPr>
            </w:pPr>
            <w:r>
              <w:rPr>
                <w:rFonts w:hint="eastAsia" w:cs="宋体"/>
                <w:szCs w:val="21"/>
              </w:rPr>
              <w:t>采购代理机构在成交供应商确定后2个工作日内，在</w:t>
            </w:r>
            <w:r>
              <w:rPr>
                <w:rFonts w:hint="eastAsia" w:cs="宋体"/>
                <w:szCs w:val="21"/>
                <w:lang w:eastAsia="zh-CN"/>
              </w:rPr>
              <w:t>“中国招标投标公共服务平台”</w:t>
            </w:r>
            <w:r>
              <w:rPr>
                <w:rFonts w:hint="eastAsia" w:cs="宋体"/>
                <w:szCs w:val="21"/>
              </w:rPr>
              <w:t>发布成交公告，同时采购代理机构将成交通知书发至成交供应商。</w:t>
            </w:r>
          </w:p>
          <w:p>
            <w:pPr>
              <w:pStyle w:val="42"/>
              <w:ind w:left="24" w:leftChars="10" w:right="24" w:rightChars="10"/>
              <w:rPr>
                <w:rFonts w:cs="宋体"/>
                <w:szCs w:val="21"/>
              </w:rPr>
            </w:pPr>
            <w:r>
              <w:rPr>
                <w:rFonts w:hint="eastAsia" w:cs="宋体"/>
                <w:szCs w:val="21"/>
              </w:rPr>
              <w:t>联系人：张虹</w:t>
            </w:r>
          </w:p>
          <w:p>
            <w:pPr>
              <w:pStyle w:val="42"/>
              <w:ind w:left="24" w:leftChars="10" w:right="24" w:rightChars="10"/>
              <w:rPr>
                <w:rFonts w:cs="宋体"/>
                <w:szCs w:val="21"/>
              </w:rPr>
            </w:pPr>
            <w:r>
              <w:rPr>
                <w:rFonts w:hint="eastAsia" w:cs="宋体"/>
                <w:szCs w:val="21"/>
                <w:lang w:val="zh-CN"/>
              </w:rPr>
              <w:t>联系电话：</w:t>
            </w:r>
            <w:r>
              <w:rPr>
                <w:rFonts w:hint="eastAsia" w:cs="宋体"/>
                <w:szCs w:val="21"/>
              </w:rPr>
              <w:t>028-61375575、62600820、62630990转601或602</w:t>
            </w:r>
          </w:p>
          <w:p>
            <w:pPr>
              <w:pStyle w:val="42"/>
              <w:ind w:left="24" w:leftChars="10" w:right="24" w:rightChars="10"/>
              <w:rPr>
                <w:rFonts w:cs="宋体"/>
                <w:szCs w:val="21"/>
              </w:rPr>
            </w:pPr>
            <w:r>
              <w:rPr>
                <w:rFonts w:hint="eastAsia" w:cs="宋体"/>
                <w:szCs w:val="21"/>
                <w:lang w:val="zh-CN"/>
              </w:rPr>
              <w:t>地址：成都市高新区吉庆三路333号蜀都中心二期一号楼一单元401</w:t>
            </w:r>
            <w:r>
              <w:rPr>
                <w:rFonts w:hint="eastAsia" w:cs="宋体"/>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68"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rPr>
              <w:t>招标代理</w:t>
            </w:r>
            <w:r>
              <w:rPr>
                <w:rFonts w:hint="eastAsia" w:cs="宋体"/>
                <w:szCs w:val="21"/>
                <w:lang w:val="zh-CN"/>
              </w:rPr>
              <w:t>服务费</w:t>
            </w:r>
          </w:p>
        </w:tc>
        <w:tc>
          <w:tcPr>
            <w:tcW w:w="7061" w:type="dxa"/>
            <w:vAlign w:val="center"/>
          </w:tcPr>
          <w:p>
            <w:pPr>
              <w:pStyle w:val="42"/>
              <w:ind w:left="24" w:leftChars="10" w:right="24" w:rightChars="10"/>
              <w:rPr>
                <w:rFonts w:hint="eastAsia" w:cs="宋体"/>
                <w:szCs w:val="21"/>
                <w:lang w:val="en-US" w:eastAsia="zh-CN"/>
              </w:rPr>
            </w:pPr>
            <w:r>
              <w:rPr>
                <w:rFonts w:hint="eastAsia" w:cs="宋体"/>
                <w:szCs w:val="21"/>
                <w:lang w:val="en-US" w:eastAsia="zh-CN"/>
              </w:rPr>
              <w:t>1.定额计取：按照成本支出加合理利润的原则确定，本项目定额计取招标代理服务费3000元。</w:t>
            </w:r>
          </w:p>
          <w:p>
            <w:pPr>
              <w:pStyle w:val="42"/>
              <w:ind w:left="24" w:leftChars="10" w:right="24" w:rightChars="10"/>
              <w:rPr>
                <w:rFonts w:hint="eastAsia" w:cs="宋体"/>
                <w:szCs w:val="21"/>
              </w:rPr>
            </w:pPr>
            <w:r>
              <w:rPr>
                <w:rFonts w:hint="eastAsia" w:cs="宋体"/>
                <w:szCs w:val="21"/>
                <w:lang w:val="en-US" w:eastAsia="zh-CN"/>
              </w:rPr>
              <w:t>2.收取方式：成交</w:t>
            </w:r>
            <w:r>
              <w:rPr>
                <w:rFonts w:hint="eastAsia" w:cs="宋体"/>
                <w:szCs w:val="21"/>
                <w:lang w:val="zh-CN" w:eastAsia="zh-CN"/>
              </w:rPr>
              <w:t>通知发出后二个工作日内由</w:t>
            </w:r>
            <w:r>
              <w:rPr>
                <w:rFonts w:hint="eastAsia" w:cs="宋体"/>
                <w:szCs w:val="21"/>
                <w:lang w:val="en-US" w:eastAsia="zh-CN"/>
              </w:rPr>
              <w:t>成交供应商</w:t>
            </w:r>
            <w:r>
              <w:rPr>
                <w:rFonts w:hint="eastAsia" w:cs="宋体"/>
                <w:szCs w:val="21"/>
                <w:lang w:val="zh-CN" w:eastAsia="zh-CN"/>
              </w:rPr>
              <w:t>一次性支付</w:t>
            </w:r>
            <w:r>
              <w:rPr>
                <w:rFonts w:hint="eastAsia" w:cs="宋体"/>
                <w:szCs w:val="21"/>
                <w:lang w:val="en-US" w:eastAsia="zh-CN"/>
              </w:rPr>
              <w:t>至采购代理机构。</w:t>
            </w:r>
          </w:p>
          <w:p>
            <w:pPr>
              <w:pStyle w:val="42"/>
              <w:ind w:left="24" w:leftChars="10" w:right="24" w:rightChars="10"/>
              <w:rPr>
                <w:rFonts w:hint="eastAsia" w:cs="宋体"/>
                <w:szCs w:val="21"/>
              </w:rPr>
            </w:pPr>
            <w:r>
              <w:rPr>
                <w:rFonts w:hint="eastAsia" w:cs="宋体"/>
                <w:szCs w:val="21"/>
                <w:lang w:val="en-US" w:eastAsia="zh-CN"/>
              </w:rPr>
              <w:t>3.</w:t>
            </w:r>
            <w:r>
              <w:rPr>
                <w:rFonts w:hint="eastAsia" w:cs="宋体"/>
                <w:szCs w:val="21"/>
              </w:rPr>
              <w:t>账</w:t>
            </w:r>
            <w:r>
              <w:rPr>
                <w:rFonts w:hint="eastAsia" w:cs="宋体"/>
                <w:szCs w:val="21"/>
                <w:lang w:val="en-US" w:eastAsia="zh-CN"/>
              </w:rPr>
              <w:t>户</w:t>
            </w:r>
            <w:r>
              <w:rPr>
                <w:rFonts w:hint="eastAsia" w:cs="宋体"/>
                <w:szCs w:val="21"/>
              </w:rPr>
              <w:t>信息</w:t>
            </w:r>
          </w:p>
          <w:p>
            <w:pPr>
              <w:pStyle w:val="42"/>
              <w:ind w:left="24" w:leftChars="10" w:right="24" w:rightChars="10"/>
              <w:rPr>
                <w:rFonts w:hint="eastAsia" w:cs="宋体"/>
                <w:szCs w:val="21"/>
                <w:lang w:val="zh-CN"/>
              </w:rPr>
            </w:pPr>
            <w:r>
              <w:rPr>
                <w:rFonts w:hint="eastAsia" w:cs="宋体"/>
                <w:szCs w:val="21"/>
                <w:lang w:val="zh-CN"/>
              </w:rPr>
              <w:t>收款单位：四川乾新招投标代理有限公司</w:t>
            </w:r>
          </w:p>
          <w:p>
            <w:pPr>
              <w:pStyle w:val="42"/>
              <w:ind w:left="24" w:leftChars="10" w:right="24" w:rightChars="10"/>
              <w:rPr>
                <w:rFonts w:hint="eastAsia" w:cs="宋体"/>
                <w:szCs w:val="21"/>
                <w:lang w:val="zh-CN"/>
              </w:rPr>
            </w:pPr>
            <w:r>
              <w:rPr>
                <w:rFonts w:hint="eastAsia" w:cs="宋体"/>
                <w:szCs w:val="21"/>
                <w:lang w:val="zh-CN"/>
              </w:rPr>
              <w:t>开 户 行：招商银行成都分行天府大道支行</w:t>
            </w:r>
          </w:p>
          <w:p>
            <w:pPr>
              <w:pStyle w:val="42"/>
              <w:ind w:left="24" w:leftChars="10" w:right="24" w:rightChars="10"/>
              <w:rPr>
                <w:rFonts w:cs="宋体"/>
                <w:szCs w:val="21"/>
              </w:rPr>
            </w:pPr>
            <w:r>
              <w:rPr>
                <w:rFonts w:hint="eastAsia" w:cs="宋体"/>
                <w:szCs w:val="21"/>
                <w:lang w:val="zh-CN"/>
              </w:rPr>
              <w:t>银行账号：1289 0768 1810 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履约保证金</w:t>
            </w:r>
          </w:p>
        </w:tc>
        <w:tc>
          <w:tcPr>
            <w:tcW w:w="7061" w:type="dxa"/>
            <w:vAlign w:val="center"/>
          </w:tcPr>
          <w:p>
            <w:pPr>
              <w:pStyle w:val="42"/>
              <w:ind w:left="24" w:leftChars="10" w:right="24" w:rightChars="10"/>
              <w:rPr>
                <w:rFonts w:cs="宋体"/>
                <w:szCs w:val="21"/>
                <w:lang w:val="zh-CN"/>
              </w:rPr>
            </w:pPr>
            <w:r>
              <w:rPr>
                <w:rFonts w:hint="eastAsia" w:cs="宋体"/>
                <w:szCs w:val="21"/>
                <w:lang w:val="en-US" w:eastAsia="zh-CN"/>
              </w:rPr>
              <w:t>本项目不收取履约保证金</w:t>
            </w: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供应商询问</w:t>
            </w:r>
          </w:p>
        </w:tc>
        <w:tc>
          <w:tcPr>
            <w:tcW w:w="7061" w:type="dxa"/>
          </w:tcPr>
          <w:p>
            <w:pPr>
              <w:pStyle w:val="42"/>
              <w:numPr>
                <w:ilvl w:val="0"/>
                <w:numId w:val="10"/>
              </w:numPr>
              <w:tabs>
                <w:tab w:val="clear" w:pos="312"/>
              </w:tabs>
              <w:ind w:left="24" w:leftChars="10" w:right="24" w:rightChars="10"/>
              <w:rPr>
                <w:rFonts w:cs="宋体"/>
                <w:szCs w:val="21"/>
              </w:rPr>
            </w:pPr>
            <w:r>
              <w:rPr>
                <w:rFonts w:hint="eastAsia" w:cs="宋体"/>
                <w:szCs w:val="21"/>
              </w:rPr>
              <w:t>根据委托代理协议约定，采购人负责对采购文件技术参数部分的询问解释，四川乾新招投标代理有限公司负责答复，四川乾新招投标代理有限公司负责采购文件技术参数部分以外的询问解释和答复。</w:t>
            </w:r>
          </w:p>
          <w:p>
            <w:pPr>
              <w:pStyle w:val="42"/>
              <w:numPr>
                <w:ilvl w:val="0"/>
                <w:numId w:val="10"/>
              </w:numPr>
              <w:tabs>
                <w:tab w:val="clear" w:pos="312"/>
              </w:tabs>
              <w:ind w:left="24" w:leftChars="10" w:right="24" w:rightChars="10"/>
              <w:rPr>
                <w:rFonts w:cs="宋体"/>
                <w:szCs w:val="21"/>
              </w:rPr>
            </w:pPr>
            <w:r>
              <w:rPr>
                <w:rFonts w:hint="eastAsia" w:cs="宋体"/>
                <w:szCs w:val="21"/>
              </w:rPr>
              <w:t>询问内容不得涉及评审秘密、国家机密和商业秘密等保密内容。</w:t>
            </w:r>
          </w:p>
          <w:p>
            <w:pPr>
              <w:pStyle w:val="42"/>
              <w:numPr>
                <w:ilvl w:val="0"/>
                <w:numId w:val="10"/>
              </w:numPr>
              <w:tabs>
                <w:tab w:val="clear" w:pos="312"/>
              </w:tabs>
              <w:ind w:left="24" w:leftChars="10" w:right="24" w:rightChars="10"/>
              <w:rPr>
                <w:rFonts w:cs="宋体"/>
                <w:szCs w:val="21"/>
              </w:rPr>
            </w:pPr>
            <w:r>
              <w:rPr>
                <w:rFonts w:hint="eastAsia" w:cs="宋体"/>
                <w:szCs w:val="21"/>
              </w:rPr>
              <w:t>询问方式：询问可以采用邮寄、在线、现场书面或电子邮件等方式向四川乾新招投标代理有限公司提出；询问必须提供询问人基本信息(包含具体询问内容、询问人名称或姓名、联系人及联系电话、电子邮件)。</w:t>
            </w:r>
          </w:p>
          <w:p>
            <w:pPr>
              <w:pStyle w:val="42"/>
              <w:ind w:left="24" w:leftChars="10" w:right="24" w:rightChars="10"/>
              <w:rPr>
                <w:rFonts w:cs="宋体"/>
                <w:szCs w:val="21"/>
              </w:rPr>
            </w:pPr>
            <w:r>
              <w:rPr>
                <w:rFonts w:hint="eastAsia" w:cs="宋体"/>
                <w:szCs w:val="21"/>
                <w:lang w:val="zh-CN"/>
              </w:rPr>
              <w:t>联系人：</w:t>
            </w:r>
            <w:r>
              <w:rPr>
                <w:rFonts w:hint="eastAsia" w:cs="宋体"/>
                <w:szCs w:val="21"/>
              </w:rPr>
              <w:t>王朝钢</w:t>
            </w:r>
          </w:p>
          <w:p>
            <w:pPr>
              <w:pStyle w:val="42"/>
              <w:ind w:left="24" w:leftChars="10" w:right="24" w:rightChars="10"/>
              <w:rPr>
                <w:rFonts w:cs="宋体"/>
                <w:szCs w:val="21"/>
              </w:rPr>
            </w:pPr>
            <w:r>
              <w:rPr>
                <w:rFonts w:hint="eastAsia" w:cs="宋体"/>
                <w:szCs w:val="21"/>
                <w:lang w:val="zh-CN"/>
              </w:rPr>
              <w:t>联系电话：</w:t>
            </w:r>
            <w:r>
              <w:rPr>
                <w:rFonts w:hint="eastAsia" w:cs="宋体"/>
                <w:szCs w:val="21"/>
              </w:rPr>
              <w:t>028-</w:t>
            </w:r>
            <w:r>
              <w:rPr>
                <w:rFonts w:hint="eastAsia" w:cs="宋体"/>
                <w:szCs w:val="21"/>
                <w:lang w:val="zh-CN"/>
              </w:rPr>
              <w:t>84638556、84882960</w:t>
            </w:r>
            <w:r>
              <w:rPr>
                <w:rFonts w:hint="eastAsia" w:cs="宋体"/>
                <w:szCs w:val="21"/>
              </w:rPr>
              <w:t>转663</w:t>
            </w:r>
          </w:p>
          <w:p>
            <w:pPr>
              <w:pStyle w:val="42"/>
              <w:ind w:left="24" w:leftChars="10" w:right="24" w:rightChars="10"/>
              <w:rPr>
                <w:rFonts w:cs="宋体"/>
                <w:szCs w:val="21"/>
                <w:lang w:val="zh-CN"/>
              </w:rPr>
            </w:pPr>
            <w:r>
              <w:rPr>
                <w:rFonts w:hint="eastAsia" w:cs="宋体"/>
                <w:szCs w:val="21"/>
                <w:lang w:val="zh-CN"/>
              </w:rPr>
              <w:t>地址：成都市高新区吉庆三路333号蜀都中心二期一号楼一单元401号</w:t>
            </w:r>
          </w:p>
          <w:p>
            <w:pPr>
              <w:pStyle w:val="42"/>
              <w:ind w:left="24" w:leftChars="10" w:right="24" w:rightChars="10"/>
              <w:rPr>
                <w:rFonts w:cs="宋体"/>
                <w:szCs w:val="21"/>
              </w:rPr>
            </w:pPr>
            <w:r>
              <w:rPr>
                <w:rFonts w:hint="eastAsia" w:cs="宋体"/>
                <w:szCs w:val="21"/>
              </w:rPr>
              <w:t>邮编：610041</w:t>
            </w:r>
          </w:p>
          <w:p>
            <w:pPr>
              <w:pStyle w:val="42"/>
              <w:numPr>
                <w:ilvl w:val="0"/>
                <w:numId w:val="10"/>
              </w:numPr>
              <w:tabs>
                <w:tab w:val="clear" w:pos="312"/>
              </w:tabs>
              <w:ind w:left="24" w:leftChars="10" w:right="24" w:rightChars="10"/>
              <w:rPr>
                <w:rFonts w:cs="宋体"/>
                <w:szCs w:val="21"/>
              </w:rPr>
            </w:pPr>
            <w:r>
              <w:rPr>
                <w:rFonts w:hint="eastAsia" w:cs="宋体"/>
                <w:szCs w:val="21"/>
              </w:rPr>
              <w:t>询问提出的范围及主体：①采购文件及采购信息公告环节：依法获取采购文件的潜在供应商可以对采购文件及采购信息公告的内容向四川乾新招投标代理有限公司或采购人提出询问，仅对采购信息公告内容提出询问的，不限制询问主体。②采购过程、采购结果环节：参与采购活动的供应商可以对采购过程、采购结果相关问题向四川乾新招投标代理有限公司提出询问，未参与采购活动的供应商不得对此环节提出询问。③针对中小企业提出的询问将优先加快办理。</w:t>
            </w:r>
          </w:p>
          <w:p>
            <w:pPr>
              <w:pStyle w:val="42"/>
              <w:numPr>
                <w:ilvl w:val="0"/>
                <w:numId w:val="10"/>
              </w:numPr>
              <w:tabs>
                <w:tab w:val="clear" w:pos="312"/>
              </w:tabs>
              <w:ind w:left="24" w:leftChars="10" w:right="24" w:rightChars="10"/>
              <w:rPr>
                <w:rFonts w:cs="宋体"/>
                <w:szCs w:val="21"/>
              </w:rPr>
            </w:pPr>
            <w:r>
              <w:rPr>
                <w:rFonts w:hint="eastAsia" w:cs="宋体"/>
                <w:szCs w:val="21"/>
              </w:rPr>
              <w:t>为提高采购效率，降低社会成本，鼓励询问主体对于不损害国家及社会利益或自身合法权益的问题或情形采用询问方式处理解决(包含但不限于文字错误、标点符号、不影响响应文件的编制的情形)。</w:t>
            </w:r>
          </w:p>
          <w:p>
            <w:pPr>
              <w:pStyle w:val="42"/>
              <w:numPr>
                <w:ilvl w:val="0"/>
                <w:numId w:val="10"/>
              </w:numPr>
              <w:tabs>
                <w:tab w:val="clear" w:pos="312"/>
              </w:tabs>
              <w:ind w:left="24" w:leftChars="10" w:right="24" w:rightChars="10"/>
              <w:rPr>
                <w:rFonts w:cs="宋体"/>
                <w:szCs w:val="21"/>
                <w:lang w:val="zh-CN"/>
              </w:rPr>
            </w:pPr>
            <w:r>
              <w:rPr>
                <w:rFonts w:hint="eastAsia" w:cs="宋体"/>
                <w:szCs w:val="21"/>
              </w:rPr>
              <w:t>为降低时间成本，减少不必要的干扰，四川乾新招投标代理有限公司或采购人可以不接受未按照约定时间提出的询问。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lang w:val="zh-CN"/>
              </w:rPr>
            </w:pPr>
          </w:p>
        </w:tc>
        <w:tc>
          <w:tcPr>
            <w:tcW w:w="2020" w:type="dxa"/>
            <w:vAlign w:val="center"/>
          </w:tcPr>
          <w:p>
            <w:pPr>
              <w:pStyle w:val="45"/>
              <w:ind w:left="24" w:leftChars="10" w:right="24" w:rightChars="10"/>
              <w:rPr>
                <w:rFonts w:cs="宋体"/>
                <w:szCs w:val="21"/>
              </w:rPr>
            </w:pPr>
            <w:r>
              <w:rPr>
                <w:rFonts w:hint="eastAsia" w:cs="宋体"/>
                <w:szCs w:val="21"/>
              </w:rPr>
              <w:t>供应商质疑</w:t>
            </w:r>
          </w:p>
        </w:tc>
        <w:tc>
          <w:tcPr>
            <w:tcW w:w="7061" w:type="dxa"/>
            <w:vAlign w:val="center"/>
          </w:tcPr>
          <w:p>
            <w:pPr>
              <w:pStyle w:val="42"/>
              <w:ind w:left="24" w:leftChars="10" w:right="24" w:rightChars="10"/>
              <w:textAlignment w:val="baseline"/>
              <w:rPr>
                <w:rFonts w:cs="宋体"/>
                <w:szCs w:val="21"/>
              </w:rPr>
            </w:pPr>
            <w:r>
              <w:rPr>
                <w:rFonts w:hint="eastAsia" w:cs="宋体"/>
                <w:szCs w:val="21"/>
              </w:rPr>
              <w:t>1.根据委托代理协议约定，采购人负责对采购文件技术参数部分的质疑解释，四川乾新招投标代理有限公司负责答复，四川乾新招投标代理有限公司负责采购文件技术参数部分以外的质疑解释和答复。</w:t>
            </w:r>
          </w:p>
          <w:p>
            <w:pPr>
              <w:pStyle w:val="42"/>
              <w:ind w:left="24" w:leftChars="10" w:right="24" w:rightChars="10"/>
              <w:textAlignment w:val="baseline"/>
              <w:rPr>
                <w:rFonts w:cs="宋体"/>
                <w:szCs w:val="21"/>
              </w:rPr>
            </w:pPr>
            <w:r>
              <w:rPr>
                <w:rFonts w:hint="eastAsia" w:cs="宋体"/>
                <w:szCs w:val="21"/>
              </w:rPr>
              <w:t>2.供应商提出质疑应当坚持依法依规、诚实信用原则；不得超出采购文件、采购过程、采购结果的范围，不得进行虚假、恶意质疑，不得以质疑为手段获取不当得利、实现非法目的。</w:t>
            </w:r>
          </w:p>
          <w:p>
            <w:pPr>
              <w:pStyle w:val="42"/>
              <w:ind w:left="24" w:leftChars="10" w:right="24" w:rightChars="10"/>
              <w:textAlignment w:val="baseline"/>
              <w:rPr>
                <w:rFonts w:cs="宋体"/>
                <w:szCs w:val="21"/>
              </w:rPr>
            </w:pPr>
            <w:r>
              <w:rPr>
                <w:rFonts w:hint="eastAsia" w:cs="宋体"/>
                <w:szCs w:val="21"/>
              </w:rPr>
              <w:t>3.提出质疑函的时限要求：供应商认为采购文件、采购过程、中标或者成交结果使其权益受到损害的，</w:t>
            </w:r>
            <w:r>
              <w:rPr>
                <w:rFonts w:hint="eastAsia" w:cs="宋体"/>
                <w:b/>
                <w:bCs/>
                <w:szCs w:val="21"/>
              </w:rPr>
              <w:t>可以在知道或者应知其权益受到损害之日起2日内</w:t>
            </w:r>
            <w:r>
              <w:rPr>
                <w:rFonts w:hint="eastAsia" w:cs="宋体"/>
                <w:szCs w:val="21"/>
              </w:rPr>
              <w:t>，以书面形式向采购人、采购代理机构提出质疑。</w:t>
            </w:r>
          </w:p>
          <w:p>
            <w:pPr>
              <w:pStyle w:val="42"/>
              <w:ind w:left="24" w:leftChars="10" w:right="24" w:rightChars="10"/>
              <w:textAlignment w:val="baseline"/>
              <w:rPr>
                <w:rFonts w:cs="宋体"/>
                <w:szCs w:val="21"/>
              </w:rPr>
            </w:pPr>
            <w:r>
              <w:rPr>
                <w:rFonts w:hint="eastAsia" w:cs="宋体"/>
                <w:szCs w:val="21"/>
              </w:rPr>
              <w:t>4.接收质疑函的方式：供应商在法定时间内以书面形式现场、邮寄或快递提交质疑函(①采用邮寄和快递形式提交的质疑函以采购代理机构或采购人亲自书面签收的为准；②收到质疑函后，进行质疑处理时：书面形式现场提交的以书面签收的日期为准，邮寄以寄出的邮戳日期为准，快递以受送达人在签收单上签收之日为准；③温馨提示：供应商提交质疑选择邮寄或快递形式时，请先联系采购人或采购代理机构，选择高效及时的方式。质疑供应商在质疑函签收后5个工作日内未收到质疑答复的，可主动电话询问我公司相关事宜。④针对中小企业提出的质疑将优先加快办理)。</w:t>
            </w:r>
          </w:p>
          <w:p>
            <w:pPr>
              <w:pStyle w:val="42"/>
              <w:ind w:left="24" w:leftChars="10" w:right="24" w:rightChars="10"/>
              <w:textAlignment w:val="baseline"/>
              <w:rPr>
                <w:rFonts w:cs="宋体"/>
                <w:szCs w:val="21"/>
              </w:rPr>
            </w:pPr>
            <w:r>
              <w:rPr>
                <w:rFonts w:hint="eastAsia" w:cs="宋体"/>
                <w:szCs w:val="21"/>
              </w:rPr>
              <w:t>联系人：王朝钢</w:t>
            </w:r>
          </w:p>
          <w:p>
            <w:pPr>
              <w:pStyle w:val="42"/>
              <w:ind w:left="24" w:leftChars="10" w:right="24" w:rightChars="10"/>
              <w:textAlignment w:val="baseline"/>
              <w:rPr>
                <w:rFonts w:cs="宋体"/>
                <w:szCs w:val="21"/>
              </w:rPr>
            </w:pPr>
            <w:r>
              <w:rPr>
                <w:rFonts w:hint="eastAsia" w:cs="宋体"/>
                <w:szCs w:val="21"/>
              </w:rPr>
              <w:t>联系电话：028-</w:t>
            </w:r>
            <w:r>
              <w:rPr>
                <w:rFonts w:hint="eastAsia" w:cs="宋体"/>
                <w:szCs w:val="21"/>
                <w:lang w:val="zh-CN"/>
              </w:rPr>
              <w:t>84638556、84882960</w:t>
            </w:r>
            <w:r>
              <w:rPr>
                <w:rFonts w:hint="eastAsia" w:cs="宋体"/>
                <w:szCs w:val="21"/>
              </w:rPr>
              <w:t>转663</w:t>
            </w:r>
          </w:p>
          <w:p>
            <w:pPr>
              <w:pStyle w:val="42"/>
              <w:ind w:left="24" w:leftChars="10" w:right="24" w:rightChars="10"/>
              <w:textAlignment w:val="baseline"/>
              <w:rPr>
                <w:rFonts w:cs="宋体"/>
                <w:szCs w:val="21"/>
              </w:rPr>
            </w:pPr>
            <w:r>
              <w:rPr>
                <w:rFonts w:hint="eastAsia" w:cs="宋体"/>
                <w:szCs w:val="21"/>
              </w:rPr>
              <w:t>通讯地址：</w:t>
            </w:r>
            <w:r>
              <w:rPr>
                <w:rFonts w:hint="eastAsia" w:cs="宋体"/>
                <w:szCs w:val="21"/>
                <w:lang w:val="zh-CN"/>
              </w:rPr>
              <w:t>成都市高新区吉庆三路333号蜀都中心二期一号楼一单元401号</w:t>
            </w:r>
          </w:p>
          <w:p>
            <w:pPr>
              <w:pStyle w:val="42"/>
              <w:ind w:left="24" w:leftChars="10" w:right="24" w:rightChars="10"/>
              <w:textAlignment w:val="baseline"/>
              <w:rPr>
                <w:rFonts w:cs="宋体"/>
                <w:szCs w:val="21"/>
              </w:rPr>
            </w:pPr>
            <w:r>
              <w:rPr>
                <w:rFonts w:hint="eastAsia" w:cs="宋体"/>
                <w:szCs w:val="21"/>
              </w:rPr>
              <w:t>邮编：610041</w:t>
            </w:r>
          </w:p>
          <w:p>
            <w:pPr>
              <w:pStyle w:val="42"/>
              <w:ind w:left="24" w:leftChars="10" w:right="24" w:rightChars="10"/>
              <w:textAlignment w:val="baseline"/>
              <w:rPr>
                <w:rFonts w:cs="宋体"/>
                <w:szCs w:val="21"/>
              </w:rPr>
            </w:pPr>
            <w:r>
              <w:rPr>
                <w:rFonts w:hint="eastAsia" w:cs="宋体"/>
                <w:szCs w:val="21"/>
              </w:rPr>
              <w:t>注：①参照《中华人民共和国政府采购法》等法律法规规定，供应商质疑应当有明确的请求和必要的证明材料，须符合《政府采购质疑和投诉办法》(财政部第94号令)规定，并使用财政部下发《质疑函》范本。</w:t>
            </w:r>
          </w:p>
          <w:p>
            <w:pPr>
              <w:pStyle w:val="42"/>
              <w:ind w:left="24" w:leftChars="10" w:right="24" w:rightChars="10"/>
              <w:textAlignment w:val="baseline"/>
              <w:rPr>
                <w:rFonts w:cs="宋体"/>
                <w:szCs w:val="21"/>
              </w:rPr>
            </w:pPr>
            <w:r>
              <w:rPr>
                <w:rFonts w:hint="eastAsia" w:cs="宋体"/>
                <w:szCs w:val="21"/>
              </w:rPr>
              <w:t>明确的请求是指：供应商对采购文件还是对采购过程还是对中标、成交结果提出质疑；想要达到的结果，如中标成交无效、废标、重新组织采购、赔偿、追究法律责任等；</w:t>
            </w:r>
          </w:p>
          <w:p>
            <w:pPr>
              <w:pStyle w:val="42"/>
              <w:ind w:left="24" w:leftChars="10" w:right="24" w:rightChars="10"/>
              <w:textAlignment w:val="baseline"/>
              <w:rPr>
                <w:rFonts w:cs="宋体"/>
                <w:szCs w:val="21"/>
              </w:rPr>
            </w:pPr>
            <w:r>
              <w:rPr>
                <w:rFonts w:hint="eastAsia" w:cs="宋体"/>
                <w:szCs w:val="21"/>
              </w:rPr>
              <w:t>必要的证明材料是指：包含供应商的营业执照、授权委托书(法定代表人质疑时无需提供)、委托代理人身份证明、参加采购项目的证明、权益受到损害的证明材料、证明提出质疑的事实存在的材料等。</w:t>
            </w:r>
          </w:p>
          <w:p>
            <w:pPr>
              <w:pStyle w:val="42"/>
              <w:ind w:left="24" w:leftChars="10" w:right="24" w:rightChars="10"/>
              <w:textAlignment w:val="baseline"/>
              <w:rPr>
                <w:rFonts w:cs="宋体"/>
                <w:szCs w:val="21"/>
              </w:rPr>
            </w:pPr>
            <w:r>
              <w:rPr>
                <w:rFonts w:hint="eastAsia" w:cs="宋体"/>
                <w:szCs w:val="21"/>
              </w:rPr>
              <w:t>如因供应商提出的质疑函不符合《政府采购质疑和投诉办法》(财政部令第94号)第十二条的要求，四川乾新招投标代理有限公司或采购人将要求供应商在法定质疑期内进行质疑函补正，未进行补正或在法定质疑期内未进行补正的，其所有不利后果由供应商自行承担。</w:t>
            </w:r>
          </w:p>
          <w:p>
            <w:pPr>
              <w:pStyle w:val="42"/>
              <w:ind w:left="24" w:leftChars="10" w:right="24" w:rightChars="10"/>
              <w:textAlignment w:val="baseline"/>
              <w:rPr>
                <w:rFonts w:cs="宋体"/>
                <w:szCs w:val="21"/>
              </w:rPr>
            </w:pPr>
            <w:r>
              <w:rPr>
                <w:rFonts w:hint="eastAsia" w:cs="宋体"/>
                <w:szCs w:val="21"/>
              </w:rPr>
              <w:t>②</w:t>
            </w:r>
            <w:r>
              <w:rPr>
                <w:rFonts w:hint="eastAsia" w:cs="宋体"/>
                <w:szCs w:val="21"/>
                <w:lang w:val="zh-CN"/>
              </w:rPr>
              <w:t>供应商</w:t>
            </w:r>
            <w:r>
              <w:rPr>
                <w:rFonts w:hint="eastAsia" w:cs="宋体"/>
                <w:szCs w:val="21"/>
              </w:rPr>
              <w:t>应当在法定质疑期内一次性提出针对同一采购程序环节的质疑。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0"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rPr>
              <w:t>供应商投诉</w:t>
            </w:r>
          </w:p>
        </w:tc>
        <w:tc>
          <w:tcPr>
            <w:tcW w:w="7061" w:type="dxa"/>
          </w:tcPr>
          <w:p>
            <w:pPr>
              <w:pStyle w:val="42"/>
              <w:ind w:left="24" w:leftChars="10" w:right="24" w:rightChars="10"/>
              <w:textAlignment w:val="baseline"/>
              <w:rPr>
                <w:rFonts w:cs="宋体"/>
                <w:szCs w:val="21"/>
              </w:rPr>
            </w:pPr>
            <w:r>
              <w:rPr>
                <w:rFonts w:hint="eastAsia" w:cs="宋体"/>
                <w:szCs w:val="21"/>
              </w:rPr>
              <w:t>投诉受理部门：</w:t>
            </w:r>
            <w:r>
              <w:rPr>
                <w:rFonts w:hint="eastAsia" w:cs="宋体"/>
                <w:lang w:eastAsia="zh-CN"/>
              </w:rPr>
              <w:t>成都市技师学院</w:t>
            </w:r>
            <w:r>
              <w:rPr>
                <w:rFonts w:hint="eastAsia" w:cs="宋体"/>
                <w:szCs w:val="21"/>
              </w:rPr>
              <w:t>纪检监察处</w:t>
            </w:r>
          </w:p>
          <w:p>
            <w:pPr>
              <w:pStyle w:val="42"/>
              <w:ind w:left="24" w:leftChars="10" w:right="24" w:rightChars="10"/>
              <w:textAlignment w:val="baseline"/>
              <w:rPr>
                <w:rFonts w:cs="宋体"/>
                <w:szCs w:val="21"/>
              </w:rPr>
            </w:pPr>
            <w:r>
              <w:rPr>
                <w:rFonts w:hint="eastAsia" w:cs="宋体"/>
                <w:szCs w:val="21"/>
              </w:rPr>
              <w:t>联系电话：028-64907543</w:t>
            </w:r>
          </w:p>
          <w:p>
            <w:pPr>
              <w:pStyle w:val="42"/>
              <w:ind w:left="24" w:leftChars="10" w:right="24" w:rightChars="10"/>
              <w:textAlignment w:val="baseline"/>
              <w:rPr>
                <w:rFonts w:cs="宋体"/>
                <w:szCs w:val="21"/>
              </w:rPr>
            </w:pPr>
            <w:r>
              <w:rPr>
                <w:rFonts w:hint="eastAsia" w:cs="宋体"/>
                <w:szCs w:val="21"/>
              </w:rPr>
              <w:t>地址：成都市郫都区红光街道港通北3路1899号</w:t>
            </w:r>
          </w:p>
          <w:p>
            <w:pPr>
              <w:pStyle w:val="42"/>
              <w:ind w:left="24" w:leftChars="10" w:right="24" w:rightChars="10"/>
              <w:textAlignment w:val="baseline"/>
              <w:rPr>
                <w:rFonts w:cs="宋体"/>
                <w:szCs w:val="21"/>
              </w:rPr>
            </w:pPr>
            <w:r>
              <w:rPr>
                <w:rFonts w:hint="eastAsia" w:cs="宋体"/>
                <w:szCs w:val="21"/>
              </w:rPr>
              <w:t>邮编：611700</w:t>
            </w:r>
          </w:p>
          <w:p>
            <w:pPr>
              <w:pStyle w:val="42"/>
              <w:ind w:left="24" w:leftChars="10" w:right="24" w:rightChars="10"/>
              <w:textAlignment w:val="baseline"/>
              <w:rPr>
                <w:rFonts w:cs="宋体"/>
                <w:szCs w:val="21"/>
                <w:lang w:val="zh-CN"/>
              </w:rPr>
            </w:pPr>
            <w:r>
              <w:rPr>
                <w:rFonts w:hint="eastAsia" w:cs="宋体"/>
                <w:szCs w:val="21"/>
              </w:rPr>
              <w:t>注：供应商投诉应当有明确的请求和必要的证明材料。供应商投诉的事项不得超出已质疑事项的范围，须符合《政府采购质疑和投诉办法》(财政部第94号令)规定，并使用财政部下发《投诉书》范本。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rPr>
            </w:pPr>
            <w:r>
              <w:rPr>
                <w:rFonts w:hint="eastAsia" w:cs="宋体"/>
                <w:szCs w:val="21"/>
              </w:rPr>
              <w:t>竞争性磋商费用</w:t>
            </w:r>
          </w:p>
          <w:p>
            <w:pPr>
              <w:pStyle w:val="45"/>
              <w:ind w:left="24" w:leftChars="10" w:right="24" w:rightChars="10"/>
              <w:rPr>
                <w:rFonts w:cs="宋体"/>
                <w:szCs w:val="21"/>
              </w:rPr>
            </w:pPr>
            <w:r>
              <w:rPr>
                <w:rFonts w:hint="eastAsia" w:cs="宋体"/>
                <w:szCs w:val="21"/>
              </w:rPr>
              <w:t>(实质性要求)</w:t>
            </w:r>
          </w:p>
        </w:tc>
        <w:tc>
          <w:tcPr>
            <w:tcW w:w="7061" w:type="dxa"/>
            <w:vAlign w:val="center"/>
          </w:tcPr>
          <w:p>
            <w:pPr>
              <w:pStyle w:val="42"/>
              <w:ind w:left="24" w:leftChars="10" w:right="24" w:rightChars="10"/>
              <w:rPr>
                <w:rFonts w:cs="宋体"/>
                <w:szCs w:val="21"/>
              </w:rPr>
            </w:pPr>
            <w:r>
              <w:rPr>
                <w:rFonts w:hint="eastAsia" w:cs="宋体"/>
                <w:szCs w:val="21"/>
              </w:rPr>
              <w:t>无论竞争性磋商的结果如何，供应商自行承担所有与参加竞争性磋商有关的全部费用。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lang w:val="zh-CN"/>
              </w:rPr>
              <w:t>声明承诺提醒</w:t>
            </w:r>
          </w:p>
        </w:tc>
        <w:tc>
          <w:tcPr>
            <w:tcW w:w="7061" w:type="dxa"/>
            <w:vAlign w:val="center"/>
          </w:tcPr>
          <w:p>
            <w:pPr>
              <w:pStyle w:val="42"/>
              <w:ind w:left="24" w:leftChars="10" w:right="24" w:rightChars="10"/>
              <w:rPr>
                <w:rFonts w:cs="宋体"/>
                <w:szCs w:val="21"/>
                <w:lang w:val="zh-CN"/>
              </w:rPr>
            </w:pPr>
            <w:r>
              <w:rPr>
                <w:rFonts w:hint="eastAsia" w:cs="宋体"/>
                <w:szCs w:val="21"/>
                <w:lang w:val="zh-CN"/>
              </w:rPr>
              <w:t>供应商响应文件中提供的各种声明和承诺应当真实有效，无效声明和承诺、虚假声明和承诺将由供应商</w:t>
            </w:r>
            <w:r>
              <w:rPr>
                <w:rFonts w:hint="eastAsia" w:cs="宋体"/>
                <w:szCs w:val="21"/>
              </w:rPr>
              <w:t>自行</w:t>
            </w:r>
            <w:r>
              <w:rPr>
                <w:rFonts w:hint="eastAsia" w:cs="宋体"/>
                <w:szCs w:val="21"/>
                <w:lang w:val="zh-CN"/>
              </w:rPr>
              <w:t>承担由此带来的</w:t>
            </w:r>
            <w:r>
              <w:rPr>
                <w:rFonts w:hint="eastAsia" w:cs="宋体"/>
                <w:szCs w:val="21"/>
              </w:rPr>
              <w:t>一切</w:t>
            </w:r>
            <w:r>
              <w:rPr>
                <w:rFonts w:hint="eastAsia" w:cs="宋体"/>
                <w:szCs w:val="21"/>
                <w:lang w:val="zh-CN"/>
              </w:rPr>
              <w:t>不利后果，</w:t>
            </w:r>
            <w:r>
              <w:rPr>
                <w:rFonts w:hint="eastAsia" w:cs="宋体"/>
                <w:szCs w:val="21"/>
              </w:rPr>
              <w:t>采购代理机构</w:t>
            </w:r>
            <w:r>
              <w:rPr>
                <w:rFonts w:hint="eastAsia" w:cs="宋体"/>
                <w:szCs w:val="21"/>
                <w:lang w:val="zh-CN"/>
              </w:rPr>
              <w:t>还将报告监管部门追究</w:t>
            </w:r>
            <w:r>
              <w:rPr>
                <w:rFonts w:hint="eastAsia" w:cs="宋体"/>
                <w:szCs w:val="21"/>
              </w:rPr>
              <w:t>其</w:t>
            </w:r>
            <w:r>
              <w:rPr>
                <w:rFonts w:hint="eastAsia" w:cs="宋体"/>
                <w:szCs w:val="21"/>
                <w:lang w:val="zh-CN"/>
              </w:rPr>
              <w:t>法律责任。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622" w:type="dxa"/>
            <w:vAlign w:val="center"/>
          </w:tcPr>
          <w:p>
            <w:pPr>
              <w:pStyle w:val="45"/>
              <w:numPr>
                <w:ilvl w:val="0"/>
                <w:numId w:val="8"/>
              </w:numPr>
              <w:ind w:left="24" w:leftChars="10" w:right="24" w:rightChars="10"/>
              <w:rPr>
                <w:rFonts w:cs="宋体"/>
                <w:szCs w:val="21"/>
              </w:rPr>
            </w:pPr>
          </w:p>
        </w:tc>
        <w:tc>
          <w:tcPr>
            <w:tcW w:w="2020" w:type="dxa"/>
            <w:vAlign w:val="center"/>
          </w:tcPr>
          <w:p>
            <w:pPr>
              <w:pStyle w:val="45"/>
              <w:ind w:left="24" w:leftChars="10" w:right="24" w:rightChars="10"/>
              <w:rPr>
                <w:rFonts w:cs="宋体"/>
                <w:szCs w:val="21"/>
                <w:lang w:val="zh-CN"/>
              </w:rPr>
            </w:pPr>
            <w:r>
              <w:rPr>
                <w:rFonts w:hint="eastAsia" w:cs="宋体"/>
                <w:szCs w:val="21"/>
              </w:rPr>
              <w:t>备注</w:t>
            </w:r>
          </w:p>
        </w:tc>
        <w:tc>
          <w:tcPr>
            <w:tcW w:w="7061" w:type="dxa"/>
            <w:vAlign w:val="center"/>
          </w:tcPr>
          <w:p>
            <w:pPr>
              <w:pStyle w:val="42"/>
              <w:ind w:left="24" w:leftChars="10" w:right="24" w:rightChars="10"/>
              <w:rPr>
                <w:rFonts w:cs="宋体"/>
                <w:szCs w:val="21"/>
                <w:lang w:val="zh-CN"/>
              </w:rPr>
            </w:pPr>
            <w:r>
              <w:rPr>
                <w:rFonts w:hint="eastAsia" w:cs="宋体"/>
                <w:szCs w:val="21"/>
                <w:lang w:val="zh-CN"/>
              </w:rPr>
              <w:t>若竞争性磋商文件中其他内容与磋商须知前附表内容不一致的，以磋商须知前附表为准。</w:t>
            </w:r>
          </w:p>
        </w:tc>
      </w:tr>
    </w:tbl>
    <w:p>
      <w:pPr>
        <w:pStyle w:val="35"/>
        <w:spacing w:before="120" w:beforeLines="50" w:after="120" w:afterLines="50"/>
        <w:ind w:firstLine="0" w:firstLineChars="0"/>
        <w:jc w:val="center"/>
        <w:rPr>
          <w:sz w:val="36"/>
          <w:szCs w:val="36"/>
        </w:rPr>
      </w:pPr>
      <w:r>
        <w:rPr>
          <w:rFonts w:hint="eastAsia"/>
        </w:rPr>
        <w:br w:type="page"/>
      </w:r>
      <w:bookmarkStart w:id="21" w:name="_Toc12566"/>
      <w:bookmarkStart w:id="22" w:name="_Toc4713"/>
      <w:r>
        <w:rPr>
          <w:rFonts w:hint="eastAsia"/>
          <w:sz w:val="36"/>
          <w:szCs w:val="36"/>
        </w:rPr>
        <w:t>总则</w:t>
      </w:r>
      <w:bookmarkEnd w:id="21"/>
      <w:bookmarkEnd w:id="22"/>
    </w:p>
    <w:tbl>
      <w:tblPr>
        <w:tblStyle w:val="25"/>
        <w:tblW w:w="97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22"/>
        <w:gridCol w:w="1753"/>
        <w:gridCol w:w="73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622" w:type="dxa"/>
            <w:vAlign w:val="center"/>
          </w:tcPr>
          <w:p>
            <w:pPr>
              <w:pStyle w:val="45"/>
              <w:ind w:left="24" w:leftChars="10" w:right="240" w:rightChars="100"/>
              <w:rPr>
                <w:szCs w:val="21"/>
              </w:rPr>
            </w:pPr>
            <w:r>
              <w:rPr>
                <w:rFonts w:hint="eastAsia"/>
                <w:b/>
                <w:bCs/>
                <w:szCs w:val="21"/>
                <w:lang w:val="zh-CN"/>
              </w:rPr>
              <w:t>序号</w:t>
            </w:r>
          </w:p>
        </w:tc>
        <w:tc>
          <w:tcPr>
            <w:tcW w:w="1753" w:type="dxa"/>
            <w:vAlign w:val="center"/>
          </w:tcPr>
          <w:p>
            <w:pPr>
              <w:pStyle w:val="45"/>
              <w:ind w:left="24" w:leftChars="10" w:right="240" w:rightChars="100"/>
              <w:rPr>
                <w:szCs w:val="21"/>
                <w:lang w:val="zh-CN"/>
              </w:rPr>
            </w:pPr>
            <w:r>
              <w:rPr>
                <w:rFonts w:hint="eastAsia"/>
                <w:b/>
                <w:bCs/>
                <w:szCs w:val="21"/>
                <w:lang w:val="zh-CN"/>
              </w:rPr>
              <w:t>事项</w:t>
            </w:r>
          </w:p>
        </w:tc>
        <w:tc>
          <w:tcPr>
            <w:tcW w:w="7328" w:type="dxa"/>
            <w:vAlign w:val="center"/>
          </w:tcPr>
          <w:p>
            <w:pPr>
              <w:pStyle w:val="45"/>
              <w:ind w:left="24" w:leftChars="10" w:right="240" w:rightChars="100"/>
              <w:rPr>
                <w:szCs w:val="21"/>
                <w:lang w:val="zh-CN"/>
              </w:rPr>
            </w:pPr>
            <w:r>
              <w:rPr>
                <w:rFonts w:hint="eastAsia"/>
                <w:b/>
                <w:bCs/>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1</w:t>
            </w:r>
          </w:p>
        </w:tc>
        <w:tc>
          <w:tcPr>
            <w:tcW w:w="1753" w:type="dxa"/>
            <w:vAlign w:val="center"/>
          </w:tcPr>
          <w:p>
            <w:pPr>
              <w:pStyle w:val="45"/>
              <w:ind w:left="24" w:leftChars="10" w:right="240" w:rightChars="100"/>
              <w:rPr>
                <w:szCs w:val="21"/>
                <w:lang w:val="zh-CN"/>
              </w:rPr>
            </w:pPr>
            <w:r>
              <w:rPr>
                <w:rFonts w:hint="eastAsia"/>
                <w:szCs w:val="21"/>
                <w:lang w:val="zh-CN"/>
              </w:rPr>
              <w:t>适用范围</w:t>
            </w:r>
          </w:p>
        </w:tc>
        <w:tc>
          <w:tcPr>
            <w:tcW w:w="7328" w:type="dxa"/>
            <w:vAlign w:val="center"/>
          </w:tcPr>
          <w:p>
            <w:pPr>
              <w:pStyle w:val="42"/>
              <w:ind w:left="24" w:leftChars="10" w:right="240" w:rightChars="100"/>
              <w:rPr>
                <w:szCs w:val="21"/>
              </w:rPr>
            </w:pPr>
            <w:r>
              <w:rPr>
                <w:rFonts w:hint="eastAsia"/>
                <w:szCs w:val="21"/>
              </w:rPr>
              <w:t>1.</w:t>
            </w:r>
            <w:r>
              <w:rPr>
                <w:rFonts w:hint="eastAsia"/>
                <w:szCs w:val="21"/>
                <w:lang w:val="zh-CN"/>
              </w:rPr>
              <w:t>本竞争性磋商文件(亦</w:t>
            </w:r>
            <w:r>
              <w:rPr>
                <w:rFonts w:hint="eastAsia"/>
                <w:szCs w:val="21"/>
              </w:rPr>
              <w:t>简称“磋商文件”或“采购文件”</w:t>
            </w:r>
            <w:r>
              <w:rPr>
                <w:rFonts w:hint="eastAsia"/>
                <w:szCs w:val="21"/>
                <w:lang w:val="zh-CN"/>
              </w:rPr>
              <w:t>)仅适用于</w:t>
            </w:r>
            <w:r>
              <w:rPr>
                <w:rFonts w:hint="eastAsia"/>
                <w:szCs w:val="21"/>
              </w:rPr>
              <w:t>本次磋商</w:t>
            </w:r>
            <w:r>
              <w:rPr>
                <w:rFonts w:hint="eastAsia"/>
                <w:szCs w:val="21"/>
                <w:lang w:val="zh-CN"/>
              </w:rPr>
              <w:t>采购</w:t>
            </w:r>
            <w:r>
              <w:rPr>
                <w:rFonts w:hint="eastAsia"/>
                <w:szCs w:val="21"/>
              </w:rPr>
              <w:t>项目。</w:t>
            </w:r>
          </w:p>
          <w:p>
            <w:pPr>
              <w:pStyle w:val="42"/>
              <w:ind w:left="24" w:leftChars="10" w:right="240" w:rightChars="100"/>
              <w:rPr>
                <w:szCs w:val="21"/>
                <w:lang w:val="zh-CN"/>
              </w:rPr>
            </w:pPr>
            <w:r>
              <w:rPr>
                <w:rFonts w:hint="eastAsia"/>
                <w:szCs w:val="21"/>
                <w:lang w:val="zh-CN"/>
              </w:rPr>
              <w:t>2.本竞争性</w:t>
            </w:r>
            <w:r>
              <w:rPr>
                <w:rFonts w:hint="eastAsia"/>
                <w:szCs w:val="21"/>
              </w:rPr>
              <w:t>磋商</w:t>
            </w:r>
            <w:r>
              <w:rPr>
                <w:rFonts w:hint="eastAsia"/>
                <w:szCs w:val="21"/>
                <w:lang w:val="zh-CN"/>
              </w:rPr>
              <w:t>文件中的</w:t>
            </w:r>
            <w:r>
              <w:rPr>
                <w:rFonts w:hint="eastAsia"/>
                <w:szCs w:val="21"/>
              </w:rPr>
              <w:t>响应文件</w:t>
            </w:r>
            <w:r>
              <w:rPr>
                <w:rFonts w:hint="eastAsia"/>
                <w:szCs w:val="21"/>
                <w:lang w:val="zh-CN"/>
              </w:rPr>
              <w:t>，仅适用于本采购项目。</w:t>
            </w:r>
          </w:p>
          <w:p>
            <w:pPr>
              <w:pStyle w:val="42"/>
              <w:ind w:left="24" w:leftChars="10" w:right="240" w:rightChars="100"/>
              <w:rPr>
                <w:szCs w:val="21"/>
                <w:lang w:val="zh-CN"/>
              </w:rPr>
            </w:pPr>
            <w:r>
              <w:rPr>
                <w:rFonts w:hint="eastAsia"/>
                <w:szCs w:val="21"/>
              </w:rPr>
              <w:t>3.</w:t>
            </w:r>
            <w:r>
              <w:rPr>
                <w:rFonts w:hint="eastAsia"/>
                <w:szCs w:val="21"/>
                <w:lang w:val="zh-CN"/>
              </w:rPr>
              <w:t>本竞争性</w:t>
            </w:r>
            <w:r>
              <w:rPr>
                <w:rFonts w:hint="eastAsia"/>
                <w:szCs w:val="21"/>
              </w:rPr>
              <w:t>磋商</w:t>
            </w:r>
            <w:r>
              <w:rPr>
                <w:rFonts w:hint="eastAsia"/>
                <w:szCs w:val="21"/>
                <w:lang w:val="zh-CN"/>
              </w:rPr>
              <w:t>文件中的</w:t>
            </w:r>
            <w:r>
              <w:rPr>
                <w:rFonts w:hint="eastAsia"/>
                <w:szCs w:val="21"/>
              </w:rPr>
              <w:t>磋商</w:t>
            </w:r>
            <w:r>
              <w:rPr>
                <w:rFonts w:hint="eastAsia"/>
                <w:szCs w:val="21"/>
                <w:lang w:val="zh-CN"/>
              </w:rPr>
              <w:t>小组(亦可称为“评审委员会”)，仅适用于本采购项目。</w:t>
            </w:r>
          </w:p>
          <w:p>
            <w:pPr>
              <w:pStyle w:val="42"/>
              <w:ind w:left="24" w:leftChars="10" w:right="240" w:rightChars="100"/>
              <w:rPr>
                <w:szCs w:val="21"/>
              </w:rPr>
            </w:pPr>
            <w:r>
              <w:rPr>
                <w:rFonts w:hint="eastAsia"/>
                <w:szCs w:val="21"/>
              </w:rPr>
              <w:t>4</w:t>
            </w:r>
            <w:r>
              <w:rPr>
                <w:rFonts w:hint="eastAsia"/>
                <w:szCs w:val="21"/>
                <w:lang w:val="zh-CN"/>
              </w:rPr>
              <w:t>.本</w:t>
            </w:r>
            <w:r>
              <w:rPr>
                <w:rFonts w:hint="eastAsia"/>
                <w:szCs w:val="21"/>
              </w:rPr>
              <w:t>磋商</w:t>
            </w:r>
            <w:r>
              <w:rPr>
                <w:rFonts w:hint="eastAsia"/>
                <w:szCs w:val="21"/>
                <w:lang w:val="zh-CN"/>
              </w:rPr>
              <w:t>文件的解释权归采购人和采购代理机构所有。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2</w:t>
            </w:r>
          </w:p>
        </w:tc>
        <w:tc>
          <w:tcPr>
            <w:tcW w:w="1753" w:type="dxa"/>
            <w:vAlign w:val="center"/>
          </w:tcPr>
          <w:p>
            <w:pPr>
              <w:pStyle w:val="45"/>
              <w:ind w:left="24" w:leftChars="10" w:right="240" w:rightChars="100"/>
              <w:rPr>
                <w:szCs w:val="21"/>
              </w:rPr>
            </w:pPr>
            <w:r>
              <w:rPr>
                <w:rFonts w:hint="eastAsia"/>
                <w:szCs w:val="21"/>
              </w:rPr>
              <w:t>采购主体</w:t>
            </w:r>
          </w:p>
        </w:tc>
        <w:tc>
          <w:tcPr>
            <w:tcW w:w="7328" w:type="dxa"/>
            <w:vAlign w:val="center"/>
          </w:tcPr>
          <w:p>
            <w:pPr>
              <w:pStyle w:val="42"/>
              <w:ind w:left="24" w:leftChars="10" w:right="240" w:rightChars="100"/>
              <w:rPr>
                <w:szCs w:val="21"/>
              </w:rPr>
            </w:pPr>
            <w:r>
              <w:rPr>
                <w:rFonts w:hint="eastAsia"/>
                <w:szCs w:val="21"/>
              </w:rPr>
              <w:t>1.“采购人”系指</w:t>
            </w:r>
            <w:r>
              <w:rPr>
                <w:rFonts w:hint="eastAsia" w:cs="宋体"/>
                <w:szCs w:val="21"/>
                <w:lang w:eastAsia="zh-CN"/>
              </w:rPr>
              <w:t>成都市技师学院</w:t>
            </w:r>
            <w:r>
              <w:rPr>
                <w:rFonts w:hint="eastAsia"/>
                <w:szCs w:val="21"/>
              </w:rPr>
              <w:t>。</w:t>
            </w:r>
          </w:p>
          <w:p>
            <w:pPr>
              <w:pStyle w:val="42"/>
              <w:ind w:left="24" w:leftChars="10" w:right="240" w:rightChars="100"/>
              <w:rPr>
                <w:szCs w:val="21"/>
              </w:rPr>
            </w:pPr>
            <w:r>
              <w:rPr>
                <w:rFonts w:hint="eastAsia"/>
                <w:szCs w:val="21"/>
              </w:rPr>
              <w:t>2.“供应商”系指获取了竞争性磋商文件拟参加磋商和向采购人提供相应服务的法人、其他组织或者自然人。</w:t>
            </w:r>
          </w:p>
          <w:p>
            <w:pPr>
              <w:pStyle w:val="42"/>
              <w:ind w:left="24" w:leftChars="10" w:right="240" w:rightChars="100"/>
              <w:rPr>
                <w:szCs w:val="21"/>
              </w:rPr>
            </w:pPr>
            <w:r>
              <w:rPr>
                <w:rFonts w:hint="eastAsia"/>
                <w:szCs w:val="21"/>
              </w:rPr>
              <w:t>3.“采购代理机构”系指根据采购人的委托依法办理采购事宜的采购机构。本次竞争性磋商的采购代理机构是四川乾新招投标代理有限公司。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3</w:t>
            </w:r>
          </w:p>
        </w:tc>
        <w:tc>
          <w:tcPr>
            <w:tcW w:w="1753" w:type="dxa"/>
            <w:vAlign w:val="center"/>
          </w:tcPr>
          <w:p>
            <w:pPr>
              <w:pStyle w:val="45"/>
              <w:ind w:left="24" w:leftChars="10" w:right="240" w:rightChars="100"/>
              <w:rPr>
                <w:szCs w:val="21"/>
              </w:rPr>
            </w:pPr>
            <w:r>
              <w:rPr>
                <w:rFonts w:hint="eastAsia"/>
                <w:szCs w:val="21"/>
              </w:rPr>
              <w:t>合格供应商条件</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1.不属于禁止参加本项目采购活动的供应商。</w:t>
            </w:r>
          </w:p>
          <w:p>
            <w:pPr>
              <w:pStyle w:val="42"/>
              <w:ind w:left="24" w:leftChars="10" w:right="240" w:rightChars="100"/>
              <w:rPr>
                <w:szCs w:val="21"/>
              </w:rPr>
            </w:pPr>
            <w:r>
              <w:rPr>
                <w:rFonts w:hint="eastAsia"/>
                <w:szCs w:val="21"/>
              </w:rPr>
              <w:t>2.遵守国家有关的法律、法规、规章和其他政策制度。</w:t>
            </w:r>
          </w:p>
          <w:p>
            <w:pPr>
              <w:pStyle w:val="42"/>
              <w:ind w:left="24" w:leftChars="10" w:right="240" w:rightChars="100"/>
              <w:rPr>
                <w:szCs w:val="21"/>
              </w:rPr>
            </w:pPr>
            <w:r>
              <w:rPr>
                <w:rFonts w:hint="eastAsia"/>
                <w:szCs w:val="21"/>
              </w:rPr>
              <w:t>3.依法通过</w:t>
            </w:r>
            <w:r>
              <w:rPr>
                <w:rFonts w:hint="eastAsia" w:cs="宋体"/>
                <w:szCs w:val="21"/>
              </w:rPr>
              <w:t>采购代理机构</w:t>
            </w:r>
            <w:r>
              <w:rPr>
                <w:rFonts w:hint="eastAsia"/>
                <w:szCs w:val="21"/>
              </w:rPr>
              <w:t>获取了磋商文件并完成报名登记。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4</w:t>
            </w:r>
          </w:p>
        </w:tc>
        <w:tc>
          <w:tcPr>
            <w:tcW w:w="1753" w:type="dxa"/>
            <w:vAlign w:val="center"/>
          </w:tcPr>
          <w:p>
            <w:pPr>
              <w:pStyle w:val="45"/>
              <w:ind w:left="24" w:leftChars="10" w:right="240" w:rightChars="100"/>
              <w:rPr>
                <w:szCs w:val="21"/>
              </w:rPr>
            </w:pPr>
            <w:r>
              <w:rPr>
                <w:rFonts w:hint="eastAsia"/>
                <w:szCs w:val="21"/>
              </w:rPr>
              <w:t>充分、公平竞争保障措施</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参照《关于在政府采购活动中查询及使用信用记录有关问题的通知》(财库〔2016〕125号)等文件要求，采购代理机构将通过“信用中国”网站(www.creditchina.gov.cn)、“中国政府采购网”网站(www.ccgp.gov.cn)等渠道查询供应商的信用记录并保存信用记录结果网页截图，拒绝列入失信被执行人名单、重大税收违法案件当事人名单(重大税收违法失信主体)、政府采购严重违法失信行为记录名单中的供应商参加本项目的采购活动。</w:t>
            </w:r>
          </w:p>
          <w:p>
            <w:pPr>
              <w:pStyle w:val="42"/>
              <w:ind w:left="24" w:leftChars="10" w:right="240" w:rightChars="100"/>
              <w:rPr>
                <w:szCs w:val="21"/>
              </w:rPr>
            </w:pPr>
            <w:r>
              <w:rPr>
                <w:rFonts w:hint="eastAsia"/>
                <w:szCs w:val="21"/>
              </w:rPr>
              <w:t>2.利害关系供应商处理。单位负责人为同一人或者存在直接控股、管理关系的不同供应商不得参加同一合同项下的采购活动。</w:t>
            </w:r>
          </w:p>
          <w:p>
            <w:pPr>
              <w:pStyle w:val="42"/>
              <w:ind w:left="24" w:leftChars="10" w:right="240" w:rightChars="100"/>
              <w:rPr>
                <w:szCs w:val="21"/>
              </w:rPr>
            </w:pPr>
            <w:r>
              <w:rPr>
                <w:rFonts w:hint="eastAsia"/>
                <w:szCs w:val="21"/>
              </w:rPr>
              <w:t>3.前期参与供应商处理。为采购项目提供整体设计、规范编制或者项目管理、监理、检测等服务的供应商，不得再参加该采购项目的其他采购活动。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pPr>
              <w:pStyle w:val="42"/>
              <w:ind w:left="24" w:leftChars="10" w:right="240" w:rightChars="100"/>
              <w:rPr>
                <w:b/>
                <w:bCs/>
                <w:szCs w:val="21"/>
              </w:rPr>
            </w:pPr>
            <w:r>
              <w:rPr>
                <w:rFonts w:hint="eastAsia"/>
                <w:b/>
                <w:bCs/>
                <w:szCs w:val="21"/>
              </w:rPr>
              <w:t>注：本项目无符合本条规定的供应商。</w:t>
            </w:r>
          </w:p>
          <w:p>
            <w:pPr>
              <w:pStyle w:val="42"/>
              <w:ind w:left="24" w:leftChars="10" w:right="240" w:rightChars="100"/>
              <w:rPr>
                <w:szCs w:val="21"/>
              </w:rPr>
            </w:pPr>
            <w:r>
              <w:rPr>
                <w:rFonts w:hint="eastAsia"/>
                <w:szCs w:val="21"/>
              </w:rPr>
              <w:t>4.利害关系代理人处理。2家以上的供应商不得在同一合同项下的采购项目中，同时委托同一个自然人、同一家庭的人员、同一单位的人员作为其代理人，否则，其响应文件作为无效处理。</w:t>
            </w:r>
          </w:p>
          <w:p>
            <w:pPr>
              <w:pStyle w:val="42"/>
              <w:ind w:left="24" w:leftChars="10" w:right="240" w:rightChars="100"/>
              <w:rPr>
                <w:szCs w:val="21"/>
              </w:rPr>
            </w:pPr>
            <w:r>
              <w:rPr>
                <w:rFonts w:hint="eastAsia"/>
                <w:szCs w:val="21"/>
              </w:rPr>
              <w:t>5.供应商实际控制人或者中高级管理人员，同时是采购代理机构工作人员，不得参与本项目采购活动。</w:t>
            </w:r>
          </w:p>
          <w:p>
            <w:pPr>
              <w:pStyle w:val="42"/>
              <w:ind w:left="24" w:leftChars="10" w:right="240" w:rightChars="100"/>
              <w:rPr>
                <w:szCs w:val="21"/>
              </w:rPr>
            </w:pPr>
            <w:r>
              <w:rPr>
                <w:rFonts w:hint="eastAsia"/>
                <w:szCs w:val="21"/>
              </w:rPr>
              <w:t>6.同一母公司的两家以上的子公司只能组成联合体参加本项目同一合同项下的采购活动，不得以不同供应商身份同时参加本项目同一合同项下的采购活动。</w:t>
            </w:r>
          </w:p>
          <w:p>
            <w:pPr>
              <w:pStyle w:val="42"/>
              <w:ind w:left="24" w:leftChars="10" w:right="240" w:rightChars="100"/>
              <w:rPr>
                <w:szCs w:val="21"/>
              </w:rPr>
            </w:pPr>
            <w:r>
              <w:rPr>
                <w:rFonts w:hint="eastAsia"/>
                <w:szCs w:val="21"/>
              </w:rPr>
              <w:t>7.供应商与采购代理机构存在关联关系，或者是采购代理机构的母公司或子公司，不得参加本项目采购活动。</w:t>
            </w:r>
          </w:p>
          <w:p>
            <w:pPr>
              <w:pStyle w:val="42"/>
              <w:ind w:left="24" w:leftChars="10" w:right="240" w:rightChars="100"/>
              <w:rPr>
                <w:szCs w:val="21"/>
              </w:rPr>
            </w:pPr>
            <w:r>
              <w:rPr>
                <w:rFonts w:hint="eastAsia"/>
                <w:szCs w:val="21"/>
              </w:rPr>
              <w:t>8.回避。采购活动中，采购人员及相关人员与供应商有下列利害关系之一的，应当回避：</w:t>
            </w:r>
          </w:p>
          <w:p>
            <w:pPr>
              <w:pStyle w:val="42"/>
              <w:ind w:left="24" w:leftChars="10" w:right="240" w:rightChars="100"/>
              <w:rPr>
                <w:szCs w:val="21"/>
              </w:rPr>
            </w:pPr>
            <w:r>
              <w:rPr>
                <w:rFonts w:hint="eastAsia"/>
                <w:szCs w:val="21"/>
              </w:rPr>
              <w:t>(1)参加采购活动前3年内与供应商存在劳动关系；</w:t>
            </w:r>
          </w:p>
          <w:p>
            <w:pPr>
              <w:pStyle w:val="42"/>
              <w:ind w:left="24" w:leftChars="10" w:right="240" w:rightChars="100"/>
              <w:rPr>
                <w:szCs w:val="21"/>
              </w:rPr>
            </w:pPr>
            <w:r>
              <w:rPr>
                <w:rFonts w:hint="eastAsia"/>
                <w:szCs w:val="21"/>
              </w:rPr>
              <w:t>(2)参加采购活动前3年内担任供应商的董事、监事；</w:t>
            </w:r>
          </w:p>
          <w:p>
            <w:pPr>
              <w:pStyle w:val="42"/>
              <w:ind w:left="24" w:leftChars="10" w:right="240" w:rightChars="100"/>
              <w:rPr>
                <w:szCs w:val="21"/>
              </w:rPr>
            </w:pPr>
            <w:r>
              <w:rPr>
                <w:rFonts w:hint="eastAsia"/>
                <w:szCs w:val="21"/>
              </w:rPr>
              <w:t>(3)参加采购活动前3年内是供应商的控股股东或者实际控制人；</w:t>
            </w:r>
          </w:p>
          <w:p>
            <w:pPr>
              <w:pStyle w:val="42"/>
              <w:ind w:left="24" w:leftChars="10" w:right="240" w:rightChars="100"/>
              <w:rPr>
                <w:szCs w:val="21"/>
              </w:rPr>
            </w:pPr>
            <w:r>
              <w:rPr>
                <w:rFonts w:hint="eastAsia"/>
                <w:szCs w:val="21"/>
              </w:rPr>
              <w:t>(4)与供应商的法定代表人或者负责人有夫妻、直系血亲、三代以内旁系血亲或者近姻亲关系；</w:t>
            </w:r>
          </w:p>
          <w:p>
            <w:pPr>
              <w:pStyle w:val="42"/>
              <w:ind w:left="24" w:leftChars="10" w:right="240" w:rightChars="100"/>
              <w:rPr>
                <w:szCs w:val="21"/>
              </w:rPr>
            </w:pPr>
            <w:r>
              <w:rPr>
                <w:rFonts w:hint="eastAsia"/>
                <w:szCs w:val="21"/>
              </w:rPr>
              <w:t>(5)与供应商有其他可能影响采购活动公平、公正进行的关系。</w:t>
            </w:r>
          </w:p>
          <w:p>
            <w:pPr>
              <w:pStyle w:val="42"/>
              <w:ind w:left="24" w:leftChars="10" w:right="240" w:rightChars="100"/>
              <w:rPr>
                <w:szCs w:val="21"/>
              </w:rPr>
            </w:pPr>
            <w:r>
              <w:rPr>
                <w:rFonts w:hint="eastAsia"/>
                <w:szCs w:val="21"/>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42"/>
              <w:ind w:left="24" w:leftChars="10" w:right="240" w:rightChars="100"/>
              <w:rPr>
                <w:szCs w:val="21"/>
              </w:rPr>
            </w:pPr>
            <w:r>
              <w:rPr>
                <w:rFonts w:hint="eastAsia"/>
                <w:szCs w:val="21"/>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2"/>
              <w:ind w:left="24" w:leftChars="10" w:right="240" w:rightChars="100"/>
              <w:rPr>
                <w:szCs w:val="21"/>
              </w:rPr>
            </w:pPr>
            <w:r>
              <w:rPr>
                <w:rFonts w:hint="eastAsia"/>
                <w:szCs w:val="21"/>
              </w:rPr>
              <w:t>注：按照相关法律法规规定，负责人是指单位法定代表人或者法律、行政法规规定代表单位行使职权的主要负责人。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管理关系是指与不具有出资持股关系的单位之间存在的其他管理与被管理关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5</w:t>
            </w:r>
          </w:p>
        </w:tc>
        <w:tc>
          <w:tcPr>
            <w:tcW w:w="1753" w:type="dxa"/>
            <w:vAlign w:val="center"/>
          </w:tcPr>
          <w:p>
            <w:pPr>
              <w:pStyle w:val="45"/>
              <w:ind w:left="24" w:leftChars="10" w:right="240" w:rightChars="100"/>
              <w:rPr>
                <w:szCs w:val="21"/>
              </w:rPr>
            </w:pPr>
            <w:r>
              <w:rPr>
                <w:rFonts w:hint="eastAsia"/>
                <w:szCs w:val="21"/>
              </w:rPr>
              <w:t>磋商有效期</w:t>
            </w:r>
          </w:p>
          <w:p>
            <w:pPr>
              <w:pStyle w:val="45"/>
              <w:ind w:left="24" w:leftChars="10" w:right="240" w:rightChars="100"/>
              <w:rPr>
                <w:szCs w:val="21"/>
              </w:rPr>
            </w:pPr>
            <w:r>
              <w:rPr>
                <w:rFonts w:hint="eastAsia"/>
                <w:szCs w:val="21"/>
              </w:rPr>
              <w:t>(实质性要求)</w:t>
            </w:r>
          </w:p>
        </w:tc>
        <w:tc>
          <w:tcPr>
            <w:tcW w:w="7328" w:type="dxa"/>
            <w:vAlign w:val="center"/>
          </w:tcPr>
          <w:p>
            <w:pPr>
              <w:pStyle w:val="42"/>
              <w:ind w:left="24" w:leftChars="10" w:right="240" w:rightChars="100"/>
              <w:rPr>
                <w:szCs w:val="21"/>
              </w:rPr>
            </w:pPr>
            <w:r>
              <w:rPr>
                <w:rFonts w:hint="eastAsia"/>
                <w:szCs w:val="21"/>
              </w:rPr>
              <w:t>1.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42"/>
              <w:ind w:left="24" w:leftChars="10" w:right="240" w:rightChars="100"/>
              <w:rPr>
                <w:szCs w:val="21"/>
              </w:rPr>
            </w:pPr>
            <w:r>
              <w:rPr>
                <w:rFonts w:hint="eastAsia"/>
                <w:szCs w:val="21"/>
              </w:rPr>
              <w:t>2.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2"/>
              <w:ind w:left="24" w:leftChars="10" w:right="240" w:rightChars="100"/>
              <w:rPr>
                <w:szCs w:val="21"/>
              </w:rPr>
            </w:pPr>
            <w:r>
              <w:rPr>
                <w:rFonts w:hint="eastAsia"/>
                <w:szCs w:val="21"/>
              </w:rPr>
              <w:t>3.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622" w:type="dxa"/>
            <w:vAlign w:val="center"/>
          </w:tcPr>
          <w:p>
            <w:pPr>
              <w:pStyle w:val="45"/>
              <w:ind w:left="24" w:leftChars="10" w:right="240" w:rightChars="100"/>
              <w:rPr>
                <w:szCs w:val="21"/>
              </w:rPr>
            </w:pPr>
            <w:r>
              <w:rPr>
                <w:rFonts w:hint="eastAsia"/>
                <w:szCs w:val="21"/>
              </w:rPr>
              <w:t>6</w:t>
            </w:r>
          </w:p>
        </w:tc>
        <w:tc>
          <w:tcPr>
            <w:tcW w:w="1753" w:type="dxa"/>
            <w:vAlign w:val="center"/>
          </w:tcPr>
          <w:p>
            <w:pPr>
              <w:pStyle w:val="45"/>
              <w:ind w:left="24" w:leftChars="10" w:right="240" w:rightChars="100"/>
              <w:rPr>
                <w:szCs w:val="21"/>
              </w:rPr>
            </w:pPr>
            <w:r>
              <w:rPr>
                <w:rFonts w:hint="eastAsia"/>
                <w:szCs w:val="21"/>
              </w:rPr>
              <w:t>其他</w:t>
            </w:r>
          </w:p>
        </w:tc>
        <w:tc>
          <w:tcPr>
            <w:tcW w:w="7328" w:type="dxa"/>
            <w:vAlign w:val="center"/>
          </w:tcPr>
          <w:p>
            <w:pPr>
              <w:pStyle w:val="42"/>
              <w:ind w:left="24" w:leftChars="10" w:right="240" w:rightChars="100"/>
              <w:rPr>
                <w:szCs w:val="21"/>
              </w:rPr>
            </w:pPr>
            <w:r>
              <w:rPr>
                <w:rFonts w:hint="eastAsia"/>
                <w:szCs w:val="21"/>
              </w:rPr>
              <w:t>1.本竞争性磋商文件各部分规定的期间以时、日、月、年计算。期间开始的时和日，不计算在期间内，从次日开始计算。期限的最后一日是国家法定节假日的，顺延到节假日后的次日为期限的最后一日。采购文件涉及的法律法规中所称的“以上”、“以下”、“内”、“以内”，包括本数；所称的“不足”，不包括本数。</w:t>
            </w:r>
          </w:p>
          <w:p>
            <w:pPr>
              <w:pStyle w:val="42"/>
              <w:ind w:left="24" w:leftChars="10" w:right="240" w:rightChars="100"/>
              <w:rPr>
                <w:szCs w:val="21"/>
              </w:rPr>
            </w:pPr>
            <w:r>
              <w:rPr>
                <w:rFonts w:hint="eastAsia"/>
                <w:szCs w:val="21"/>
              </w:rPr>
              <w:t>2.本竞争性磋商文件各部分规定的时间均以北京时间为准。</w:t>
            </w:r>
          </w:p>
        </w:tc>
      </w:tr>
    </w:tbl>
    <w:p>
      <w:pPr>
        <w:rPr>
          <w:rFonts w:asciiTheme="minorEastAsia" w:hAnsiTheme="minorEastAsia" w:eastAsiaTheme="minorEastAsia" w:cstheme="minorEastAsia"/>
          <w:sz w:val="36"/>
          <w:szCs w:val="36"/>
        </w:rPr>
      </w:pPr>
      <w:bookmarkStart w:id="23" w:name="_Toc2042"/>
      <w:bookmarkStart w:id="24" w:name="_Toc4011"/>
      <w:bookmarkStart w:id="25" w:name="_Toc26593"/>
      <w:bookmarkStart w:id="26" w:name="_Toc23295"/>
      <w:r>
        <w:rPr>
          <w:rFonts w:hint="eastAsia"/>
        </w:rPr>
        <w:br w:type="page"/>
      </w:r>
    </w:p>
    <w:p>
      <w:pPr>
        <w:pStyle w:val="35"/>
        <w:spacing w:before="120" w:beforeLines="50" w:after="120" w:afterLines="50"/>
        <w:ind w:firstLine="0" w:firstLineChars="0"/>
        <w:jc w:val="center"/>
        <w:rPr>
          <w:sz w:val="36"/>
          <w:szCs w:val="36"/>
        </w:rPr>
      </w:pPr>
      <w:bookmarkStart w:id="27" w:name="_Toc25397"/>
      <w:bookmarkStart w:id="28" w:name="_Toc5234"/>
      <w:r>
        <w:rPr>
          <w:rFonts w:hint="eastAsia"/>
          <w:sz w:val="36"/>
          <w:szCs w:val="36"/>
        </w:rPr>
        <w:t>竞争性磋商文件</w:t>
      </w:r>
      <w:bookmarkEnd w:id="20"/>
      <w:bookmarkEnd w:id="23"/>
      <w:bookmarkEnd w:id="24"/>
      <w:bookmarkEnd w:id="25"/>
      <w:bookmarkEnd w:id="26"/>
      <w:bookmarkEnd w:id="27"/>
      <w:bookmarkEnd w:id="28"/>
    </w:p>
    <w:p>
      <w:pPr>
        <w:pStyle w:val="49"/>
        <w:spacing w:line="520" w:lineRule="exact"/>
        <w:ind w:firstLine="482"/>
      </w:pPr>
      <w:bookmarkStart w:id="29" w:name="_Toc22302"/>
      <w:bookmarkStart w:id="30" w:name="_Toc28698"/>
      <w:bookmarkStart w:id="31" w:name="_Toc22917"/>
      <w:bookmarkStart w:id="32" w:name="_Toc31870"/>
      <w:bookmarkStart w:id="33" w:name="_Toc307564829"/>
      <w:bookmarkStart w:id="34" w:name="_Toc319440119"/>
      <w:bookmarkStart w:id="35" w:name="_Toc327196263"/>
      <w:bookmarkStart w:id="36" w:name="_Toc3601"/>
      <w:bookmarkStart w:id="37" w:name="_Toc12046"/>
      <w:bookmarkStart w:id="38" w:name="_Toc32648"/>
      <w:bookmarkStart w:id="39" w:name="_Toc23796"/>
      <w:bookmarkStart w:id="40" w:name="_Toc29532"/>
      <w:bookmarkStart w:id="41" w:name="_Toc308188129"/>
      <w:bookmarkStart w:id="42" w:name="_Toc20769"/>
      <w:bookmarkStart w:id="43" w:name="_Toc10311"/>
      <w:bookmarkStart w:id="44" w:name="_Toc217446034"/>
      <w:bookmarkStart w:id="45" w:name="_Toc319439877"/>
      <w:bookmarkStart w:id="46" w:name="_Toc308084574"/>
      <w:bookmarkStart w:id="47" w:name="_Toc32483"/>
      <w:bookmarkStart w:id="48" w:name="_Toc5790"/>
      <w:bookmarkStart w:id="49" w:name="_Toc307501086"/>
      <w:bookmarkStart w:id="50" w:name="_Toc309897492"/>
      <w:bookmarkStart w:id="51" w:name="_Toc28450"/>
      <w:r>
        <w:rPr>
          <w:rFonts w:hint="eastAsia"/>
        </w:rPr>
        <w:t>竞争性磋商文件的构成</w:t>
      </w:r>
      <w:bookmarkEnd w:id="29"/>
      <w:r>
        <w:rPr>
          <w:rFonts w:hint="eastAsia"/>
        </w:rPr>
        <w:t>(实质性要求)</w:t>
      </w:r>
      <w:bookmarkEnd w:id="30"/>
      <w:bookmarkEnd w:id="31"/>
    </w:p>
    <w:p>
      <w:pPr>
        <w:pStyle w:val="46"/>
        <w:spacing w:line="520" w:lineRule="exact"/>
      </w:pPr>
      <w:r>
        <w:rPr>
          <w:rFonts w:hint="eastAsia"/>
        </w:rPr>
        <w:t>竞争性磋商文件是供应商准备响应文件和参加竞争性磋商的依据，同时也是评审的重要依据，具有准法律文件性质。竞争性磋商文件用以阐明磋商项目所需的资质、技术、服务及报价等要求、磋商程序、有关规定和注意事项以及</w:t>
      </w:r>
      <w:r>
        <w:rPr>
          <w:rFonts w:hint="eastAsia"/>
          <w:lang w:val="en-US" w:eastAsia="zh-CN"/>
        </w:rPr>
        <w:t>采购</w:t>
      </w:r>
      <w:r>
        <w:rPr>
          <w:rFonts w:hint="eastAsia"/>
        </w:rPr>
        <w:t>合同条款等。</w:t>
      </w:r>
    </w:p>
    <w:p>
      <w:pPr>
        <w:pStyle w:val="46"/>
        <w:spacing w:line="520" w:lineRule="exact"/>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49"/>
        <w:spacing w:line="520" w:lineRule="exact"/>
        <w:ind w:firstLine="482"/>
      </w:pPr>
      <w:bookmarkStart w:id="52" w:name="_Toc2367"/>
      <w:bookmarkStart w:id="53" w:name="_Toc11074"/>
      <w:bookmarkStart w:id="54" w:name="_Toc3517"/>
      <w:r>
        <w:rPr>
          <w:rFonts w:hint="eastAsia"/>
        </w:rPr>
        <w:t>竞争性磋商文件包含内容</w:t>
      </w:r>
      <w:bookmarkEnd w:id="52"/>
      <w:bookmarkEnd w:id="53"/>
      <w:bookmarkEnd w:id="54"/>
    </w:p>
    <w:p>
      <w:pPr>
        <w:pStyle w:val="63"/>
        <w:spacing w:line="520" w:lineRule="exact"/>
        <w:ind w:firstLine="480"/>
      </w:pPr>
      <w:r>
        <w:rPr>
          <w:rFonts w:hint="eastAsia"/>
        </w:rPr>
        <w:t>供应商资格条件、采购邀请、采购方式、采购预算、采购需求、参照执行的政府采购政策要求、评审程序、评审方法、评审标准、价格构成或者报价要求、响应文件编制要求、磋商过程中可能实质性变动的内容、响应文件提交的截止时间、开启时间及地点以及采购合同条款等。本竞争性磋商文件包括以下内容：</w:t>
      </w:r>
    </w:p>
    <w:p>
      <w:pPr>
        <w:pStyle w:val="36"/>
        <w:numPr>
          <w:ilvl w:val="0"/>
          <w:numId w:val="11"/>
        </w:numPr>
        <w:spacing w:line="520" w:lineRule="exact"/>
        <w:ind w:left="0" w:firstLine="480"/>
      </w:pPr>
      <w:r>
        <w:rPr>
          <w:rFonts w:hint="eastAsia"/>
        </w:rPr>
        <w:t>竞争性磋商邀请；</w:t>
      </w:r>
    </w:p>
    <w:p>
      <w:pPr>
        <w:pStyle w:val="36"/>
        <w:numPr>
          <w:ilvl w:val="0"/>
          <w:numId w:val="11"/>
        </w:numPr>
        <w:spacing w:line="520" w:lineRule="exact"/>
        <w:ind w:left="0" w:firstLine="480"/>
      </w:pPr>
      <w:r>
        <w:rPr>
          <w:rFonts w:hint="eastAsia"/>
        </w:rPr>
        <w:t>磋商须知；</w:t>
      </w:r>
    </w:p>
    <w:p>
      <w:pPr>
        <w:pStyle w:val="36"/>
        <w:numPr>
          <w:ilvl w:val="0"/>
          <w:numId w:val="11"/>
        </w:numPr>
        <w:spacing w:line="520" w:lineRule="exact"/>
        <w:ind w:left="0" w:firstLine="480"/>
      </w:pPr>
      <w:r>
        <w:rPr>
          <w:rFonts w:hint="eastAsia"/>
        </w:rPr>
        <w:t>供应商资格条件；</w:t>
      </w:r>
    </w:p>
    <w:p>
      <w:pPr>
        <w:pStyle w:val="36"/>
        <w:numPr>
          <w:ilvl w:val="0"/>
          <w:numId w:val="11"/>
        </w:numPr>
        <w:spacing w:line="520" w:lineRule="exact"/>
        <w:ind w:left="0" w:firstLine="480"/>
      </w:pPr>
      <w:r>
        <w:rPr>
          <w:rFonts w:hint="eastAsia"/>
        </w:rPr>
        <w:t>采购需求；</w:t>
      </w:r>
    </w:p>
    <w:p>
      <w:pPr>
        <w:pStyle w:val="36"/>
        <w:numPr>
          <w:ilvl w:val="0"/>
          <w:numId w:val="11"/>
        </w:numPr>
        <w:spacing w:line="520" w:lineRule="exact"/>
        <w:ind w:left="0" w:firstLine="480"/>
      </w:pPr>
      <w:r>
        <w:rPr>
          <w:rFonts w:hint="eastAsia"/>
        </w:rPr>
        <w:t>参照执行的政府采购政策要求；</w:t>
      </w:r>
    </w:p>
    <w:p>
      <w:pPr>
        <w:pStyle w:val="36"/>
        <w:numPr>
          <w:ilvl w:val="0"/>
          <w:numId w:val="11"/>
        </w:numPr>
        <w:spacing w:line="520" w:lineRule="exact"/>
        <w:ind w:left="0" w:firstLine="480"/>
      </w:pPr>
      <w:r>
        <w:rPr>
          <w:rFonts w:hint="eastAsia"/>
        </w:rPr>
        <w:t>评审程序、评审方法、评审标准；</w:t>
      </w:r>
    </w:p>
    <w:p>
      <w:pPr>
        <w:pStyle w:val="36"/>
        <w:numPr>
          <w:ilvl w:val="0"/>
          <w:numId w:val="11"/>
        </w:numPr>
        <w:spacing w:line="520" w:lineRule="exact"/>
        <w:ind w:left="0" w:firstLine="480"/>
      </w:pPr>
      <w:r>
        <w:rPr>
          <w:rFonts w:hint="eastAsia"/>
        </w:rPr>
        <w:t>报价要求；</w:t>
      </w:r>
    </w:p>
    <w:p>
      <w:pPr>
        <w:pStyle w:val="36"/>
        <w:numPr>
          <w:ilvl w:val="0"/>
          <w:numId w:val="11"/>
        </w:numPr>
        <w:spacing w:line="520" w:lineRule="exact"/>
        <w:ind w:left="0" w:firstLine="480"/>
      </w:pPr>
      <w:r>
        <w:rPr>
          <w:rFonts w:hint="eastAsia"/>
        </w:rPr>
        <w:t>响应文件编制要求；</w:t>
      </w:r>
    </w:p>
    <w:p>
      <w:pPr>
        <w:pStyle w:val="36"/>
        <w:numPr>
          <w:ilvl w:val="0"/>
          <w:numId w:val="11"/>
        </w:numPr>
        <w:spacing w:line="520" w:lineRule="exact"/>
        <w:ind w:left="0" w:firstLine="480"/>
      </w:pPr>
      <w:r>
        <w:rPr>
          <w:rFonts w:hint="eastAsia"/>
        </w:rPr>
        <w:t>磋商过程中可能实质性变动的内容；</w:t>
      </w:r>
    </w:p>
    <w:p>
      <w:pPr>
        <w:pStyle w:val="36"/>
        <w:numPr>
          <w:ilvl w:val="0"/>
          <w:numId w:val="11"/>
        </w:numPr>
        <w:spacing w:line="520" w:lineRule="exact"/>
        <w:ind w:left="0" w:firstLine="480"/>
      </w:pPr>
      <w:r>
        <w:rPr>
          <w:rFonts w:hint="eastAsia"/>
        </w:rPr>
        <w:t>采购合同条款；</w:t>
      </w:r>
    </w:p>
    <w:p>
      <w:pPr>
        <w:pStyle w:val="36"/>
        <w:numPr>
          <w:ilvl w:val="0"/>
          <w:numId w:val="11"/>
        </w:numPr>
        <w:spacing w:line="520" w:lineRule="exact"/>
        <w:ind w:left="0" w:firstLine="480"/>
      </w:pPr>
      <w:r>
        <w:rPr>
          <w:rFonts w:hint="eastAsia"/>
        </w:rPr>
        <w:t>磋商过程中形成的书面澄清、说明、更正。</w:t>
      </w:r>
    </w:p>
    <w:p>
      <w:pPr>
        <w:pStyle w:val="63"/>
        <w:spacing w:line="520" w:lineRule="exact"/>
        <w:ind w:firstLine="480"/>
      </w:pPr>
      <w:r>
        <w:rPr>
          <w:rFonts w:hint="eastAsia"/>
        </w:rPr>
        <w:t>供应商应详细阅读竞争性磋商文件的全部内容，并实质性响应竞争性磋商文件的要求，供应商未对竞争性磋商文件全面做出实质性响应是供应商的风险。</w:t>
      </w:r>
    </w:p>
    <w:p>
      <w:pPr>
        <w:pStyle w:val="49"/>
        <w:spacing w:line="520" w:lineRule="exact"/>
        <w:ind w:firstLine="482"/>
      </w:pPr>
      <w:bookmarkStart w:id="55" w:name="_Toc17499"/>
      <w:bookmarkStart w:id="56" w:name="_Toc24917"/>
      <w:bookmarkStart w:id="57" w:name="_Toc18396"/>
      <w:r>
        <w:rPr>
          <w:rFonts w:hint="eastAsia"/>
        </w:rPr>
        <w:t>竞争性磋商文件的澄清和修改</w:t>
      </w:r>
      <w:bookmarkEnd w:id="55"/>
      <w:bookmarkEnd w:id="56"/>
      <w:bookmarkEnd w:id="57"/>
    </w:p>
    <w:p>
      <w:pPr>
        <w:pStyle w:val="33"/>
        <w:numPr>
          <w:ilvl w:val="1"/>
          <w:numId w:val="0"/>
        </w:numPr>
        <w:spacing w:line="520" w:lineRule="exact"/>
        <w:ind w:firstLine="480" w:firstLineChars="200"/>
      </w:pPr>
      <w:bookmarkStart w:id="58" w:name="_Toc21821"/>
      <w:r>
        <w:rPr>
          <w:rFonts w:hint="eastAsia"/>
        </w:rPr>
        <w:t>1.提交首次响应文件截止之日前，采购人、采购代理机构或者磋商小组可以对已发出的磋商文件进行必要的澄清或者修改，澄清或者修改的内容作为磋商文件的组成部分。</w:t>
      </w:r>
    </w:p>
    <w:p>
      <w:pPr>
        <w:pStyle w:val="33"/>
        <w:numPr>
          <w:ilvl w:val="1"/>
          <w:numId w:val="0"/>
        </w:numPr>
        <w:spacing w:line="520" w:lineRule="exact"/>
        <w:ind w:firstLine="480" w:firstLineChars="200"/>
      </w:pPr>
      <w:r>
        <w:rPr>
          <w:rFonts w:hint="eastAsia"/>
        </w:rPr>
        <w:t>2.采购代理机构将通过“中国招标投标公共服务平台”将澄清或者修改的内容通知所有按照规定获得了磋商文件的供应商，同时在</w:t>
      </w:r>
      <w:r>
        <w:rPr>
          <w:rFonts w:hint="eastAsia"/>
          <w:lang w:eastAsia="zh-CN"/>
        </w:rPr>
        <w:t>“中国招标投标公共服务平台”</w:t>
      </w:r>
      <w:r>
        <w:rPr>
          <w:rFonts w:hint="eastAsia"/>
        </w:rPr>
        <w:t>发布更正公告。</w:t>
      </w:r>
    </w:p>
    <w:p>
      <w:pPr>
        <w:pStyle w:val="33"/>
        <w:numPr>
          <w:ilvl w:val="1"/>
          <w:numId w:val="0"/>
        </w:numPr>
        <w:spacing w:line="520" w:lineRule="exact"/>
        <w:ind w:firstLine="480" w:firstLineChars="200"/>
      </w:pPr>
      <w:r>
        <w:rPr>
          <w:rFonts w:hint="eastAsia"/>
        </w:rPr>
        <w:t>3.澄清或者修改的内容可能影响响应文件编制的，采购人、采购代理机构应当在提交首次响应文件截止时间至少5日前，发布公告通知所有获取磋商文件的供应商；不足5日的，采购人、采购代理机构应当顺延提交首次响应文件截止时间。</w:t>
      </w:r>
    </w:p>
    <w:p>
      <w:pPr>
        <w:pStyle w:val="33"/>
        <w:numPr>
          <w:ilvl w:val="1"/>
          <w:numId w:val="0"/>
        </w:numPr>
        <w:spacing w:line="520" w:lineRule="exact"/>
        <w:ind w:firstLine="480" w:firstLineChars="200"/>
      </w:pPr>
      <w:r>
        <w:rPr>
          <w:rFonts w:hint="eastAsia"/>
        </w:rPr>
        <w:t>4.供应商应于递交响应文件截止前，在</w:t>
      </w:r>
      <w:r>
        <w:rPr>
          <w:rFonts w:hint="eastAsia"/>
          <w:lang w:eastAsia="zh-CN"/>
        </w:rPr>
        <w:t>“中国招标投标公共服务平台”</w:t>
      </w:r>
      <w:r>
        <w:rPr>
          <w:rFonts w:hint="eastAsia"/>
        </w:rPr>
        <w:t>查询本项目的更正公告，以保证其对磋商文件做出正确的响应。供应商未及时关注更正公告的信息造成的不利后果，其责任由供应商自行负责。</w:t>
      </w:r>
    </w:p>
    <w:p>
      <w:pPr>
        <w:pStyle w:val="33"/>
        <w:numPr>
          <w:ilvl w:val="1"/>
          <w:numId w:val="0"/>
        </w:numPr>
        <w:spacing w:line="520" w:lineRule="exact"/>
        <w:ind w:firstLine="480" w:firstLineChars="200"/>
      </w:pPr>
      <w:r>
        <w:rPr>
          <w:rFonts w:hint="eastAsia"/>
        </w:rPr>
        <w:t>5.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但不得超出响应文件的范围或者改变响应文件的实质性内容。</w:t>
      </w:r>
    </w:p>
    <w:p>
      <w:pPr>
        <w:pStyle w:val="33"/>
        <w:numPr>
          <w:ilvl w:val="1"/>
          <w:numId w:val="0"/>
        </w:numPr>
        <w:spacing w:line="520" w:lineRule="exact"/>
        <w:ind w:firstLine="480" w:firstLineChars="200"/>
      </w:pPr>
      <w:r>
        <w:rPr>
          <w:rFonts w:hint="eastAsia"/>
        </w:rPr>
        <w:t>6.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pPr>
        <w:pStyle w:val="33"/>
        <w:numPr>
          <w:ilvl w:val="1"/>
          <w:numId w:val="0"/>
        </w:numPr>
        <w:spacing w:line="520" w:lineRule="exact"/>
        <w:ind w:firstLine="480" w:firstLineChars="200"/>
      </w:pPr>
      <w:r>
        <w:rPr>
          <w:rFonts w:hint="eastAsia"/>
        </w:rPr>
        <w:t>7.评审委员会应当积极履行澄清、说明或者更正的职责，不得滥用权力。供应商的响应文件可以要求澄清、说明或者更正的，不得未经澄清、说明或者更正而直接作无效处理。</w:t>
      </w:r>
    </w:p>
    <w:p>
      <w:pPr>
        <w:pStyle w:val="33"/>
        <w:numPr>
          <w:ilvl w:val="1"/>
          <w:numId w:val="0"/>
        </w:numPr>
        <w:spacing w:line="520" w:lineRule="exact"/>
        <w:ind w:firstLine="480" w:firstLineChars="200"/>
      </w:pPr>
      <w:r>
        <w:rPr>
          <w:rFonts w:hint="eastAsia"/>
        </w:rPr>
        <w:t>8.供应商认为采购代理机构需要对磋商文件进行澄清或者修改的，可以在响应文件递交的截止时间前以书面形式向采购代理机构提出申请，由采购代理机构决定是否采纳供应商的申请事项。</w:t>
      </w:r>
    </w:p>
    <w:p>
      <w:pPr>
        <w:pStyle w:val="49"/>
        <w:spacing w:line="520" w:lineRule="exact"/>
        <w:ind w:firstLine="482"/>
      </w:pPr>
      <w:bookmarkStart w:id="59" w:name="_Toc7821"/>
      <w:bookmarkStart w:id="60" w:name="_Toc13497"/>
      <w:r>
        <w:rPr>
          <w:rFonts w:hint="eastAsia"/>
        </w:rPr>
        <w:t>实质性变动</w:t>
      </w:r>
      <w:bookmarkEnd w:id="58"/>
      <w:bookmarkEnd w:id="59"/>
      <w:bookmarkEnd w:id="60"/>
    </w:p>
    <w:p>
      <w:pPr>
        <w:pStyle w:val="46"/>
        <w:spacing w:line="520" w:lineRule="exact"/>
      </w:pPr>
      <w:r>
        <w:rPr>
          <w:rFonts w:hint="eastAsia"/>
        </w:rPr>
        <w:t>磋商小组对磋商文件作出的实质性变动是磋商文件的有效组成部分，磋商小组应当及时以书面形式同时通知所有参加磋商的供应商。</w:t>
      </w:r>
    </w:p>
    <w:p>
      <w:pPr>
        <w:pStyle w:val="49"/>
        <w:spacing w:line="520" w:lineRule="exact"/>
        <w:ind w:firstLine="482"/>
      </w:pPr>
      <w:bookmarkStart w:id="61" w:name="_Toc30694"/>
      <w:bookmarkStart w:id="62" w:name="_Toc12073"/>
      <w:bookmarkStart w:id="63" w:name="_Toc5368"/>
      <w:r>
        <w:rPr>
          <w:rFonts w:hint="eastAsia"/>
        </w:rPr>
        <w:t>答疑会和现场考察</w:t>
      </w:r>
      <w:bookmarkEnd w:id="61"/>
      <w:bookmarkEnd w:id="62"/>
      <w:bookmarkEnd w:id="63"/>
    </w:p>
    <w:p>
      <w:pPr>
        <w:pStyle w:val="63"/>
        <w:spacing w:line="520" w:lineRule="exact"/>
        <w:ind w:firstLine="480"/>
      </w:pPr>
      <w:r>
        <w:rPr>
          <w:rFonts w:hint="eastAsia"/>
        </w:rPr>
        <w:t>根据采购项目和具体情况，采购人、采购代理机构认为有必要，可以在磋商文件提供期限截止后响应文件提交截止前，组织已获取磋商文件的潜在供应商现场考察或者召开答疑会。</w:t>
      </w:r>
    </w:p>
    <w:p>
      <w:pPr>
        <w:pStyle w:val="63"/>
        <w:spacing w:line="520" w:lineRule="exact"/>
        <w:ind w:firstLine="480"/>
      </w:pPr>
      <w:r>
        <w:rPr>
          <w:rFonts w:hint="eastAsia"/>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作无效处理。</w:t>
      </w:r>
    </w:p>
    <w:p>
      <w:pPr>
        <w:pStyle w:val="63"/>
        <w:spacing w:line="520" w:lineRule="exact"/>
        <w:ind w:firstLine="480"/>
      </w:pPr>
      <w:r>
        <w:rPr>
          <w:rFonts w:hint="eastAsia"/>
        </w:rPr>
        <w:t>供应商考察现场或者参加答疑会所发生的一切费用由供应商自行承担。</w:t>
      </w:r>
    </w:p>
    <w:p>
      <w:pPr>
        <w:pStyle w:val="35"/>
        <w:spacing w:before="120" w:beforeLines="50" w:after="120" w:afterLines="50" w:line="520" w:lineRule="exact"/>
        <w:ind w:firstLine="0" w:firstLineChars="0"/>
        <w:jc w:val="center"/>
        <w:rPr>
          <w:sz w:val="36"/>
          <w:szCs w:val="36"/>
        </w:rPr>
      </w:pPr>
      <w:bookmarkStart w:id="64" w:name="_Toc22058"/>
      <w:bookmarkStart w:id="65" w:name="_Toc12477"/>
      <w:r>
        <w:rPr>
          <w:rFonts w:hint="eastAsia"/>
          <w:sz w:val="36"/>
          <w:szCs w:val="36"/>
        </w:rPr>
        <w:t>响应文件</w:t>
      </w:r>
      <w:bookmarkEnd w:id="64"/>
      <w:bookmarkEnd w:id="65"/>
    </w:p>
    <w:p>
      <w:pPr>
        <w:pStyle w:val="49"/>
        <w:spacing w:line="520" w:lineRule="exact"/>
        <w:ind w:firstLine="482"/>
      </w:pPr>
      <w:bookmarkStart w:id="66" w:name="_Toc9698"/>
      <w:bookmarkStart w:id="67" w:name="_Toc22836"/>
      <w:bookmarkStart w:id="68" w:name="_Toc32122"/>
      <w:bookmarkStart w:id="69" w:name="_Toc1594"/>
      <w:bookmarkStart w:id="70" w:name="_Toc7367"/>
      <w:bookmarkStart w:id="71" w:name="_Toc32601"/>
      <w:r>
        <w:rPr>
          <w:rFonts w:hint="eastAsia"/>
        </w:rPr>
        <w:t>响应文件的语言(实质性要求)</w:t>
      </w:r>
      <w:bookmarkEnd w:id="66"/>
      <w:bookmarkEnd w:id="67"/>
      <w:bookmarkEnd w:id="68"/>
    </w:p>
    <w:p>
      <w:pPr>
        <w:pStyle w:val="33"/>
        <w:numPr>
          <w:ilvl w:val="1"/>
          <w:numId w:val="0"/>
        </w:numPr>
        <w:spacing w:line="520" w:lineRule="exact"/>
        <w:ind w:firstLine="480" w:firstLineChars="200"/>
      </w:pPr>
      <w:bookmarkStart w:id="72" w:name="_Toc21182"/>
      <w:r>
        <w:rPr>
          <w:rFonts w:hint="eastAsia"/>
        </w:rPr>
        <w:t>1.供应商提交的响应文件以及供应商与招标采购单位就有关磋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pPr>
        <w:pStyle w:val="33"/>
        <w:numPr>
          <w:ilvl w:val="1"/>
          <w:numId w:val="0"/>
        </w:numPr>
        <w:spacing w:line="520" w:lineRule="exact"/>
        <w:ind w:firstLine="480" w:firstLineChars="200"/>
      </w:pPr>
      <w:r>
        <w:rPr>
          <w:rFonts w:hint="eastAsia"/>
        </w:rPr>
        <w:t>2.翻译的中文资料与外文资料如果出现差异和矛盾时，以中文为准。涉嫌提供虚假材料的按照相关法律法规处理。</w:t>
      </w:r>
    </w:p>
    <w:p>
      <w:pPr>
        <w:pStyle w:val="33"/>
        <w:numPr>
          <w:ilvl w:val="1"/>
          <w:numId w:val="0"/>
        </w:numPr>
        <w:spacing w:line="520" w:lineRule="exact"/>
        <w:ind w:firstLine="480" w:firstLineChars="200"/>
      </w:pPr>
      <w:r>
        <w:rPr>
          <w:rFonts w:hint="eastAsia"/>
        </w:rPr>
        <w:t>3.如因未翻译而造成对供应商的不利后果，由供应商承担。</w:t>
      </w:r>
    </w:p>
    <w:p>
      <w:pPr>
        <w:pStyle w:val="49"/>
        <w:spacing w:line="520" w:lineRule="exact"/>
        <w:ind w:firstLine="482"/>
      </w:pPr>
      <w:bookmarkStart w:id="73" w:name="_Toc30439"/>
      <w:bookmarkStart w:id="74" w:name="_Toc8134"/>
      <w:r>
        <w:rPr>
          <w:rFonts w:hint="eastAsia"/>
        </w:rPr>
        <w:t>计量单位(实质性要求)</w:t>
      </w:r>
      <w:bookmarkEnd w:id="72"/>
      <w:bookmarkEnd w:id="73"/>
      <w:bookmarkEnd w:id="74"/>
    </w:p>
    <w:p>
      <w:pPr>
        <w:pStyle w:val="46"/>
        <w:spacing w:line="520" w:lineRule="exact"/>
      </w:pPr>
      <w:r>
        <w:rPr>
          <w:rFonts w:hint="eastAsia"/>
        </w:rPr>
        <w:t>除采购需求中另有规定外，本采购项下的磋商均采用国家法定的计量单位。</w:t>
      </w:r>
    </w:p>
    <w:p>
      <w:pPr>
        <w:pStyle w:val="49"/>
        <w:spacing w:line="520" w:lineRule="exact"/>
        <w:ind w:firstLine="482"/>
      </w:pPr>
      <w:bookmarkStart w:id="75" w:name="_Toc9568"/>
      <w:bookmarkStart w:id="76" w:name="_Toc31045"/>
      <w:bookmarkStart w:id="77" w:name="_Toc26768"/>
      <w:r>
        <w:rPr>
          <w:rFonts w:hint="eastAsia"/>
        </w:rPr>
        <w:t>知识产权(实质性要求)</w:t>
      </w:r>
      <w:bookmarkEnd w:id="75"/>
      <w:bookmarkEnd w:id="76"/>
      <w:bookmarkEnd w:id="77"/>
    </w:p>
    <w:p>
      <w:pPr>
        <w:pStyle w:val="63"/>
        <w:spacing w:line="520" w:lineRule="exact"/>
        <w:ind w:firstLine="480"/>
      </w:pPr>
      <w:bookmarkStart w:id="78" w:name="_Toc23820"/>
      <w:r>
        <w:rPr>
          <w:rFonts w:hint="eastAsia"/>
        </w:rPr>
        <w:t>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63"/>
        <w:spacing w:line="520" w:lineRule="exact"/>
        <w:ind w:firstLine="480"/>
      </w:pPr>
      <w:r>
        <w:rPr>
          <w:rFonts w:hint="eastAsia" w:cs="宋体"/>
          <w:lang w:eastAsia="zh-Hans"/>
        </w:rPr>
        <w:t>采购人享有本项目实施过程中产生的知识成果及知识产权，并依据实际情况对采购标的涉及的知识产权进行处理</w:t>
      </w:r>
      <w:r>
        <w:rPr>
          <w:rFonts w:hint="eastAsia"/>
        </w:rPr>
        <w:t>。</w:t>
      </w:r>
    </w:p>
    <w:p>
      <w:pPr>
        <w:pStyle w:val="63"/>
        <w:spacing w:line="520" w:lineRule="exact"/>
        <w:ind w:firstLine="480"/>
      </w:pPr>
      <w:r>
        <w:rPr>
          <w:rFonts w:hint="eastAsia" w:cs="宋体"/>
        </w:rPr>
        <w:t>供应商</w:t>
      </w:r>
      <w:r>
        <w:rPr>
          <w:rFonts w:hint="eastAsia" w:cs="宋体"/>
          <w:lang w:eastAsia="zh-Hans"/>
        </w:rPr>
        <w:t>如欲在项目实施过程中采用自有知识成果，需提供相关技术文档，并承诺提供无限期技术支持，采购人享有永久使用权</w:t>
      </w:r>
      <w:r>
        <w:rPr>
          <w:rFonts w:hint="eastAsia" w:cs="宋体"/>
        </w:rPr>
        <w:t>，且</w:t>
      </w:r>
      <w:r>
        <w:rPr>
          <w:rFonts w:hint="eastAsia" w:cs="宋体"/>
          <w:lang w:eastAsia="zh-Hans"/>
        </w:rPr>
        <w:t>不承担该知识产权的相关费用</w:t>
      </w:r>
      <w:r>
        <w:rPr>
          <w:rFonts w:hint="eastAsia" w:cs="宋体"/>
        </w:rPr>
        <w:t>。</w:t>
      </w:r>
      <w:r>
        <w:t>否则视为</w:t>
      </w:r>
      <w:r>
        <w:rPr>
          <w:rFonts w:hint="eastAsia"/>
        </w:rPr>
        <w:t>供应商</w:t>
      </w:r>
      <w:r>
        <w:t>未在本项目实施过程中采用自有知识成果，不影响有效性</w:t>
      </w:r>
      <w:r>
        <w:rPr>
          <w:rFonts w:hint="eastAsia"/>
        </w:rPr>
        <w:t>。</w:t>
      </w:r>
    </w:p>
    <w:p>
      <w:pPr>
        <w:pStyle w:val="63"/>
        <w:spacing w:line="520" w:lineRule="exact"/>
        <w:ind w:firstLine="480"/>
      </w:pPr>
      <w:r>
        <w:rPr>
          <w:rFonts w:hint="eastAsia" w:cs="宋体"/>
          <w:lang w:eastAsia="zh-Hans"/>
        </w:rPr>
        <w:t>如采用</w:t>
      </w:r>
      <w:r>
        <w:rPr>
          <w:rFonts w:hint="eastAsia" w:cs="宋体"/>
        </w:rPr>
        <w:t>供应商</w:t>
      </w:r>
      <w:r>
        <w:rPr>
          <w:rFonts w:hint="eastAsia" w:cs="宋体"/>
          <w:lang w:eastAsia="zh-Hans"/>
        </w:rPr>
        <w:t>所不拥有的知识产权，仍需提供相关技术文档，并承诺提供无限期技术支持，采购人享有永久合法使用的使用权，且不承担该知识产权的相关费用</w:t>
      </w:r>
      <w:r>
        <w:rPr>
          <w:rFonts w:hint="eastAsia" w:cs="宋体"/>
        </w:rPr>
        <w:t>。</w:t>
      </w:r>
    </w:p>
    <w:p>
      <w:pPr>
        <w:pStyle w:val="63"/>
        <w:spacing w:line="520" w:lineRule="exact"/>
        <w:ind w:firstLine="480"/>
      </w:pPr>
      <w:r>
        <w:rPr>
          <w:rFonts w:hint="eastAsia" w:cs="宋体"/>
          <w:lang w:eastAsia="zh-Hans"/>
        </w:rPr>
        <w:t>若项目实施过程形成了新的技术成果或知识产权</w:t>
      </w:r>
      <w:r>
        <w:rPr>
          <w:rFonts w:hint="eastAsia" w:cs="宋体"/>
        </w:rPr>
        <w:t>(</w:t>
      </w:r>
      <w:r>
        <w:rPr>
          <w:rFonts w:hint="eastAsia" w:cs="宋体"/>
          <w:lang w:eastAsia="zh-Hans"/>
        </w:rPr>
        <w:t>包括但不限于新开发的计算机软件、在原有软件基础上修改软件架构或增加新功能等的技术改进、新功能开发过程中形成的技术文件等</w:t>
      </w:r>
      <w:r>
        <w:rPr>
          <w:rFonts w:hint="eastAsia" w:cs="宋体"/>
        </w:rPr>
        <w:t>)</w:t>
      </w:r>
      <w:r>
        <w:rPr>
          <w:rFonts w:hint="eastAsia" w:cs="宋体"/>
          <w:lang w:eastAsia="zh-Hans"/>
        </w:rPr>
        <w:t>，应由采购人和</w:t>
      </w:r>
      <w:r>
        <w:rPr>
          <w:rFonts w:hint="eastAsia" w:cs="宋体"/>
        </w:rPr>
        <w:t>供应商</w:t>
      </w:r>
      <w:r>
        <w:rPr>
          <w:rFonts w:hint="eastAsia" w:cs="宋体"/>
          <w:lang w:eastAsia="zh-Hans"/>
        </w:rPr>
        <w:t>共同所有前述科技成果权利或知识产权，</w:t>
      </w:r>
      <w:r>
        <w:rPr>
          <w:rFonts w:hint="eastAsia" w:cs="宋体"/>
        </w:rPr>
        <w:t>供应商</w:t>
      </w:r>
      <w:r>
        <w:rPr>
          <w:rFonts w:hint="eastAsia" w:cs="宋体"/>
          <w:lang w:eastAsia="zh-Hans"/>
        </w:rPr>
        <w:t>承诺采购人享有前述成果权利或知识产权永久合法使用的使用权，且</w:t>
      </w:r>
      <w:r>
        <w:rPr>
          <w:rFonts w:hint="eastAsia" w:cs="宋体"/>
        </w:rPr>
        <w:t>供应商</w:t>
      </w:r>
      <w:r>
        <w:rPr>
          <w:rFonts w:hint="eastAsia" w:cs="宋体"/>
          <w:lang w:eastAsia="zh-Hans"/>
        </w:rPr>
        <w:t>承诺额外承担任何与之有关的费用</w:t>
      </w:r>
      <w:r>
        <w:rPr>
          <w:rFonts w:hint="eastAsia"/>
        </w:rPr>
        <w:t>。</w:t>
      </w:r>
    </w:p>
    <w:p>
      <w:pPr>
        <w:pStyle w:val="63"/>
        <w:spacing w:line="520" w:lineRule="exact"/>
        <w:ind w:firstLine="480"/>
      </w:pPr>
      <w:r>
        <w:rPr>
          <w:rFonts w:hint="eastAsia"/>
        </w:rPr>
        <w:t xml:space="preserve">如采用供应商所不拥有的知识产权，则在磋商报价中必须包括合法获取该知识产权的相关费用。 </w:t>
      </w:r>
    </w:p>
    <w:p>
      <w:pPr>
        <w:pStyle w:val="49"/>
        <w:spacing w:line="520" w:lineRule="exact"/>
        <w:ind w:firstLine="482"/>
      </w:pPr>
      <w:bookmarkStart w:id="79" w:name="_Toc12281"/>
      <w:bookmarkStart w:id="80" w:name="_Toc25494"/>
      <w:r>
        <w:rPr>
          <w:rFonts w:hint="eastAsia"/>
        </w:rPr>
        <w:t>响应文件格式要求</w:t>
      </w:r>
      <w:bookmarkEnd w:id="78"/>
      <w:bookmarkEnd w:id="79"/>
      <w:bookmarkEnd w:id="80"/>
    </w:p>
    <w:p>
      <w:pPr>
        <w:pStyle w:val="33"/>
        <w:numPr>
          <w:ilvl w:val="1"/>
          <w:numId w:val="0"/>
        </w:numPr>
        <w:spacing w:line="520" w:lineRule="exact"/>
        <w:ind w:left="480" w:leftChars="200"/>
      </w:pPr>
      <w:bookmarkStart w:id="81" w:name="_Toc13765"/>
      <w:r>
        <w:rPr>
          <w:rFonts w:hint="eastAsia"/>
        </w:rPr>
        <w:t>1.供应商应按照磋商文件第三章中提供的“响应文件格式”编制相关内容。</w:t>
      </w:r>
    </w:p>
    <w:p>
      <w:pPr>
        <w:pStyle w:val="33"/>
        <w:numPr>
          <w:ilvl w:val="1"/>
          <w:numId w:val="0"/>
        </w:numPr>
        <w:spacing w:line="520" w:lineRule="exact"/>
        <w:ind w:left="480" w:leftChars="200"/>
      </w:pPr>
      <w:r>
        <w:rPr>
          <w:rFonts w:hint="eastAsia"/>
        </w:rPr>
        <w:t>2.对于磋商文件没有格式要求的由供应商自行编写。</w:t>
      </w:r>
    </w:p>
    <w:p>
      <w:pPr>
        <w:pStyle w:val="49"/>
        <w:spacing w:line="520" w:lineRule="exact"/>
        <w:ind w:firstLine="482"/>
      </w:pPr>
      <w:bookmarkStart w:id="82" w:name="_Toc1285"/>
      <w:bookmarkStart w:id="83" w:name="_Toc8676"/>
      <w:r>
        <w:rPr>
          <w:rFonts w:hint="eastAsia"/>
        </w:rPr>
        <w:t>磋商有效期(实质性要求)</w:t>
      </w:r>
      <w:bookmarkEnd w:id="81"/>
      <w:bookmarkEnd w:id="82"/>
      <w:bookmarkEnd w:id="83"/>
    </w:p>
    <w:p>
      <w:pPr>
        <w:pStyle w:val="63"/>
        <w:spacing w:line="520" w:lineRule="exact"/>
        <w:ind w:firstLine="480"/>
      </w:pPr>
      <w:r>
        <w:rPr>
          <w:rFonts w:hint="eastAsia"/>
        </w:rPr>
        <w:t>磋商有效期为响应文件递交截止时间之日起90日。供应商响应文件中必须载明磋商有效期，响应文件中载明的磋商有效期可以长于磋商文件规定的期限，但不得短于磋商文件规定的期限。否则，其响应文件将作为无效响应处理。</w:t>
      </w:r>
    </w:p>
    <w:p>
      <w:pPr>
        <w:pStyle w:val="63"/>
        <w:spacing w:line="520" w:lineRule="exact"/>
        <w:ind w:firstLine="480"/>
      </w:pPr>
      <w:r>
        <w:rPr>
          <w:rFonts w:hint="eastAsia"/>
        </w:rPr>
        <w:t>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63"/>
        <w:spacing w:line="520" w:lineRule="exact"/>
        <w:ind w:firstLine="480"/>
      </w:pPr>
      <w:r>
        <w:rPr>
          <w:rFonts w:hint="eastAsia"/>
        </w:rPr>
        <w:t>因采购人采购需求作出必要调整，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w:t>
      </w:r>
    </w:p>
    <w:p>
      <w:pPr>
        <w:pStyle w:val="49"/>
        <w:spacing w:line="520" w:lineRule="exact"/>
        <w:ind w:firstLine="482"/>
      </w:pPr>
      <w:bookmarkStart w:id="84" w:name="_Toc16657"/>
      <w:bookmarkStart w:id="85" w:name="_Toc23482"/>
      <w:bookmarkStart w:id="86" w:name="_Toc28963"/>
      <w:r>
        <w:rPr>
          <w:rFonts w:hint="eastAsia"/>
        </w:rPr>
        <w:t>联合体磋商</w:t>
      </w:r>
      <w:bookmarkEnd w:id="84"/>
      <w:r>
        <w:rPr>
          <w:rFonts w:hint="eastAsia"/>
          <w:lang w:val="zh-CN"/>
        </w:rPr>
        <w:t>(实质性要求)</w:t>
      </w:r>
      <w:bookmarkEnd w:id="85"/>
      <w:bookmarkEnd w:id="86"/>
    </w:p>
    <w:p>
      <w:pPr>
        <w:pStyle w:val="43"/>
        <w:spacing w:line="520" w:lineRule="exact"/>
        <w:ind w:firstLine="480" w:firstLineChars="200"/>
      </w:pPr>
      <w:r>
        <w:rPr>
          <w:rFonts w:hint="eastAsia"/>
        </w:rPr>
        <w:t>本项目不接受联合体参加本次采购活动。</w:t>
      </w:r>
      <w:bookmarkStart w:id="87" w:name="_Toc25526"/>
      <w:bookmarkStart w:id="88" w:name="_Toc24757"/>
    </w:p>
    <w:p>
      <w:pPr>
        <w:pStyle w:val="49"/>
        <w:spacing w:line="520" w:lineRule="exact"/>
        <w:ind w:firstLine="482"/>
      </w:pPr>
      <w:bookmarkStart w:id="89" w:name="_Toc19046"/>
      <w:r>
        <w:rPr>
          <w:rFonts w:hint="eastAsia"/>
        </w:rPr>
        <w:t>响应文件</w:t>
      </w:r>
      <w:bookmarkEnd w:id="69"/>
      <w:bookmarkEnd w:id="70"/>
      <w:bookmarkEnd w:id="71"/>
      <w:r>
        <w:rPr>
          <w:rFonts w:hint="eastAsia"/>
        </w:rPr>
        <w:t>组成(实质性要求)</w:t>
      </w:r>
      <w:bookmarkEnd w:id="87"/>
      <w:bookmarkEnd w:id="88"/>
      <w:bookmarkEnd w:id="89"/>
    </w:p>
    <w:p>
      <w:pPr>
        <w:pStyle w:val="63"/>
        <w:spacing w:line="520" w:lineRule="exact"/>
        <w:ind w:firstLine="480"/>
        <w:rPr>
          <w:rStyle w:val="67"/>
        </w:rPr>
      </w:pPr>
      <w:r>
        <w:rPr>
          <w:rStyle w:val="67"/>
          <w:rFonts w:hint="eastAsia"/>
        </w:rPr>
        <w:t>供应商须按竞争性磋商文件的要求编写响应文件，对竞争性磋商文件提出的要求和条件做出实质性响应。响应文件应包括但不限于下列内容：</w:t>
      </w:r>
    </w:p>
    <w:p>
      <w:pPr>
        <w:pStyle w:val="36"/>
        <w:numPr>
          <w:ilvl w:val="0"/>
          <w:numId w:val="12"/>
        </w:numPr>
        <w:adjustRightInd/>
        <w:spacing w:line="520" w:lineRule="exact"/>
        <w:ind w:left="0" w:firstLine="480"/>
      </w:pPr>
      <w:r>
        <w:rPr>
          <w:rFonts w:hint="eastAsia"/>
        </w:rPr>
        <w:t>文件一：资格、资质性及其他类似效力响应文件</w:t>
      </w:r>
    </w:p>
    <w:p>
      <w:pPr>
        <w:pStyle w:val="46"/>
        <w:adjustRightInd/>
        <w:spacing w:line="520" w:lineRule="exact"/>
      </w:pPr>
      <w:r>
        <w:rPr>
          <w:rFonts w:hint="eastAsia"/>
        </w:rPr>
        <w:t>包括但不限于竞争性磋商文件第四章规定的资格证明材料。</w:t>
      </w:r>
    </w:p>
    <w:p>
      <w:pPr>
        <w:pStyle w:val="36"/>
        <w:numPr>
          <w:ilvl w:val="0"/>
          <w:numId w:val="12"/>
        </w:numPr>
        <w:adjustRightInd/>
        <w:spacing w:line="520" w:lineRule="exact"/>
        <w:ind w:left="0" w:firstLine="480"/>
      </w:pPr>
      <w:r>
        <w:rPr>
          <w:rFonts w:hint="eastAsia"/>
        </w:rPr>
        <w:t>文件二：其他响应文件</w:t>
      </w:r>
    </w:p>
    <w:p>
      <w:pPr>
        <w:pStyle w:val="46"/>
        <w:adjustRightInd/>
        <w:spacing w:line="520" w:lineRule="exact"/>
      </w:pPr>
      <w:r>
        <w:rPr>
          <w:rFonts w:hint="eastAsia"/>
        </w:rPr>
        <w:t>包括但不限于竞争性磋商文件第三章格式要求的内容。</w:t>
      </w:r>
    </w:p>
    <w:p>
      <w:pPr>
        <w:pStyle w:val="63"/>
        <w:spacing w:line="520" w:lineRule="exact"/>
        <w:ind w:firstLine="480"/>
      </w:pPr>
      <w:r>
        <w:rPr>
          <w:rFonts w:hint="eastAsia"/>
        </w:rPr>
        <w:t>补充、修改的内容作为响应文件的组成部分。</w:t>
      </w:r>
    </w:p>
    <w:p>
      <w:pPr>
        <w:pStyle w:val="63"/>
        <w:spacing w:line="520" w:lineRule="exact"/>
        <w:ind w:firstLine="480"/>
      </w:pPr>
      <w:r>
        <w:rPr>
          <w:rFonts w:hint="eastAsia"/>
        </w:rPr>
        <w:t>最后报价是供应商响应文件的有效组成部分。</w:t>
      </w:r>
    </w:p>
    <w:p>
      <w:pPr>
        <w:pStyle w:val="49"/>
        <w:spacing w:line="520" w:lineRule="exact"/>
        <w:ind w:firstLine="482"/>
      </w:pPr>
      <w:bookmarkStart w:id="90" w:name="_Toc4939"/>
      <w:bookmarkStart w:id="91" w:name="_Toc2322"/>
      <w:bookmarkStart w:id="92" w:name="_Toc8102"/>
      <w:bookmarkStart w:id="93" w:name="_Toc11946"/>
      <w:bookmarkStart w:id="94" w:name="_Toc2313"/>
      <w:bookmarkStart w:id="95" w:name="_Toc30559"/>
      <w:r>
        <w:rPr>
          <w:rFonts w:hint="eastAsia"/>
        </w:rPr>
        <w:t>报价</w:t>
      </w:r>
      <w:bookmarkEnd w:id="90"/>
      <w:bookmarkEnd w:id="91"/>
      <w:bookmarkEnd w:id="92"/>
      <w:r>
        <w:rPr>
          <w:rFonts w:hint="eastAsia"/>
        </w:rPr>
        <w:t>要求(实质性要求)</w:t>
      </w:r>
      <w:bookmarkEnd w:id="93"/>
      <w:bookmarkEnd w:id="94"/>
      <w:bookmarkEnd w:id="95"/>
    </w:p>
    <w:p>
      <w:pPr>
        <w:pStyle w:val="63"/>
        <w:spacing w:line="520" w:lineRule="exact"/>
        <w:ind w:firstLine="480"/>
      </w:pPr>
      <w:r>
        <w:rPr>
          <w:rFonts w:hint="eastAsia" w:cs="宋体"/>
          <w:szCs w:val="21"/>
          <w:lang w:val="zh-CN" w:eastAsia="zh-CN"/>
        </w:rPr>
        <w:t>以中国人民银行对商业银行的利息结算方式要求为</w:t>
      </w:r>
      <w:r>
        <w:rPr>
          <w:rFonts w:hint="eastAsia" w:cs="宋体"/>
          <w:szCs w:val="21"/>
          <w:lang w:val="en-US" w:eastAsia="zh-CN"/>
        </w:rPr>
        <w:t>基准价，在基准价的基础上按照资金存放综合利率上浮率进行报价，报价不得为负数，否则视为无效响应。</w:t>
      </w:r>
    </w:p>
    <w:p>
      <w:pPr>
        <w:pStyle w:val="63"/>
        <w:spacing w:line="520" w:lineRule="exact"/>
        <w:ind w:firstLine="482"/>
        <w:rPr>
          <w:b/>
          <w:bCs/>
        </w:rPr>
      </w:pPr>
      <w:r>
        <w:rPr>
          <w:rFonts w:hint="eastAsia"/>
          <w:b/>
          <w:bCs/>
        </w:rPr>
        <w:t>供应商在响应文件中可不提供报价，在磋商现场由评审委员会通知现场报价(报价表格式由采购代理机构现场提供，格式详见第三章)。</w:t>
      </w:r>
    </w:p>
    <w:p>
      <w:pPr>
        <w:pStyle w:val="63"/>
        <w:spacing w:line="520" w:lineRule="exact"/>
        <w:ind w:firstLine="480"/>
      </w:pPr>
      <w:r>
        <w:rPr>
          <w:rFonts w:hint="eastAsia"/>
        </w:rPr>
        <w:t>本次磋商采购最后报价采用现场报价，通过资格审查及实质性审查的供应商按磋商小组要求进行报价。</w:t>
      </w:r>
    </w:p>
    <w:p>
      <w:pPr>
        <w:pStyle w:val="63"/>
        <w:spacing w:line="520" w:lineRule="exact"/>
        <w:ind w:firstLine="480"/>
      </w:pPr>
      <w:r>
        <w:rPr>
          <w:rFonts w:hint="eastAsia"/>
          <w:lang w:val="zh-CN"/>
        </w:rPr>
        <w:t>供应商报价(包括最后报价)应为完成本竞争性磋商文件中所要求的</w:t>
      </w:r>
      <w:r>
        <w:rPr>
          <w:rFonts w:hint="eastAsia"/>
        </w:rPr>
        <w:t>服务</w:t>
      </w:r>
      <w:r>
        <w:rPr>
          <w:rFonts w:hint="eastAsia"/>
          <w:lang w:val="zh-CN"/>
        </w:rPr>
        <w:t>所应包括内容</w:t>
      </w:r>
      <w:r>
        <w:rPr>
          <w:rFonts w:hint="eastAsia"/>
        </w:rPr>
        <w:t>(含招标代理服务费)</w:t>
      </w:r>
      <w:r>
        <w:rPr>
          <w:rFonts w:hint="eastAsia"/>
          <w:lang w:val="zh-CN"/>
        </w:rPr>
        <w:t>。</w:t>
      </w:r>
    </w:p>
    <w:p>
      <w:pPr>
        <w:pStyle w:val="49"/>
        <w:spacing w:line="520" w:lineRule="exact"/>
        <w:ind w:firstLine="482"/>
      </w:pPr>
      <w:bookmarkStart w:id="96" w:name="_Toc20339"/>
      <w:bookmarkStart w:id="97" w:name="_Toc20380"/>
      <w:bookmarkStart w:id="98" w:name="_Toc25616"/>
      <w:r>
        <w:rPr>
          <w:rFonts w:hint="eastAsia"/>
        </w:rPr>
        <w:t>响应文件编制要求</w:t>
      </w:r>
      <w:bookmarkEnd w:id="96"/>
      <w:bookmarkEnd w:id="97"/>
      <w:bookmarkEnd w:id="98"/>
    </w:p>
    <w:p>
      <w:pPr>
        <w:pStyle w:val="63"/>
        <w:spacing w:line="520" w:lineRule="exact"/>
        <w:ind w:firstLine="480"/>
      </w:pPr>
      <w:r>
        <w:rPr>
          <w:rFonts w:hint="eastAsia"/>
        </w:rPr>
        <w:t>响应文件分</w:t>
      </w:r>
      <w:r>
        <w:rPr>
          <w:rFonts w:hint="eastAsia"/>
          <w:b/>
          <w:bCs/>
        </w:rPr>
        <w:t>《</w:t>
      </w:r>
      <w:r>
        <w:rPr>
          <w:rFonts w:hint="eastAsia"/>
          <w:b/>
          <w:bCs/>
          <w:u w:val="single"/>
        </w:rPr>
        <w:t>资格、资质性及其他类似效力响应文件</w:t>
      </w:r>
      <w:r>
        <w:rPr>
          <w:rFonts w:hint="eastAsia"/>
          <w:b/>
          <w:bCs/>
        </w:rPr>
        <w:t>》、《</w:t>
      </w:r>
      <w:r>
        <w:rPr>
          <w:rFonts w:hint="eastAsia"/>
          <w:b/>
          <w:bCs/>
          <w:u w:val="single"/>
        </w:rPr>
        <w:t>其他响应文件</w:t>
      </w:r>
      <w:r>
        <w:rPr>
          <w:rFonts w:hint="eastAsia"/>
          <w:b/>
          <w:bCs/>
        </w:rPr>
        <w:t>》</w:t>
      </w:r>
      <w:r>
        <w:rPr>
          <w:rFonts w:hint="eastAsia"/>
        </w:rPr>
        <w:t>两部分，分册装订，内容不得相互混装。</w:t>
      </w:r>
    </w:p>
    <w:p>
      <w:pPr>
        <w:pStyle w:val="63"/>
        <w:spacing w:line="520" w:lineRule="exact"/>
        <w:ind w:firstLine="480"/>
      </w:pPr>
      <w:r>
        <w:rPr>
          <w:rFonts w:hint="eastAsia"/>
        </w:rPr>
        <w:t>本项目供应商只提供纸质响应文件。</w:t>
      </w:r>
    </w:p>
    <w:p>
      <w:pPr>
        <w:pStyle w:val="63"/>
        <w:spacing w:line="520" w:lineRule="exact"/>
        <w:ind w:firstLine="480"/>
      </w:pPr>
      <w:r>
        <w:rPr>
          <w:rFonts w:hint="eastAsia"/>
        </w:rPr>
        <w:t>供应商递交的响应文件为一式叁份，其中</w:t>
      </w:r>
      <w:r>
        <w:rPr>
          <w:rFonts w:hint="eastAsia"/>
          <w:b/>
          <w:bCs/>
        </w:rPr>
        <w:t>正本壹份、副本贰份</w:t>
      </w:r>
      <w:r>
        <w:rPr>
          <w:rFonts w:hint="eastAsia"/>
        </w:rPr>
        <w:t>。</w:t>
      </w:r>
    </w:p>
    <w:p>
      <w:pPr>
        <w:pStyle w:val="63"/>
        <w:spacing w:line="520" w:lineRule="exact"/>
        <w:ind w:firstLine="480"/>
      </w:pPr>
      <w:r>
        <w:rPr>
          <w:rFonts w:hint="eastAsia"/>
        </w:rPr>
        <w:t>响应文件正副本应用不褪色、不变质的墨水书写或打印，并装订成册。并在响应文件封面标明项目名称、项目编号、磋商日期、供应商名称以及“正本”、“副本”字样。</w:t>
      </w:r>
    </w:p>
    <w:p>
      <w:pPr>
        <w:pStyle w:val="63"/>
        <w:spacing w:line="520" w:lineRule="exact"/>
        <w:ind w:firstLine="480"/>
      </w:pPr>
      <w:r>
        <w:rPr>
          <w:rFonts w:hint="eastAsia"/>
        </w:rPr>
        <w:t>响应文件正本和副本统一用A4幅面纸印制(图、表及证件可以除外)，逐页编目编码。响应文件副本可采用正本的复印件，若正本和副本有不一致的内容，以正本书面响应文件为准。</w:t>
      </w:r>
    </w:p>
    <w:p>
      <w:pPr>
        <w:pStyle w:val="63"/>
        <w:spacing w:line="520" w:lineRule="exact"/>
        <w:ind w:firstLine="480"/>
      </w:pPr>
      <w:r>
        <w:rPr>
          <w:rFonts w:hint="eastAsia"/>
        </w:rPr>
        <w:t>响应文件的正本和副本应采用左侧胶装，不得散装或不得采用活页夹等可随时拆换的方式装订，不得有零散页。</w:t>
      </w:r>
    </w:p>
    <w:p>
      <w:pPr>
        <w:pStyle w:val="63"/>
        <w:spacing w:line="520" w:lineRule="exact"/>
        <w:ind w:firstLine="480"/>
      </w:pPr>
      <w:r>
        <w:rPr>
          <w:rFonts w:hint="eastAsia"/>
        </w:rPr>
        <w:t>若同一册的内容较多，可装订成若干分册，并在封面标明次序及册数。</w:t>
      </w:r>
    </w:p>
    <w:p>
      <w:pPr>
        <w:pStyle w:val="63"/>
        <w:spacing w:line="520" w:lineRule="exact"/>
        <w:ind w:firstLine="480"/>
      </w:pPr>
      <w:r>
        <w:rPr>
          <w:rFonts w:hint="eastAsia"/>
        </w:rPr>
        <w:t>响应文件中的证明、证件及附件等复印件应集中紧附在相应正文内容后面，并尽量与前面正文部分的顺序相对应。</w:t>
      </w:r>
    </w:p>
    <w:p>
      <w:pPr>
        <w:pStyle w:val="63"/>
        <w:spacing w:line="520" w:lineRule="exact"/>
        <w:ind w:firstLine="480"/>
      </w:pPr>
      <w:r>
        <w:rPr>
          <w:rFonts w:hint="eastAsia"/>
        </w:rPr>
        <w:t>竞争性磋商文件要求响应文件签字的应按竞争性磋商文件的规定和要求签字(注：供应商为法人的，应当由其法定代表人或者授权代表签字确认；供应商为其他组织的，应当由其主要负责人或者授权代表签字确认；签字可用具有法定效力的个人印章代替)；竞争性磋商文件要求响应文件盖章的应加盖供应商单位公章，不得使用专用章(如经济合同章、投标专用章等)或下属单位印章代替；竞争性磋商文件未规定格式的可由供应商自拟格式并加盖供应商单位公章</w:t>
      </w:r>
      <w:r>
        <w:rPr>
          <w:rFonts w:hint="eastAsia"/>
          <w:b/>
          <w:bCs/>
        </w:rPr>
        <w:t>(实质性要求)</w:t>
      </w:r>
      <w:r>
        <w:rPr>
          <w:rFonts w:hint="eastAsia"/>
        </w:rPr>
        <w:t>。</w:t>
      </w:r>
    </w:p>
    <w:p>
      <w:pPr>
        <w:pStyle w:val="63"/>
        <w:spacing w:line="520" w:lineRule="exact"/>
        <w:ind w:firstLine="480"/>
      </w:pPr>
      <w:r>
        <w:rPr>
          <w:rFonts w:hint="eastAsia"/>
        </w:rPr>
        <w:t>本采购文件要求的复印件是指对图文进行复制后的文件，包括扫描、复印、影印等方式复制的材料。</w:t>
      </w:r>
    </w:p>
    <w:p>
      <w:pPr>
        <w:pStyle w:val="63"/>
        <w:spacing w:line="520" w:lineRule="exact"/>
        <w:ind w:firstLine="480"/>
      </w:pPr>
      <w:r>
        <w:rPr>
          <w:rFonts w:hint="eastAsia"/>
        </w:rPr>
        <w:t>为加强采购项目档案的数字化管理，便于采购人后期项目监督、审计及检查，倡导各供应商在递交本项目响应文件时一并递交项目的</w:t>
      </w:r>
      <w:r>
        <w:rPr>
          <w:rFonts w:hint="eastAsia"/>
          <w:b/>
          <w:bCs/>
        </w:rPr>
        <w:t>电子文档一份</w:t>
      </w:r>
      <w:r>
        <w:rPr>
          <w:rFonts w:hint="eastAsia"/>
        </w:rPr>
        <w:t>。电子文档为PDF格式版本，保存介质采用USB闪存盘(U盘)。制作要求为按竞争性磋商文件要求制作完成并加盖供应商公章及签名的响应文件的扫描件。电子文档单独密封递交，外层标注供应商名称、电子文档、加盖供应商公章。如电子文档与书面的响应文件有不一致的内容，以书面响应文件正本为准。</w:t>
      </w:r>
    </w:p>
    <w:p>
      <w:pPr>
        <w:pStyle w:val="63"/>
        <w:spacing w:line="520" w:lineRule="exact"/>
        <w:ind w:firstLine="480"/>
      </w:pPr>
      <w:r>
        <w:rPr>
          <w:rFonts w:hint="eastAsia"/>
        </w:rPr>
        <w:t>补充、修改的响应文件的装订也应按以上要求办理。</w:t>
      </w:r>
    </w:p>
    <w:p>
      <w:pPr>
        <w:pStyle w:val="49"/>
        <w:spacing w:line="520" w:lineRule="exact"/>
        <w:ind w:firstLine="482"/>
      </w:pPr>
      <w:bookmarkStart w:id="99" w:name="_Toc27421"/>
      <w:bookmarkStart w:id="100" w:name="_Toc19736"/>
      <w:bookmarkStart w:id="101" w:name="_Toc26009"/>
      <w:bookmarkStart w:id="102" w:name="_Toc32589"/>
      <w:bookmarkStart w:id="103" w:name="_Toc27391"/>
      <w:bookmarkStart w:id="104" w:name="_Toc27272"/>
      <w:bookmarkStart w:id="105" w:name="_Toc6048"/>
      <w:r>
        <w:rPr>
          <w:rFonts w:hint="eastAsia"/>
        </w:rPr>
        <w:t>响应文件的密封和标注</w:t>
      </w:r>
      <w:bookmarkEnd w:id="99"/>
      <w:bookmarkEnd w:id="100"/>
      <w:bookmarkEnd w:id="101"/>
    </w:p>
    <w:p>
      <w:pPr>
        <w:pStyle w:val="36"/>
        <w:numPr>
          <w:ilvl w:val="2"/>
          <w:numId w:val="0"/>
        </w:numPr>
        <w:spacing w:line="520" w:lineRule="exact"/>
        <w:ind w:firstLine="480" w:firstLineChars="200"/>
      </w:pPr>
      <w:r>
        <w:rPr>
          <w:rFonts w:hint="eastAsia"/>
        </w:rPr>
        <w:t>1.本项不属于本项目磋商小组评审范畴，由采购人、采购代理机构在接收响应文件时及时处理。</w:t>
      </w:r>
    </w:p>
    <w:p>
      <w:pPr>
        <w:pStyle w:val="36"/>
        <w:numPr>
          <w:ilvl w:val="2"/>
          <w:numId w:val="0"/>
        </w:numPr>
        <w:spacing w:line="520" w:lineRule="exact"/>
        <w:ind w:firstLine="480" w:firstLineChars="200"/>
      </w:pPr>
      <w:r>
        <w:rPr>
          <w:rFonts w:hint="eastAsia"/>
        </w:rPr>
        <w:t>2.响应文件可以单独密封包装，也可以将所有响应文件密封包装在一个密封袋内。</w:t>
      </w:r>
    </w:p>
    <w:p>
      <w:pPr>
        <w:pStyle w:val="36"/>
        <w:numPr>
          <w:ilvl w:val="2"/>
          <w:numId w:val="0"/>
        </w:numPr>
        <w:spacing w:line="520" w:lineRule="exact"/>
        <w:ind w:firstLine="480" w:firstLineChars="200"/>
      </w:pPr>
      <w:r>
        <w:rPr>
          <w:rFonts w:hint="eastAsia"/>
        </w:rPr>
        <w:t>3.响应文件密封袋的最外层应清楚地标明采购项目名称、项目编号、供应商名称、磋商日期。</w:t>
      </w:r>
    </w:p>
    <w:p>
      <w:pPr>
        <w:pStyle w:val="36"/>
        <w:numPr>
          <w:ilvl w:val="2"/>
          <w:numId w:val="0"/>
        </w:numPr>
        <w:spacing w:line="520" w:lineRule="exact"/>
        <w:ind w:firstLine="480" w:firstLineChars="200"/>
      </w:pPr>
      <w:r>
        <w:rPr>
          <w:rFonts w:hint="eastAsia"/>
        </w:rPr>
        <w:t>4.所有外层密封袋的封口处应粘贴牢固。</w:t>
      </w:r>
    </w:p>
    <w:p>
      <w:pPr>
        <w:pStyle w:val="36"/>
        <w:numPr>
          <w:ilvl w:val="2"/>
          <w:numId w:val="0"/>
        </w:numPr>
        <w:spacing w:line="520" w:lineRule="exact"/>
        <w:ind w:firstLine="480" w:firstLineChars="200"/>
      </w:pPr>
      <w:r>
        <w:rPr>
          <w:rFonts w:hint="eastAsia"/>
        </w:rPr>
        <w:t>5.未按以上要求进行密封和标注的响应文件，采购人、采购代理机构将拒收或者在响应文件递交截止时间前按照磋商文件要求修改完善后接收。</w:t>
      </w:r>
    </w:p>
    <w:p>
      <w:pPr>
        <w:pStyle w:val="49"/>
        <w:spacing w:line="520" w:lineRule="exact"/>
        <w:ind w:firstLine="482"/>
      </w:pPr>
      <w:bookmarkStart w:id="106" w:name="_Toc21827"/>
      <w:bookmarkStart w:id="107" w:name="_Toc5878"/>
      <w:r>
        <w:rPr>
          <w:rFonts w:hint="eastAsia"/>
        </w:rPr>
        <w:t>响应文件的递交</w:t>
      </w:r>
      <w:bookmarkEnd w:id="102"/>
      <w:bookmarkEnd w:id="103"/>
      <w:bookmarkEnd w:id="104"/>
      <w:bookmarkEnd w:id="105"/>
      <w:bookmarkEnd w:id="106"/>
      <w:bookmarkEnd w:id="107"/>
    </w:p>
    <w:p>
      <w:pPr>
        <w:pStyle w:val="63"/>
        <w:spacing w:line="520" w:lineRule="exact"/>
        <w:ind w:firstLine="480"/>
      </w:pPr>
      <w:r>
        <w:rPr>
          <w:rFonts w:hint="eastAsia"/>
        </w:rPr>
        <w:t>供应商应在竞争性磋商文件规定的响应文件递交截止时间前，将响应文件按磋商文件规定密封、签署、盖章后送达磋商地点。</w:t>
      </w:r>
      <w:r>
        <w:rPr>
          <w:rFonts w:hint="eastAsia"/>
          <w:b/>
          <w:bCs/>
        </w:rPr>
        <w:t>逾期送达的响应文件为无效文件</w:t>
      </w:r>
      <w:r>
        <w:rPr>
          <w:rFonts w:hint="eastAsia"/>
        </w:rPr>
        <w:t>，将被采购代理机构拒收。</w:t>
      </w:r>
    </w:p>
    <w:p>
      <w:pPr>
        <w:pStyle w:val="63"/>
        <w:spacing w:line="520" w:lineRule="exact"/>
        <w:ind w:firstLine="480"/>
      </w:pPr>
      <w:r>
        <w:rPr>
          <w:rFonts w:hint="eastAsia"/>
        </w:rPr>
        <w:t>递交响应文件时，供应商名称和响应文件的项目编号应当与报名供应商名称和磋商文件的项目编号一致。但是，响应文件实质内容与报名供应商名称和磋商文件的项目编号一致，只是封面文字错误的，可以在评审过程中当面予以澄清，以有效的澄清材料作为认定响应文件是否有效的依据。</w:t>
      </w:r>
    </w:p>
    <w:p>
      <w:pPr>
        <w:pStyle w:val="63"/>
        <w:spacing w:line="520" w:lineRule="exact"/>
        <w:ind w:firstLine="480"/>
      </w:pPr>
      <w:r>
        <w:rPr>
          <w:rFonts w:hint="eastAsia"/>
        </w:rPr>
        <w:t>本次竞争性磋商不接收邮寄的响应文件。</w:t>
      </w:r>
    </w:p>
    <w:p>
      <w:pPr>
        <w:pStyle w:val="49"/>
        <w:spacing w:line="520" w:lineRule="exact"/>
        <w:ind w:firstLine="482"/>
      </w:pPr>
      <w:bookmarkStart w:id="108" w:name="_Toc4247"/>
      <w:bookmarkStart w:id="109" w:name="_Toc31189"/>
      <w:bookmarkStart w:id="110" w:name="_Toc11511"/>
      <w:r>
        <w:rPr>
          <w:rFonts w:hint="eastAsia"/>
        </w:rPr>
        <w:t>响应文件的修改和撤回</w:t>
      </w:r>
      <w:bookmarkEnd w:id="108"/>
      <w:bookmarkEnd w:id="109"/>
      <w:bookmarkEnd w:id="110"/>
    </w:p>
    <w:p>
      <w:pPr>
        <w:pStyle w:val="63"/>
        <w:spacing w:line="520" w:lineRule="exact"/>
        <w:ind w:firstLine="480"/>
      </w:pPr>
      <w:r>
        <w:rPr>
          <w:rFonts w:hint="eastAsia"/>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补充、修改的内容应当按照磋商文件要求签署、盖章、密封后，作为响应文件的组成部分。</w:t>
      </w:r>
    </w:p>
    <w:p>
      <w:pPr>
        <w:pStyle w:val="63"/>
        <w:spacing w:line="520" w:lineRule="exact"/>
        <w:ind w:firstLine="480"/>
      </w:pPr>
      <w:r>
        <w:rPr>
          <w:rFonts w:hint="eastAsia"/>
        </w:rPr>
        <w:t>供应商的补充、修改或撤回申请书，应由其法定代表人/单位负责人或授权代表签署并盖单位公章。补充、修改应按磋商文件规定进行密封和标注，并在密封袋上标注“补充”、“修改”字样。</w:t>
      </w:r>
    </w:p>
    <w:p>
      <w:pPr>
        <w:pStyle w:val="63"/>
        <w:spacing w:line="520" w:lineRule="exact"/>
        <w:ind w:firstLine="480"/>
      </w:pPr>
      <w:r>
        <w:rPr>
          <w:rFonts w:hint="eastAsia"/>
        </w:rPr>
        <w:t>在响应文件递交截止时间之后，供应商不得对其递交的响应文件进行撤回。</w:t>
      </w:r>
    </w:p>
    <w:p>
      <w:pPr>
        <w:pStyle w:val="63"/>
        <w:spacing w:line="520" w:lineRule="exact"/>
        <w:ind w:firstLine="480"/>
      </w:pPr>
      <w:r>
        <w:rPr>
          <w:rFonts w:hint="eastAsia"/>
        </w:rPr>
        <w:t>供应商不得在递交截止时间起至响应文件有效期期满前撤销其响应文件，否则将认定其响应文件有效期的承诺为虚假承诺，并依法追究其法律责任。</w:t>
      </w:r>
    </w:p>
    <w:p>
      <w:pPr>
        <w:pStyle w:val="49"/>
        <w:spacing w:line="520" w:lineRule="exact"/>
        <w:ind w:firstLine="482"/>
      </w:pPr>
      <w:bookmarkStart w:id="111" w:name="_Toc9598"/>
      <w:bookmarkStart w:id="112" w:name="_Toc885"/>
      <w:bookmarkStart w:id="113" w:name="_Toc17928"/>
      <w:bookmarkStart w:id="114" w:name="_Toc31639"/>
      <w:bookmarkStart w:id="115" w:name="_Toc21442"/>
      <w:r>
        <w:rPr>
          <w:rFonts w:hint="eastAsia"/>
        </w:rPr>
        <w:t>磋商保证金</w:t>
      </w:r>
      <w:bookmarkEnd w:id="111"/>
      <w:bookmarkEnd w:id="112"/>
      <w:bookmarkEnd w:id="113"/>
      <w:bookmarkEnd w:id="114"/>
      <w:bookmarkEnd w:id="115"/>
    </w:p>
    <w:p>
      <w:pPr>
        <w:numPr>
          <w:ilvl w:val="0"/>
          <w:numId w:val="0"/>
        </w:numPr>
        <w:wordWrap w:val="0"/>
        <w:topLinePunct/>
        <w:spacing w:line="520" w:lineRule="exact"/>
        <w:ind w:leftChars="200"/>
        <w:rPr>
          <w:bCs/>
        </w:rPr>
      </w:pPr>
      <w:r>
        <w:rPr>
          <w:rFonts w:hint="eastAsia" w:cs="宋体"/>
          <w:kern w:val="0"/>
          <w:lang w:val="en-US" w:eastAsia="zh-CN"/>
        </w:rPr>
        <w:t>本项目不收取磋商保证金。</w:t>
      </w:r>
    </w:p>
    <w:p>
      <w:pPr>
        <w:pStyle w:val="35"/>
        <w:spacing w:before="120" w:beforeLines="50" w:after="120" w:afterLines="50" w:line="520" w:lineRule="exact"/>
        <w:ind w:firstLine="0" w:firstLineChars="0"/>
        <w:jc w:val="center"/>
        <w:rPr>
          <w:sz w:val="36"/>
          <w:szCs w:val="36"/>
        </w:rPr>
      </w:pPr>
      <w:bookmarkStart w:id="116" w:name="_Toc29699"/>
      <w:bookmarkStart w:id="117" w:name="_Toc23809"/>
      <w:bookmarkStart w:id="118" w:name="_Toc6986"/>
      <w:bookmarkStart w:id="119" w:name="_Toc5914"/>
      <w:bookmarkStart w:id="120" w:name="_Toc6138"/>
      <w:bookmarkStart w:id="121" w:name="_Toc6947"/>
      <w:r>
        <w:rPr>
          <w:rFonts w:hint="eastAsia"/>
          <w:sz w:val="36"/>
          <w:szCs w:val="36"/>
        </w:rPr>
        <w:t>磋商会</w:t>
      </w:r>
      <w:bookmarkEnd w:id="116"/>
      <w:bookmarkEnd w:id="117"/>
      <w:bookmarkEnd w:id="118"/>
    </w:p>
    <w:p>
      <w:pPr>
        <w:pStyle w:val="33"/>
        <w:numPr>
          <w:ilvl w:val="1"/>
          <w:numId w:val="13"/>
        </w:numPr>
        <w:spacing w:line="520" w:lineRule="exact"/>
        <w:ind w:firstLine="482"/>
        <w:outlineLvl w:val="2"/>
        <w:rPr>
          <w:b/>
          <w:bCs/>
        </w:rPr>
      </w:pPr>
      <w:bookmarkStart w:id="122" w:name="_Toc29277"/>
      <w:bookmarkStart w:id="123" w:name="_Toc4972"/>
      <w:r>
        <w:rPr>
          <w:rFonts w:hint="eastAsia"/>
          <w:b/>
          <w:bCs/>
        </w:rPr>
        <w:t>磋商会人员</w:t>
      </w:r>
      <w:bookmarkEnd w:id="122"/>
      <w:bookmarkEnd w:id="123"/>
    </w:p>
    <w:p>
      <w:pPr>
        <w:pStyle w:val="46"/>
        <w:spacing w:line="520" w:lineRule="exact"/>
      </w:pPr>
      <w:r>
        <w:rPr>
          <w:rFonts w:hint="eastAsia"/>
        </w:rPr>
        <w:t>采购代理机构在竞争性磋商文件规定的时间和地点组织磋商，采购人、供应商须派授权代表参加并签到以证明其出席，磋商会由采购代理机构主持。</w:t>
      </w:r>
    </w:p>
    <w:p>
      <w:pPr>
        <w:pStyle w:val="33"/>
        <w:numPr>
          <w:ilvl w:val="1"/>
          <w:numId w:val="13"/>
        </w:numPr>
        <w:spacing w:line="520" w:lineRule="exact"/>
        <w:ind w:firstLine="482"/>
        <w:outlineLvl w:val="2"/>
        <w:rPr>
          <w:b/>
          <w:bCs/>
        </w:rPr>
      </w:pPr>
      <w:bookmarkStart w:id="124" w:name="_Toc31855"/>
      <w:bookmarkStart w:id="125" w:name="_Toc31060"/>
      <w:r>
        <w:rPr>
          <w:rFonts w:hint="eastAsia"/>
          <w:b/>
          <w:bCs/>
        </w:rPr>
        <w:t>磋商会内容</w:t>
      </w:r>
      <w:bookmarkEnd w:id="124"/>
      <w:bookmarkEnd w:id="125"/>
    </w:p>
    <w:p>
      <w:pPr>
        <w:pStyle w:val="46"/>
        <w:spacing w:line="520" w:lineRule="exact"/>
      </w:pPr>
      <w:r>
        <w:rPr>
          <w:rFonts w:hint="eastAsia"/>
        </w:rPr>
        <w:t>磋商会主持人按照磋商文件规定宣布响应文件递交截止时间，按照规定主持磋商会。将按以下程序进行：</w:t>
      </w:r>
    </w:p>
    <w:p>
      <w:pPr>
        <w:pStyle w:val="36"/>
        <w:spacing w:line="520" w:lineRule="exact"/>
        <w:ind w:firstLine="480"/>
      </w:pPr>
      <w:r>
        <w:rPr>
          <w:rFonts w:hint="eastAsia"/>
        </w:rPr>
        <w:t>宣布磋商会开始。响应文件递交截止时间已到，主持人宣布磋商会开始并致辞；</w:t>
      </w:r>
    </w:p>
    <w:p>
      <w:pPr>
        <w:pStyle w:val="36"/>
        <w:spacing w:line="520" w:lineRule="exact"/>
        <w:ind w:firstLine="480"/>
      </w:pPr>
      <w:r>
        <w:rPr>
          <w:rFonts w:hint="eastAsia"/>
        </w:rPr>
        <w:t>宣布会场纪律和有关注意事项；</w:t>
      </w:r>
    </w:p>
    <w:p>
      <w:pPr>
        <w:pStyle w:val="36"/>
        <w:spacing w:line="520" w:lineRule="exact"/>
        <w:ind w:firstLine="480"/>
      </w:pPr>
      <w:r>
        <w:rPr>
          <w:rFonts w:hint="eastAsia"/>
        </w:rPr>
        <w:t>确认响应文件的密封情况，是指供应商确认自己递交的响应文件的密封情况，不代表对其他供应商的响应文件的密封情况确认。供应商或者其推选的代表对其他供应商的响应文件密封情况有异议的，可以当场向会议主持人或者现场监督人员反映，要求现场记录人员予以记录，但不得干扰、阻挠磋商会议工作的正常进行；</w:t>
      </w:r>
    </w:p>
    <w:p>
      <w:pPr>
        <w:pStyle w:val="36"/>
        <w:spacing w:line="520" w:lineRule="exact"/>
        <w:ind w:firstLine="480"/>
      </w:pPr>
      <w:r>
        <w:rPr>
          <w:rFonts w:hint="eastAsia"/>
        </w:rPr>
        <w:t>供应商或者其推选的代表需现场对磋商会议记录进行签字确认经确认无误后，由采购代理机构工作人员宣布磋商纪律，并由供应商签字确认；</w:t>
      </w:r>
    </w:p>
    <w:p>
      <w:pPr>
        <w:pStyle w:val="36"/>
        <w:spacing w:line="520" w:lineRule="exact"/>
        <w:ind w:firstLine="480"/>
      </w:pPr>
      <w:r>
        <w:rPr>
          <w:rFonts w:hint="eastAsia"/>
        </w:rPr>
        <w:t>供应商不足3家的，终止采购活动，并退回响应文件；</w:t>
      </w:r>
    </w:p>
    <w:p>
      <w:pPr>
        <w:pStyle w:val="36"/>
        <w:spacing w:line="520" w:lineRule="exact"/>
        <w:ind w:firstLine="480"/>
      </w:pPr>
      <w:r>
        <w:rPr>
          <w:rFonts w:hint="eastAsia"/>
        </w:rPr>
        <w:t>宣布磋商会结束。所有供应商代表应立即退场。同时所有供应商应保持通讯设备的畅通，以方便进行下一步的磋商活动和在评审过程中评审委员会要求供应商对响应文件的必要澄清、说明或者更正。评审结果供应商在</w:t>
      </w:r>
      <w:r>
        <w:rPr>
          <w:rFonts w:hint="eastAsia"/>
          <w:lang w:eastAsia="zh-CN"/>
        </w:rPr>
        <w:t>“中国招标投标公共服务平台”</w:t>
      </w:r>
      <w:r>
        <w:rPr>
          <w:rFonts w:hint="eastAsia"/>
        </w:rPr>
        <w:t>查询。</w:t>
      </w:r>
    </w:p>
    <w:bookmarkEnd w:id="119"/>
    <w:bookmarkEnd w:id="120"/>
    <w:bookmarkEnd w:id="121"/>
    <w:p>
      <w:pPr>
        <w:pStyle w:val="33"/>
        <w:numPr>
          <w:ilvl w:val="1"/>
          <w:numId w:val="13"/>
        </w:numPr>
        <w:spacing w:line="520" w:lineRule="exact"/>
        <w:ind w:firstLine="482"/>
        <w:outlineLvl w:val="2"/>
        <w:rPr>
          <w:b/>
          <w:bCs/>
        </w:rPr>
      </w:pPr>
      <w:bookmarkStart w:id="126" w:name="_Toc10036"/>
      <w:bookmarkStart w:id="127" w:name="_Toc29993"/>
      <w:bookmarkStart w:id="128" w:name="_Toc10103"/>
      <w:r>
        <w:rPr>
          <w:rFonts w:hint="eastAsia"/>
          <w:b/>
          <w:bCs/>
        </w:rPr>
        <w:t>电子监控档案</w:t>
      </w:r>
      <w:bookmarkEnd w:id="126"/>
      <w:bookmarkEnd w:id="127"/>
      <w:bookmarkEnd w:id="128"/>
    </w:p>
    <w:p>
      <w:pPr>
        <w:pStyle w:val="33"/>
        <w:numPr>
          <w:ilvl w:val="1"/>
          <w:numId w:val="0"/>
        </w:numPr>
        <w:spacing w:line="520" w:lineRule="exact"/>
        <w:ind w:left="480" w:leftChars="200"/>
      </w:pPr>
      <w:r>
        <w:rPr>
          <w:rFonts w:hint="eastAsia"/>
        </w:rPr>
        <w:t>本项目磋商会和评审过程进行全过程电子监控，并将电子监控资料存储介质留存归档。</w:t>
      </w:r>
    </w:p>
    <w:p>
      <w:pPr>
        <w:pStyle w:val="35"/>
        <w:spacing w:before="120" w:beforeLines="50" w:after="120" w:afterLines="50" w:line="520" w:lineRule="exact"/>
        <w:ind w:firstLine="0" w:firstLineChars="0"/>
        <w:jc w:val="center"/>
        <w:rPr>
          <w:sz w:val="36"/>
          <w:szCs w:val="36"/>
        </w:rPr>
      </w:pPr>
      <w:bookmarkStart w:id="129" w:name="_Toc31404"/>
      <w:bookmarkStart w:id="130" w:name="_Toc28592"/>
      <w:bookmarkStart w:id="131" w:name="_Toc5015"/>
      <w:bookmarkStart w:id="132" w:name="_Toc8117"/>
      <w:bookmarkStart w:id="133" w:name="_Toc12604"/>
      <w:bookmarkStart w:id="134" w:name="_Toc14786"/>
      <w:bookmarkStart w:id="135" w:name="_Toc11904"/>
      <w:r>
        <w:rPr>
          <w:rFonts w:hint="eastAsia"/>
          <w:sz w:val="36"/>
          <w:szCs w:val="36"/>
        </w:rPr>
        <w:t>成交事项</w:t>
      </w:r>
      <w:bookmarkEnd w:id="129"/>
      <w:bookmarkEnd w:id="130"/>
      <w:bookmarkEnd w:id="131"/>
    </w:p>
    <w:bookmarkEnd w:id="132"/>
    <w:bookmarkEnd w:id="133"/>
    <w:bookmarkEnd w:id="134"/>
    <w:bookmarkEnd w:id="135"/>
    <w:p>
      <w:pPr>
        <w:pStyle w:val="49"/>
        <w:spacing w:line="520" w:lineRule="exact"/>
        <w:ind w:firstLine="482"/>
      </w:pPr>
      <w:bookmarkStart w:id="136" w:name="_Toc16799"/>
      <w:bookmarkStart w:id="137" w:name="_Toc27841"/>
      <w:bookmarkStart w:id="138" w:name="_Toc4599"/>
      <w:r>
        <w:rPr>
          <w:rFonts w:hint="eastAsia"/>
        </w:rPr>
        <w:t>确定成交</w:t>
      </w:r>
      <w:bookmarkEnd w:id="136"/>
      <w:r>
        <w:rPr>
          <w:rFonts w:hint="eastAsia"/>
        </w:rPr>
        <w:t>供应商</w:t>
      </w:r>
      <w:bookmarkEnd w:id="137"/>
      <w:bookmarkEnd w:id="138"/>
    </w:p>
    <w:p>
      <w:pPr>
        <w:pStyle w:val="63"/>
        <w:spacing w:line="520" w:lineRule="exact"/>
        <w:ind w:firstLine="480"/>
      </w:pPr>
      <w:r>
        <w:rPr>
          <w:rFonts w:hint="eastAsia"/>
        </w:rPr>
        <w:t>采购代理机构应当在评审结束后2个工作日内将评审报告送采购人确认。</w:t>
      </w:r>
    </w:p>
    <w:p>
      <w:pPr>
        <w:pStyle w:val="63"/>
        <w:spacing w:line="520" w:lineRule="exact"/>
        <w:ind w:firstLine="480"/>
      </w:pPr>
      <w:r>
        <w:rPr>
          <w:rFonts w:hint="eastAsia"/>
        </w:rPr>
        <w:t>本项目采购人根据磋商小组推荐的成交候选人名单，按顺序确定成交供应商。如果成交候选人及其现任法定代表人、主要负责人存在行贿犯罪记录，采购人将不确定其为成交供应商。采购人在确认成交供应商前，应到中国裁判文书网(https://wenshu.court.gov.cn)查询成交候选供应商及其现任法定代表人、主要负责人是否存在行贿犯罪记录。</w:t>
      </w:r>
    </w:p>
    <w:p>
      <w:pPr>
        <w:pStyle w:val="63"/>
        <w:spacing w:line="520" w:lineRule="exact"/>
        <w:ind w:firstLine="480"/>
      </w:pPr>
      <w:r>
        <w:rPr>
          <w:rFonts w:hint="eastAsia"/>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63"/>
        <w:spacing w:line="520" w:lineRule="exact"/>
        <w:ind w:firstLine="480"/>
      </w:pPr>
      <w:r>
        <w:rPr>
          <w:rFonts w:hint="eastAsia"/>
        </w:rPr>
        <w:t>采购人不确定排序前一位成交候选供应商为成交供应商的，应当将不确定的理由书面告知该成交候选供应商，并在</w:t>
      </w:r>
      <w:r>
        <w:rPr>
          <w:rFonts w:hint="eastAsia"/>
          <w:lang w:eastAsia="zh-CN"/>
        </w:rPr>
        <w:t>“中国招标投标公共服务平台”</w:t>
      </w:r>
      <w:r>
        <w:rPr>
          <w:rFonts w:hint="eastAsia"/>
        </w:rPr>
        <w:t>公告。</w:t>
      </w:r>
    </w:p>
    <w:p>
      <w:pPr>
        <w:pStyle w:val="63"/>
        <w:spacing w:line="520" w:lineRule="exact"/>
        <w:ind w:firstLine="480"/>
      </w:pPr>
      <w:r>
        <w:rPr>
          <w:rFonts w:hint="eastAsia"/>
        </w:rPr>
        <w:t>采购人依法确定不出成交供应商的，应当重新组织采购，书面告知成交候选供应商，说明理由，并在</w:t>
      </w:r>
      <w:r>
        <w:rPr>
          <w:rFonts w:hint="eastAsia"/>
          <w:lang w:eastAsia="zh-CN"/>
        </w:rPr>
        <w:t>“中国招标投标公共服务平台”</w:t>
      </w:r>
      <w:r>
        <w:rPr>
          <w:rFonts w:hint="eastAsia"/>
        </w:rPr>
        <w:t>公告。</w:t>
      </w:r>
    </w:p>
    <w:p>
      <w:pPr>
        <w:pStyle w:val="63"/>
        <w:spacing w:line="520" w:lineRule="exact"/>
        <w:ind w:firstLine="480"/>
      </w:pPr>
      <w:r>
        <w:rPr>
          <w:rFonts w:hint="eastAsia"/>
        </w:rPr>
        <w:t>采购人确定成交供应商过程中，发现成交候选供应商有下列情形之一的，不予确定其为成交供应商：</w:t>
      </w:r>
    </w:p>
    <w:p>
      <w:pPr>
        <w:pStyle w:val="63"/>
        <w:numPr>
          <w:ilvl w:val="3"/>
          <w:numId w:val="0"/>
        </w:numPr>
        <w:spacing w:line="520" w:lineRule="exact"/>
        <w:ind w:left="480" w:leftChars="200"/>
      </w:pPr>
      <w:r>
        <w:rPr>
          <w:rFonts w:hint="eastAsia"/>
        </w:rPr>
        <w:t>6.1成交候选供应商属于禁止参加本项目采购活动的；</w:t>
      </w:r>
    </w:p>
    <w:p>
      <w:pPr>
        <w:pStyle w:val="63"/>
        <w:numPr>
          <w:ilvl w:val="3"/>
          <w:numId w:val="0"/>
        </w:numPr>
        <w:spacing w:line="520" w:lineRule="exact"/>
        <w:ind w:left="480" w:leftChars="200"/>
      </w:pPr>
      <w:r>
        <w:rPr>
          <w:rFonts w:hint="eastAsia"/>
        </w:rPr>
        <w:t>6.2成交候选供应商因不可抗力，不能继续参加采购活动；</w:t>
      </w:r>
    </w:p>
    <w:p>
      <w:pPr>
        <w:pStyle w:val="63"/>
        <w:numPr>
          <w:ilvl w:val="3"/>
          <w:numId w:val="0"/>
        </w:numPr>
        <w:spacing w:line="520" w:lineRule="exact"/>
        <w:ind w:left="480" w:leftChars="200"/>
      </w:pPr>
      <w:r>
        <w:rPr>
          <w:rFonts w:hint="eastAsia"/>
        </w:rPr>
        <w:t>6.3成交候选供应商无偿赠与或者低于成本价竞争；</w:t>
      </w:r>
    </w:p>
    <w:p>
      <w:pPr>
        <w:pStyle w:val="63"/>
        <w:numPr>
          <w:ilvl w:val="3"/>
          <w:numId w:val="0"/>
        </w:numPr>
        <w:spacing w:line="520" w:lineRule="exact"/>
        <w:ind w:left="480" w:leftChars="200"/>
      </w:pPr>
      <w:r>
        <w:rPr>
          <w:rFonts w:hint="eastAsia"/>
        </w:rPr>
        <w:t>6.4成交候选供应商提供虚假材料；</w:t>
      </w:r>
    </w:p>
    <w:p>
      <w:pPr>
        <w:pStyle w:val="63"/>
        <w:numPr>
          <w:ilvl w:val="3"/>
          <w:numId w:val="0"/>
        </w:numPr>
        <w:spacing w:line="520" w:lineRule="exact"/>
        <w:ind w:left="480" w:leftChars="200"/>
      </w:pPr>
      <w:r>
        <w:rPr>
          <w:rFonts w:hint="eastAsia"/>
        </w:rPr>
        <w:t>6.5成交候选供应商恶意串通。</w:t>
      </w:r>
    </w:p>
    <w:p>
      <w:pPr>
        <w:pStyle w:val="49"/>
        <w:spacing w:line="520" w:lineRule="exact"/>
        <w:ind w:firstLine="482"/>
      </w:pPr>
      <w:bookmarkStart w:id="139" w:name="_Toc6422"/>
      <w:bookmarkStart w:id="140" w:name="_Toc8634"/>
      <w:bookmarkStart w:id="141" w:name="_Toc17698"/>
      <w:r>
        <w:rPr>
          <w:rFonts w:hint="eastAsia"/>
        </w:rPr>
        <w:t>成交结果</w:t>
      </w:r>
      <w:bookmarkEnd w:id="139"/>
      <w:bookmarkEnd w:id="140"/>
      <w:bookmarkEnd w:id="141"/>
    </w:p>
    <w:p>
      <w:pPr>
        <w:pStyle w:val="63"/>
        <w:keepNext w:val="0"/>
        <w:keepLines w:val="0"/>
        <w:pageBreakBefore w:val="0"/>
        <w:widowControl w:val="0"/>
        <w:numPr>
          <w:ilvl w:val="3"/>
          <w:numId w:val="0"/>
        </w:numPr>
        <w:kinsoku/>
        <w:wordWrap w:val="0"/>
        <w:overflowPunct/>
        <w:topLinePunct/>
        <w:autoSpaceDE/>
        <w:autoSpaceDN/>
        <w:bidi w:val="0"/>
        <w:adjustRightInd w:val="0"/>
        <w:snapToGrid w:val="0"/>
        <w:spacing w:line="520" w:lineRule="exact"/>
        <w:ind w:leftChars="0" w:firstLine="480" w:firstLineChars="200"/>
        <w:textAlignment w:val="auto"/>
      </w:pPr>
      <w:bookmarkStart w:id="142" w:name="_Toc7224"/>
      <w:r>
        <w:rPr>
          <w:rFonts w:hint="eastAsia"/>
        </w:rPr>
        <w:t>采购代理机构在成交供应商确定后2个工作日内，在</w:t>
      </w:r>
      <w:r>
        <w:rPr>
          <w:rFonts w:hint="eastAsia"/>
          <w:lang w:eastAsia="zh-CN"/>
        </w:rPr>
        <w:t>“中国招标投标公共服务平台”</w:t>
      </w:r>
      <w:r>
        <w:rPr>
          <w:rFonts w:hint="eastAsia"/>
        </w:rPr>
        <w:t>发布成交公告，同时采购代理机构将成交通知书发至成交供应商。</w:t>
      </w:r>
    </w:p>
    <w:p>
      <w:pPr>
        <w:pStyle w:val="49"/>
        <w:spacing w:line="520" w:lineRule="exact"/>
        <w:ind w:firstLine="482"/>
      </w:pPr>
      <w:bookmarkStart w:id="143" w:name="_Toc18970"/>
      <w:bookmarkStart w:id="144" w:name="_Toc31562"/>
      <w:r>
        <w:rPr>
          <w:rFonts w:hint="eastAsia"/>
        </w:rPr>
        <w:t>成交通知书</w:t>
      </w:r>
      <w:bookmarkEnd w:id="142"/>
      <w:bookmarkEnd w:id="143"/>
      <w:bookmarkEnd w:id="144"/>
    </w:p>
    <w:p>
      <w:pPr>
        <w:pStyle w:val="63"/>
        <w:spacing w:line="520" w:lineRule="exact"/>
        <w:ind w:firstLine="480"/>
      </w:pPr>
      <w:r>
        <w:rPr>
          <w:rFonts w:hint="eastAsia"/>
        </w:rPr>
        <w:t>成交通知书为签订采购合同的依据之一，是合同的有效组成部分。</w:t>
      </w:r>
    </w:p>
    <w:p>
      <w:pPr>
        <w:pStyle w:val="63"/>
        <w:spacing w:line="520" w:lineRule="exact"/>
        <w:ind w:firstLine="480"/>
      </w:pPr>
      <w:r>
        <w:rPr>
          <w:rFonts w:hint="eastAsia"/>
        </w:rPr>
        <w:t>成交通知书对采购人和成交供应商均具有法律效力。成交通知书发出后，采购人改变成交结果，或者成交供应商无正当理由放弃成交的，应当承担相应的法律责任。</w:t>
      </w:r>
    </w:p>
    <w:p>
      <w:pPr>
        <w:pStyle w:val="63"/>
        <w:spacing w:line="520" w:lineRule="exact"/>
        <w:ind w:firstLine="480"/>
      </w:pPr>
      <w:r>
        <w:rPr>
          <w:rFonts w:hint="eastAsia"/>
        </w:rPr>
        <w:t>成交供应商的响应文件本应作为无效响应处理或者有法律法规规章制度规定的成交无效情形的，采购人和采购代理机构在取得有权主体的认定以后，将宣布发出的成交通知书无效，并收回发出的成交通知书(成交供应商也应当缴回)，依法重新确定成交供应商或者重新开展采购活动。</w:t>
      </w:r>
    </w:p>
    <w:p>
      <w:pPr>
        <w:pStyle w:val="63"/>
        <w:spacing w:line="520" w:lineRule="exact"/>
        <w:ind w:firstLine="480"/>
      </w:pPr>
      <w:r>
        <w:rPr>
          <w:rFonts w:hint="eastAsia" w:cs="宋体"/>
        </w:rPr>
        <w:t>供应商应主动关注</w:t>
      </w:r>
      <w:r>
        <w:rPr>
          <w:rFonts w:hint="eastAsia"/>
          <w:lang w:eastAsia="zh-CN"/>
        </w:rPr>
        <w:t>“中国招标投标公共服务平台”</w:t>
      </w:r>
      <w:r>
        <w:rPr>
          <w:rFonts w:hint="eastAsia" w:cs="宋体"/>
        </w:rPr>
        <w:t>公告信息</w:t>
      </w:r>
      <w:r>
        <w:rPr>
          <w:rFonts w:hint="eastAsia" w:cs="宋体"/>
          <w:lang w:val="zh-CN"/>
        </w:rPr>
        <w:t>，</w:t>
      </w:r>
      <w:r>
        <w:rPr>
          <w:rFonts w:hint="eastAsia" w:cs="宋体"/>
        </w:rPr>
        <w:t>积极配合代理机构办理成交通知书事宜。</w:t>
      </w:r>
      <w:r>
        <w:rPr>
          <w:rFonts w:hint="eastAsia"/>
        </w:rPr>
        <w:t>逾期未主动领取</w:t>
      </w:r>
      <w:r>
        <w:rPr>
          <w:rFonts w:hint="eastAsia" w:cs="宋体"/>
        </w:rPr>
        <w:t>成交</w:t>
      </w:r>
      <w:r>
        <w:rPr>
          <w:rFonts w:hint="eastAsia" w:cs="宋体"/>
          <w:lang w:val="zh-CN"/>
        </w:rPr>
        <w:t>通知书</w:t>
      </w:r>
      <w:r>
        <w:rPr>
          <w:rFonts w:hint="eastAsia" w:cs="宋体"/>
        </w:rPr>
        <w:t>或不配合代理机构发出成交通知书</w:t>
      </w:r>
      <w:r>
        <w:rPr>
          <w:rFonts w:hint="eastAsia" w:cs="宋体"/>
          <w:lang w:val="zh-CN"/>
        </w:rPr>
        <w:t>的</w:t>
      </w:r>
      <w:r>
        <w:rPr>
          <w:rFonts w:hint="eastAsia" w:cs="宋体"/>
        </w:rPr>
        <w:t>一切不利后果由成交供应商自行承担。</w:t>
      </w:r>
    </w:p>
    <w:p>
      <w:pPr>
        <w:pStyle w:val="35"/>
        <w:spacing w:before="120" w:beforeLines="50" w:after="120" w:afterLines="50" w:line="520" w:lineRule="exact"/>
        <w:ind w:firstLine="0" w:firstLineChars="0"/>
        <w:jc w:val="center"/>
        <w:rPr>
          <w:sz w:val="36"/>
          <w:szCs w:val="36"/>
        </w:rPr>
      </w:pPr>
      <w:bookmarkStart w:id="145" w:name="_Toc22451"/>
      <w:bookmarkStart w:id="146" w:name="_Toc29192"/>
      <w:bookmarkStart w:id="147" w:name="_Toc13058"/>
      <w:r>
        <w:rPr>
          <w:rFonts w:hint="eastAsia"/>
          <w:sz w:val="36"/>
          <w:szCs w:val="36"/>
        </w:rPr>
        <w:t>合同事项</w:t>
      </w:r>
      <w:bookmarkEnd w:id="145"/>
      <w:bookmarkEnd w:id="146"/>
      <w:bookmarkEnd w:id="147"/>
    </w:p>
    <w:p>
      <w:pPr>
        <w:pStyle w:val="49"/>
        <w:spacing w:line="520" w:lineRule="exact"/>
        <w:ind w:firstLine="482"/>
      </w:pPr>
      <w:bookmarkStart w:id="148" w:name="_Toc29970"/>
      <w:bookmarkStart w:id="149" w:name="_Toc8081"/>
      <w:bookmarkStart w:id="150" w:name="_Toc12717"/>
      <w:bookmarkStart w:id="151" w:name="_Toc19462"/>
      <w:r>
        <w:rPr>
          <w:rFonts w:hint="eastAsia"/>
        </w:rPr>
        <w:t>签订合同</w:t>
      </w:r>
      <w:bookmarkEnd w:id="148"/>
      <w:bookmarkEnd w:id="149"/>
      <w:bookmarkEnd w:id="150"/>
    </w:p>
    <w:p>
      <w:pPr>
        <w:pStyle w:val="36"/>
        <w:spacing w:line="520" w:lineRule="exact"/>
        <w:ind w:firstLine="480"/>
      </w:pPr>
      <w:r>
        <w:rPr>
          <w:rFonts w:hint="eastAsia"/>
        </w:rPr>
        <w:t>成交供应商应在成交通知书发出后，按照磋商文件第五章相关要求与采购人签订采购合同。由于成交供应商的原因逾期未与采购人签订采购合同的，将视为放弃成交，取消其成交资格并将按相关规定进行处理。</w:t>
      </w:r>
      <w:r>
        <w:rPr>
          <w:rFonts w:hint="eastAsia"/>
          <w:lang w:eastAsia="zh-Hans"/>
        </w:rPr>
        <w:t>若因采购人的原因未与</w:t>
      </w:r>
      <w:r>
        <w:rPr>
          <w:rFonts w:hint="eastAsia"/>
        </w:rPr>
        <w:t>成交供应商</w:t>
      </w:r>
      <w:r>
        <w:rPr>
          <w:rFonts w:hint="eastAsia"/>
          <w:lang w:eastAsia="zh-Hans"/>
        </w:rPr>
        <w:t>签订合同</w:t>
      </w:r>
      <w:r>
        <w:rPr>
          <w:lang w:eastAsia="zh-Hans"/>
        </w:rPr>
        <w:t>，</w:t>
      </w:r>
      <w:r>
        <w:rPr>
          <w:rFonts w:hint="eastAsia"/>
          <w:lang w:eastAsia="zh-Hans"/>
        </w:rPr>
        <w:t>采购人将向</w:t>
      </w:r>
      <w:r>
        <w:rPr>
          <w:rFonts w:hint="eastAsia"/>
        </w:rPr>
        <w:t>成交供应商</w:t>
      </w:r>
      <w:r>
        <w:rPr>
          <w:rFonts w:hint="eastAsia"/>
          <w:lang w:eastAsia="zh-Hans"/>
        </w:rPr>
        <w:t>支付</w:t>
      </w:r>
      <w:r>
        <w:rPr>
          <w:rFonts w:hint="eastAsia"/>
        </w:rPr>
        <w:t>成交供应商</w:t>
      </w:r>
      <w:r>
        <w:rPr>
          <w:rFonts w:hint="eastAsia"/>
          <w:lang w:eastAsia="zh-Hans"/>
        </w:rPr>
        <w:t>因本次采购事宜产生的标书制作等直接费用</w:t>
      </w:r>
      <w:r>
        <w:rPr>
          <w:lang w:eastAsia="zh-Hans"/>
        </w:rPr>
        <w:t>。</w:t>
      </w:r>
    </w:p>
    <w:p>
      <w:pPr>
        <w:pStyle w:val="36"/>
        <w:spacing w:line="520" w:lineRule="exact"/>
        <w:ind w:firstLine="480"/>
      </w:pPr>
      <w:r>
        <w:rPr>
          <w:rFonts w:hint="eastAsia"/>
        </w:rPr>
        <w:t>采购合同应当包括采购人与成交供应商的名称和住所、标的、数量、质量、价款或者报酬、履行期限及地点和方式、验收要求、违约责任、解决争议的方法等内容。</w:t>
      </w:r>
    </w:p>
    <w:p>
      <w:pPr>
        <w:pStyle w:val="36"/>
        <w:spacing w:line="520" w:lineRule="exact"/>
        <w:ind w:firstLine="480"/>
      </w:pPr>
      <w:r>
        <w:rPr>
          <w:rFonts w:hint="eastAsia"/>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36"/>
        <w:spacing w:line="520" w:lineRule="exact"/>
        <w:ind w:firstLine="480"/>
      </w:pPr>
      <w:r>
        <w:rPr>
          <w:rFonts w:hint="eastAsia"/>
        </w:rPr>
        <w:t>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pStyle w:val="36"/>
        <w:spacing w:line="520" w:lineRule="exact"/>
        <w:ind w:firstLine="480"/>
      </w:pPr>
      <w:r>
        <w:rPr>
          <w:rFonts w:hint="eastAsia"/>
        </w:rPr>
        <w:t>本项目的竞争性磋商文件、成交供应商提交的响应文件、磋商中的最后报价、成交供应商承诺书、成交通知书等文件均具有法律约束力，属于合同组成部分。</w:t>
      </w:r>
    </w:p>
    <w:p>
      <w:pPr>
        <w:pStyle w:val="36"/>
        <w:spacing w:line="520" w:lineRule="exact"/>
        <w:ind w:firstLine="480"/>
      </w:pPr>
      <w:r>
        <w:rPr>
          <w:rFonts w:hint="eastAsia"/>
        </w:rPr>
        <w:t>成交供应商在采购合同签订之后2个工作日内，将签订的采购合同送采购代理机构进行归档留存(也可将签订的采购合同扫描成PDF格式版本发送至</w:t>
      </w:r>
      <w:r>
        <w:fldChar w:fldCharType="begin"/>
      </w:r>
      <w:r>
        <w:instrText xml:space="preserve"> HYPERLINK "mailto:scqxzb@163.com" </w:instrText>
      </w:r>
      <w:r>
        <w:fldChar w:fldCharType="separate"/>
      </w:r>
      <w:r>
        <w:rPr>
          <w:rFonts w:hint="eastAsia"/>
        </w:rPr>
        <w:t>scqxzb@163.com</w:t>
      </w:r>
      <w:r>
        <w:rPr>
          <w:rFonts w:hint="eastAsia"/>
        </w:rPr>
        <w:fldChar w:fldCharType="end"/>
      </w:r>
      <w:r>
        <w:rPr>
          <w:rFonts w:hint="eastAsia"/>
        </w:rPr>
        <w:t>，邮件命名为“采购合同-项目名称-供应商名称”)。</w:t>
      </w:r>
    </w:p>
    <w:p>
      <w:pPr>
        <w:pStyle w:val="49"/>
        <w:spacing w:line="520" w:lineRule="exact"/>
        <w:ind w:firstLine="482"/>
      </w:pPr>
      <w:bookmarkStart w:id="152" w:name="_Toc9902"/>
      <w:bookmarkStart w:id="153" w:name="_Toc5791"/>
      <w:bookmarkStart w:id="154" w:name="_Toc2425"/>
      <w:r>
        <w:rPr>
          <w:rFonts w:hint="eastAsia"/>
        </w:rPr>
        <w:t>合同分包(实质性要求)</w:t>
      </w:r>
      <w:bookmarkEnd w:id="152"/>
      <w:bookmarkEnd w:id="153"/>
      <w:bookmarkEnd w:id="154"/>
    </w:p>
    <w:p>
      <w:pPr>
        <w:pStyle w:val="46"/>
        <w:spacing w:line="520" w:lineRule="exact"/>
      </w:pPr>
      <w:bookmarkStart w:id="155" w:name="_Toc13796"/>
      <w:r>
        <w:rPr>
          <w:rFonts w:hint="eastAsia"/>
        </w:rPr>
        <w:t>本项目不允许供应商以合同分包形式进行磋商。</w:t>
      </w:r>
    </w:p>
    <w:p>
      <w:pPr>
        <w:pStyle w:val="49"/>
        <w:spacing w:line="520" w:lineRule="exact"/>
        <w:ind w:firstLine="482"/>
      </w:pPr>
      <w:bookmarkStart w:id="156" w:name="_Toc23958"/>
      <w:bookmarkStart w:id="157" w:name="_Toc20512"/>
      <w:r>
        <w:rPr>
          <w:rFonts w:hint="eastAsia"/>
        </w:rPr>
        <w:t>合同转包(实质性要求)</w:t>
      </w:r>
      <w:bookmarkEnd w:id="155"/>
      <w:bookmarkEnd w:id="156"/>
      <w:bookmarkEnd w:id="157"/>
    </w:p>
    <w:p>
      <w:pPr>
        <w:pStyle w:val="63"/>
        <w:spacing w:line="520" w:lineRule="exact"/>
        <w:ind w:firstLine="480"/>
      </w:pPr>
      <w:r>
        <w:rPr>
          <w:rFonts w:hint="eastAsia"/>
        </w:rPr>
        <w:t>本项目禁止成交供应商将任何采购合同义务转包。本项目所称转包，是指成交供应商将采购合同义务转让给第三人，并退出现有采购合同当事人双方的权利义务关系，受让人(即第三人)成为采购合同的另一方当事人的行为。</w:t>
      </w:r>
    </w:p>
    <w:p>
      <w:pPr>
        <w:pStyle w:val="63"/>
        <w:spacing w:line="520" w:lineRule="exact"/>
        <w:ind w:firstLine="480"/>
      </w:pPr>
      <w:r>
        <w:rPr>
          <w:rFonts w:hint="eastAsia"/>
        </w:rPr>
        <w:t>成交供应商转包的，视同拒绝履行采购合同义务，将依法追究法律责任。</w:t>
      </w:r>
    </w:p>
    <w:p>
      <w:pPr>
        <w:pStyle w:val="49"/>
        <w:spacing w:line="520" w:lineRule="exact"/>
        <w:ind w:firstLine="482"/>
      </w:pPr>
      <w:bookmarkStart w:id="158" w:name="_Toc27950"/>
      <w:bookmarkStart w:id="159" w:name="_Toc26599"/>
      <w:bookmarkStart w:id="160" w:name="_Toc31738"/>
      <w:r>
        <w:rPr>
          <w:rFonts w:hint="eastAsia"/>
        </w:rPr>
        <w:t>补充合同</w:t>
      </w:r>
      <w:bookmarkEnd w:id="158"/>
      <w:bookmarkEnd w:id="159"/>
      <w:bookmarkEnd w:id="160"/>
    </w:p>
    <w:p>
      <w:pPr>
        <w:pStyle w:val="46"/>
        <w:spacing w:line="520" w:lineRule="exact"/>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49"/>
        <w:spacing w:line="520" w:lineRule="exact"/>
        <w:ind w:firstLine="482"/>
      </w:pPr>
      <w:bookmarkStart w:id="161" w:name="_Toc2945"/>
      <w:bookmarkStart w:id="162" w:name="_Toc2277"/>
      <w:bookmarkStart w:id="163" w:name="_Toc19111"/>
      <w:r>
        <w:rPr>
          <w:rFonts w:hint="eastAsia"/>
        </w:rPr>
        <w:t>履行合同</w:t>
      </w:r>
      <w:bookmarkEnd w:id="161"/>
      <w:bookmarkEnd w:id="162"/>
      <w:bookmarkEnd w:id="163"/>
    </w:p>
    <w:p>
      <w:pPr>
        <w:pStyle w:val="63"/>
        <w:spacing w:line="520" w:lineRule="exact"/>
        <w:ind w:firstLine="480"/>
      </w:pPr>
      <w:r>
        <w:rPr>
          <w:rFonts w:hint="eastAsia"/>
        </w:rPr>
        <w:t>采购人与成交供应商应当根据合同的约定依法履行合同义务，保证合同顺利完成。</w:t>
      </w:r>
    </w:p>
    <w:p>
      <w:pPr>
        <w:pStyle w:val="63"/>
        <w:spacing w:line="520" w:lineRule="exact"/>
        <w:ind w:firstLine="480"/>
      </w:pPr>
      <w:r>
        <w:rPr>
          <w:rFonts w:hint="eastAsia"/>
        </w:rPr>
        <w:t>采购合同的履行、违约责任和解决争议的方法等适用《中华人民共和国民法典》。</w:t>
      </w:r>
    </w:p>
    <w:p>
      <w:pPr>
        <w:pStyle w:val="49"/>
        <w:spacing w:line="520" w:lineRule="exact"/>
        <w:ind w:firstLine="482"/>
      </w:pPr>
      <w:bookmarkStart w:id="164" w:name="_Toc9227"/>
      <w:bookmarkStart w:id="165" w:name="_Toc30777"/>
      <w:bookmarkStart w:id="166" w:name="_Toc19475"/>
      <w:bookmarkStart w:id="167" w:name="_Toc8615"/>
      <w:bookmarkStart w:id="168" w:name="_Toc17186"/>
      <w:bookmarkStart w:id="169" w:name="_Toc26311"/>
      <w:r>
        <w:rPr>
          <w:rFonts w:hint="eastAsia"/>
        </w:rPr>
        <w:t>履约验收</w:t>
      </w:r>
      <w:bookmarkEnd w:id="164"/>
      <w:bookmarkEnd w:id="165"/>
      <w:bookmarkEnd w:id="166"/>
      <w:bookmarkEnd w:id="167"/>
      <w:bookmarkEnd w:id="168"/>
      <w:bookmarkEnd w:id="169"/>
    </w:p>
    <w:p>
      <w:pPr>
        <w:pStyle w:val="63"/>
        <w:numPr>
          <w:ilvl w:val="255"/>
          <w:numId w:val="0"/>
        </w:numPr>
        <w:spacing w:line="480" w:lineRule="exact"/>
        <w:ind w:left="480" w:leftChars="200"/>
        <w:rPr>
          <w:rFonts w:cs="宋体"/>
        </w:rPr>
      </w:pPr>
      <w:bookmarkStart w:id="170" w:name="_Toc217446071"/>
      <w:r>
        <w:rPr>
          <w:rFonts w:hint="eastAsia"/>
        </w:rPr>
        <w:t>详见磋商文件第五章。</w:t>
      </w:r>
    </w:p>
    <w:bookmarkEnd w:id="170"/>
    <w:p>
      <w:pPr>
        <w:pStyle w:val="35"/>
        <w:spacing w:before="120" w:beforeLines="50" w:after="120" w:afterLines="50" w:line="520" w:lineRule="exact"/>
        <w:ind w:firstLine="0" w:firstLineChars="0"/>
        <w:jc w:val="center"/>
        <w:rPr>
          <w:sz w:val="36"/>
          <w:szCs w:val="36"/>
        </w:rPr>
      </w:pPr>
      <w:bookmarkStart w:id="171" w:name="_Toc24153"/>
      <w:bookmarkStart w:id="172" w:name="_Toc13265"/>
      <w:bookmarkStart w:id="173" w:name="_Toc23470"/>
      <w:r>
        <w:rPr>
          <w:rFonts w:hint="eastAsia"/>
          <w:sz w:val="36"/>
          <w:szCs w:val="36"/>
        </w:rPr>
        <w:t>磋商纪律要求</w:t>
      </w:r>
      <w:bookmarkEnd w:id="171"/>
      <w:bookmarkEnd w:id="172"/>
      <w:bookmarkEnd w:id="173"/>
    </w:p>
    <w:p>
      <w:pPr>
        <w:pStyle w:val="49"/>
        <w:spacing w:line="520" w:lineRule="exact"/>
        <w:ind w:firstLine="482"/>
      </w:pPr>
      <w:bookmarkStart w:id="174" w:name="_Toc25072"/>
      <w:bookmarkStart w:id="175" w:name="_Toc1613"/>
      <w:bookmarkStart w:id="176" w:name="_Toc22497"/>
      <w:r>
        <w:rPr>
          <w:rFonts w:hint="eastAsia"/>
        </w:rPr>
        <w:t>供应商参加本项目采购活动不得具有的情形</w:t>
      </w:r>
      <w:bookmarkEnd w:id="151"/>
      <w:bookmarkEnd w:id="174"/>
      <w:bookmarkEnd w:id="175"/>
      <w:bookmarkEnd w:id="176"/>
    </w:p>
    <w:p>
      <w:pPr>
        <w:pStyle w:val="33"/>
        <w:numPr>
          <w:ilvl w:val="1"/>
          <w:numId w:val="0"/>
        </w:numPr>
        <w:spacing w:line="520" w:lineRule="exact"/>
        <w:ind w:left="480" w:leftChars="200"/>
      </w:pPr>
      <w:r>
        <w:rPr>
          <w:rFonts w:hint="eastAsia"/>
        </w:rPr>
        <w:t>1.提供虚假材料谋取成交；</w:t>
      </w:r>
    </w:p>
    <w:p>
      <w:pPr>
        <w:pStyle w:val="33"/>
        <w:numPr>
          <w:ilvl w:val="1"/>
          <w:numId w:val="0"/>
        </w:numPr>
        <w:spacing w:line="520" w:lineRule="exact"/>
        <w:ind w:left="480" w:leftChars="200"/>
      </w:pPr>
      <w:r>
        <w:rPr>
          <w:rFonts w:hint="eastAsia"/>
        </w:rPr>
        <w:t>2.采取不正当手段诋毁、排挤其他供应商；</w:t>
      </w:r>
    </w:p>
    <w:p>
      <w:pPr>
        <w:pStyle w:val="33"/>
        <w:numPr>
          <w:ilvl w:val="1"/>
          <w:numId w:val="0"/>
        </w:numPr>
        <w:spacing w:line="520" w:lineRule="exact"/>
        <w:ind w:left="480" w:leftChars="200"/>
      </w:pPr>
      <w:r>
        <w:rPr>
          <w:rFonts w:hint="eastAsia"/>
        </w:rPr>
        <w:t>3.与采购人、采购代理机构或其他供应商恶意串通；</w:t>
      </w:r>
    </w:p>
    <w:p>
      <w:pPr>
        <w:pStyle w:val="33"/>
        <w:numPr>
          <w:ilvl w:val="1"/>
          <w:numId w:val="0"/>
        </w:numPr>
        <w:spacing w:line="520" w:lineRule="exact"/>
        <w:ind w:left="480" w:leftChars="200"/>
      </w:pPr>
      <w:r>
        <w:rPr>
          <w:rFonts w:hint="eastAsia"/>
        </w:rPr>
        <w:t>4.向采购人、采购代理机构、磋商小组成员行贿或者提供其他不正当利益；</w:t>
      </w:r>
    </w:p>
    <w:p>
      <w:pPr>
        <w:pStyle w:val="33"/>
        <w:numPr>
          <w:ilvl w:val="1"/>
          <w:numId w:val="0"/>
        </w:numPr>
        <w:spacing w:line="520" w:lineRule="exact"/>
        <w:ind w:left="480" w:leftChars="200"/>
      </w:pPr>
      <w:r>
        <w:rPr>
          <w:rFonts w:hint="eastAsia"/>
        </w:rPr>
        <w:t>5.在磋商过程中与采购人、采购代理机构进行协商；</w:t>
      </w:r>
    </w:p>
    <w:p>
      <w:pPr>
        <w:pStyle w:val="33"/>
        <w:numPr>
          <w:ilvl w:val="1"/>
          <w:numId w:val="0"/>
        </w:numPr>
        <w:spacing w:line="520" w:lineRule="exact"/>
        <w:ind w:left="480" w:leftChars="200"/>
      </w:pPr>
      <w:r>
        <w:rPr>
          <w:rFonts w:hint="eastAsia"/>
        </w:rPr>
        <w:t>6.成交后无正当理由拒不与采购人签订采购合同；</w:t>
      </w:r>
    </w:p>
    <w:p>
      <w:pPr>
        <w:pStyle w:val="33"/>
        <w:numPr>
          <w:ilvl w:val="1"/>
          <w:numId w:val="0"/>
        </w:numPr>
        <w:spacing w:line="520" w:lineRule="exact"/>
        <w:ind w:left="480" w:leftChars="200"/>
      </w:pPr>
      <w:r>
        <w:rPr>
          <w:rFonts w:hint="eastAsia"/>
        </w:rPr>
        <w:t>7.未按照磋商文件确定的事项签订采购合同；</w:t>
      </w:r>
    </w:p>
    <w:p>
      <w:pPr>
        <w:pStyle w:val="33"/>
        <w:numPr>
          <w:ilvl w:val="1"/>
          <w:numId w:val="0"/>
        </w:numPr>
        <w:spacing w:line="520" w:lineRule="exact"/>
        <w:ind w:left="480" w:leftChars="200"/>
      </w:pPr>
      <w:r>
        <w:rPr>
          <w:rFonts w:hint="eastAsia"/>
        </w:rPr>
        <w:t>8.将采购合同转包或者违规分包；</w:t>
      </w:r>
    </w:p>
    <w:p>
      <w:pPr>
        <w:pStyle w:val="33"/>
        <w:numPr>
          <w:ilvl w:val="1"/>
          <w:numId w:val="0"/>
        </w:numPr>
        <w:spacing w:line="520" w:lineRule="exact"/>
        <w:ind w:left="480" w:leftChars="200"/>
      </w:pPr>
      <w:r>
        <w:rPr>
          <w:rFonts w:hint="eastAsia"/>
        </w:rPr>
        <w:t>9.提供假冒伪劣产品；</w:t>
      </w:r>
    </w:p>
    <w:p>
      <w:pPr>
        <w:pStyle w:val="33"/>
        <w:numPr>
          <w:ilvl w:val="1"/>
          <w:numId w:val="0"/>
        </w:numPr>
        <w:spacing w:line="520" w:lineRule="exact"/>
        <w:ind w:left="480" w:leftChars="200"/>
      </w:pPr>
      <w:r>
        <w:rPr>
          <w:rFonts w:hint="eastAsia"/>
        </w:rPr>
        <w:t>10.擅自变更、中止或者终止采购合同；</w:t>
      </w:r>
    </w:p>
    <w:p>
      <w:pPr>
        <w:pStyle w:val="33"/>
        <w:numPr>
          <w:ilvl w:val="1"/>
          <w:numId w:val="0"/>
        </w:numPr>
        <w:spacing w:line="520" w:lineRule="exact"/>
        <w:ind w:left="480" w:leftChars="200"/>
      </w:pPr>
      <w:r>
        <w:rPr>
          <w:rFonts w:hint="eastAsia"/>
        </w:rPr>
        <w:t>11.拒绝有关部门的监督检查或者向监督检查部门提供虚假情况；</w:t>
      </w:r>
    </w:p>
    <w:p>
      <w:pPr>
        <w:pStyle w:val="33"/>
        <w:numPr>
          <w:ilvl w:val="1"/>
          <w:numId w:val="0"/>
        </w:numPr>
        <w:spacing w:line="520" w:lineRule="exact"/>
        <w:ind w:left="480" w:leftChars="200"/>
      </w:pPr>
      <w:r>
        <w:rPr>
          <w:rFonts w:hint="eastAsia"/>
        </w:rPr>
        <w:t>12.法律法规规定的其他情形。</w:t>
      </w:r>
    </w:p>
    <w:p>
      <w:pPr>
        <w:pStyle w:val="46"/>
        <w:spacing w:line="520" w:lineRule="exact"/>
      </w:pPr>
      <w:bookmarkStart w:id="177" w:name="_Toc29848"/>
      <w:bookmarkStart w:id="178" w:name="_Toc12708"/>
      <w:bookmarkStart w:id="179" w:name="_Toc31594"/>
      <w:bookmarkStart w:id="180" w:name="_Toc1683"/>
      <w:bookmarkStart w:id="181" w:name="_Toc28656"/>
      <w:bookmarkStart w:id="182" w:name="_Toc11007"/>
      <w:bookmarkStart w:id="183" w:name="_Toc19578"/>
      <w:bookmarkStart w:id="184" w:name="_Toc17041"/>
      <w:r>
        <w:rPr>
          <w:rFonts w:hint="eastAsia"/>
        </w:rPr>
        <w:t>供应商有上述情形的，按照规定追究法律责任，具备1～10条情形之一的，同时将取消成交资格或者认定成交无效。</w:t>
      </w:r>
    </w:p>
    <w:p>
      <w:pPr>
        <w:pStyle w:val="49"/>
        <w:spacing w:line="520" w:lineRule="exact"/>
        <w:ind w:firstLine="482"/>
      </w:pPr>
      <w:bookmarkStart w:id="185" w:name="_Toc29926"/>
      <w:bookmarkStart w:id="186" w:name="_Toc18558"/>
      <w:bookmarkStart w:id="187" w:name="_Toc20193"/>
      <w:r>
        <w:rPr>
          <w:rFonts w:hint="eastAsia"/>
        </w:rPr>
        <w:t>磋商现场纪律要求</w:t>
      </w:r>
      <w:bookmarkEnd w:id="185"/>
      <w:bookmarkEnd w:id="186"/>
      <w:bookmarkEnd w:id="187"/>
    </w:p>
    <w:p>
      <w:pPr>
        <w:pStyle w:val="46"/>
        <w:spacing w:line="520" w:lineRule="exact"/>
      </w:pPr>
      <w:r>
        <w:rPr>
          <w:rFonts w:hint="eastAsia"/>
        </w:rPr>
        <w:t>供应商在磋商现场须听从采购代理机构的安排，自觉遵守秩序，不得起哄，大声喧哗；不得现场与其他供应商协商报价；不得干预磋商评审，否则由此造成的一切不利后果由供应商自行独立承担。</w:t>
      </w:r>
    </w:p>
    <w:bookmarkEnd w:id="177"/>
    <w:bookmarkEnd w:id="178"/>
    <w:bookmarkEnd w:id="179"/>
    <w:bookmarkEnd w:id="180"/>
    <w:bookmarkEnd w:id="181"/>
    <w:bookmarkEnd w:id="182"/>
    <w:bookmarkEnd w:id="183"/>
    <w:p>
      <w:pPr>
        <w:pStyle w:val="35"/>
        <w:spacing w:before="120" w:beforeLines="50" w:after="120" w:afterLines="50" w:line="520" w:lineRule="exact"/>
        <w:ind w:firstLine="0" w:firstLineChars="0"/>
        <w:jc w:val="center"/>
        <w:rPr>
          <w:sz w:val="36"/>
          <w:szCs w:val="36"/>
        </w:rPr>
      </w:pPr>
      <w:bookmarkStart w:id="188" w:name="_Toc26695"/>
      <w:bookmarkStart w:id="189" w:name="_Toc19072"/>
      <w:bookmarkStart w:id="190" w:name="_Toc14507"/>
      <w:r>
        <w:rPr>
          <w:rFonts w:hint="eastAsia"/>
          <w:sz w:val="36"/>
          <w:szCs w:val="36"/>
        </w:rPr>
        <w:t>其他</w:t>
      </w:r>
      <w:bookmarkEnd w:id="188"/>
      <w:bookmarkEnd w:id="189"/>
      <w:bookmarkEnd w:id="190"/>
    </w:p>
    <w:p>
      <w:pPr>
        <w:pStyle w:val="49"/>
        <w:spacing w:line="520" w:lineRule="exact"/>
        <w:ind w:firstLine="482"/>
      </w:pPr>
      <w:bookmarkStart w:id="191" w:name="_Toc22740"/>
      <w:bookmarkStart w:id="192" w:name="_Toc24369"/>
      <w:bookmarkStart w:id="193" w:name="_Toc25939"/>
      <w:r>
        <w:rPr>
          <w:rFonts w:hint="eastAsia"/>
        </w:rPr>
        <w:t>询问、质疑和投诉</w:t>
      </w:r>
      <w:bookmarkEnd w:id="191"/>
      <w:bookmarkEnd w:id="192"/>
      <w:bookmarkEnd w:id="193"/>
    </w:p>
    <w:p>
      <w:pPr>
        <w:pStyle w:val="33"/>
        <w:numPr>
          <w:ilvl w:val="1"/>
          <w:numId w:val="0"/>
        </w:numPr>
        <w:spacing w:line="520" w:lineRule="exact"/>
        <w:ind w:left="480" w:leftChars="200"/>
      </w:pPr>
      <w:r>
        <w:rPr>
          <w:rFonts w:hint="eastAsia"/>
        </w:rPr>
        <w:t>具体详见磋商须知前附表</w:t>
      </w:r>
      <w:bookmarkEnd w:id="184"/>
      <w:r>
        <w:rPr>
          <w:rFonts w:hint="eastAsia"/>
        </w:rPr>
        <w:t>。</w:t>
      </w:r>
    </w:p>
    <w:p>
      <w:pPr>
        <w:pStyle w:val="49"/>
        <w:spacing w:line="520" w:lineRule="exact"/>
        <w:ind w:firstLine="482"/>
      </w:pPr>
      <w:bookmarkStart w:id="194" w:name="_Toc2794"/>
      <w:bookmarkStart w:id="195" w:name="_Toc26947"/>
      <w:bookmarkStart w:id="196" w:name="_Toc24020"/>
      <w:bookmarkStart w:id="197" w:name="_Toc31084"/>
      <w:bookmarkStart w:id="198" w:name="_Toc10108"/>
      <w:bookmarkStart w:id="199" w:name="_Toc1748"/>
      <w:bookmarkStart w:id="200" w:name="_Toc18625"/>
      <w:bookmarkStart w:id="201" w:name="_Toc16406"/>
      <w:bookmarkStart w:id="202" w:name="_Toc1319"/>
      <w:r>
        <w:rPr>
          <w:rFonts w:hint="eastAsia"/>
        </w:rPr>
        <w:t>关于行贿犯罪档案查询工作的规定</w:t>
      </w:r>
      <w:bookmarkEnd w:id="194"/>
      <w:bookmarkEnd w:id="195"/>
      <w:bookmarkEnd w:id="196"/>
      <w:bookmarkEnd w:id="197"/>
      <w:bookmarkEnd w:id="198"/>
      <w:bookmarkEnd w:id="199"/>
      <w:bookmarkEnd w:id="200"/>
      <w:bookmarkEnd w:id="201"/>
      <w:bookmarkEnd w:id="202"/>
    </w:p>
    <w:p>
      <w:pPr>
        <w:pStyle w:val="46"/>
        <w:spacing w:line="520" w:lineRule="exact"/>
      </w:pPr>
      <w:bookmarkStart w:id="203" w:name="_Toc29751"/>
      <w:bookmarkStart w:id="204" w:name="_Toc14412"/>
      <w:bookmarkStart w:id="205" w:name="_Toc4110"/>
      <w:r>
        <w:rPr>
          <w:rFonts w:hint="eastAsia"/>
        </w:rPr>
        <w:t>因国家检察机关职务犯罪侦查部门转隶工作已经完成，供应商参与采购活动时须按照磋商文件要求提供承诺函或由采购代理机构通过“中国裁判文书网”查询，并将查询记录存档。</w:t>
      </w:r>
      <w:bookmarkEnd w:id="203"/>
      <w:bookmarkEnd w:id="204"/>
    </w:p>
    <w:p>
      <w:pPr>
        <w:pStyle w:val="49"/>
        <w:spacing w:line="520" w:lineRule="exact"/>
        <w:ind w:firstLine="482"/>
      </w:pPr>
      <w:bookmarkStart w:id="206" w:name="_Toc24800"/>
      <w:bookmarkStart w:id="207" w:name="_Toc18609"/>
      <w:bookmarkStart w:id="208" w:name="_Toc27271"/>
      <w:r>
        <w:rPr>
          <w:rFonts w:hint="eastAsia"/>
        </w:rPr>
        <w:t>供应商信用信息查询</w:t>
      </w:r>
      <w:bookmarkEnd w:id="205"/>
      <w:bookmarkEnd w:id="206"/>
      <w:bookmarkEnd w:id="207"/>
      <w:bookmarkEnd w:id="208"/>
    </w:p>
    <w:p>
      <w:pPr>
        <w:pStyle w:val="33"/>
        <w:numPr>
          <w:ilvl w:val="1"/>
          <w:numId w:val="0"/>
        </w:numPr>
        <w:spacing w:line="520" w:lineRule="exact"/>
        <w:ind w:firstLine="480" w:firstLineChars="200"/>
      </w:pPr>
      <w:r>
        <w:rPr>
          <w:rFonts w:hint="eastAsia"/>
        </w:rPr>
        <w:t>1.供应商信用信息查询渠道</w:t>
      </w:r>
    </w:p>
    <w:p>
      <w:pPr>
        <w:pStyle w:val="46"/>
        <w:spacing w:line="520" w:lineRule="exact"/>
      </w:pPr>
      <w:r>
        <w:rPr>
          <w:rFonts w:hint="eastAsia"/>
        </w:rPr>
        <w:t>“信用中国”网站(www.creditchina.gov.cn)、“中国政府采购网”(www.ccgp.gov.cn)等。</w:t>
      </w:r>
    </w:p>
    <w:p>
      <w:pPr>
        <w:pStyle w:val="33"/>
        <w:numPr>
          <w:ilvl w:val="1"/>
          <w:numId w:val="0"/>
        </w:numPr>
        <w:spacing w:line="520" w:lineRule="exact"/>
        <w:ind w:firstLine="480" w:firstLineChars="200"/>
      </w:pPr>
      <w:r>
        <w:rPr>
          <w:rFonts w:hint="eastAsia"/>
        </w:rPr>
        <w:t>2.供应商信用信息查询截止时点</w:t>
      </w:r>
    </w:p>
    <w:p>
      <w:pPr>
        <w:pStyle w:val="46"/>
        <w:spacing w:line="520" w:lineRule="exact"/>
      </w:pPr>
      <w:r>
        <w:rPr>
          <w:rFonts w:hint="eastAsia"/>
        </w:rPr>
        <w:t>信用信息查询在资格审查阶段进行。</w:t>
      </w:r>
    </w:p>
    <w:p>
      <w:pPr>
        <w:pStyle w:val="33"/>
        <w:numPr>
          <w:ilvl w:val="1"/>
          <w:numId w:val="0"/>
        </w:numPr>
        <w:spacing w:line="520" w:lineRule="exact"/>
        <w:ind w:firstLine="480" w:firstLineChars="200"/>
      </w:pPr>
      <w:r>
        <w:rPr>
          <w:rFonts w:hint="eastAsia"/>
        </w:rPr>
        <w:t>3.供应商信用信息查询记录和证据留存的具体方式</w:t>
      </w:r>
    </w:p>
    <w:p>
      <w:pPr>
        <w:pStyle w:val="46"/>
        <w:spacing w:line="520" w:lineRule="exact"/>
      </w:pPr>
      <w:r>
        <w:rPr>
          <w:rFonts w:hint="eastAsia"/>
        </w:rPr>
        <w:t>采购代理机构通过“信用中国”网站、“中国政府采购网”等渠道对供应商进行信用记录查询，并将查询记录存档。</w:t>
      </w:r>
    </w:p>
    <w:p>
      <w:pPr>
        <w:pStyle w:val="33"/>
        <w:numPr>
          <w:ilvl w:val="255"/>
          <w:numId w:val="0"/>
        </w:numPr>
        <w:spacing w:line="520" w:lineRule="exact"/>
        <w:ind w:firstLine="480" w:firstLineChars="200"/>
      </w:pPr>
      <w:r>
        <w:rPr>
          <w:rFonts w:hint="eastAsia"/>
        </w:rPr>
        <w:t>4.供应商信用信息的使用：凡被列入失信被执行人、重大税收违法案件当事人名单(重大税收违法失信主体)、政府采购严重违法失信行为记录名单的，视为存在不良信用记录，参与本项目的将被拒绝。</w:t>
      </w:r>
    </w:p>
    <w:p>
      <w:pPr>
        <w:pStyle w:val="49"/>
        <w:spacing w:line="520" w:lineRule="exact"/>
        <w:ind w:firstLine="482"/>
      </w:pPr>
      <w:bookmarkStart w:id="209" w:name="_Toc7951"/>
      <w:bookmarkStart w:id="210" w:name="_Toc5438"/>
      <w:bookmarkStart w:id="211" w:name="_Toc7478"/>
      <w:r>
        <w:rPr>
          <w:rFonts w:hint="eastAsia"/>
        </w:rPr>
        <w:t>保密</w:t>
      </w:r>
      <w:bookmarkEnd w:id="209"/>
      <w:bookmarkEnd w:id="210"/>
      <w:bookmarkEnd w:id="211"/>
    </w:p>
    <w:p>
      <w:pPr>
        <w:pStyle w:val="11"/>
        <w:tabs>
          <w:tab w:val="left" w:pos="1134"/>
          <w:tab w:val="clear" w:pos="0"/>
        </w:tabs>
        <w:spacing w:line="520" w:lineRule="exact"/>
        <w:ind w:firstLine="480"/>
      </w:pPr>
      <w:r>
        <w:rPr>
          <w:rFonts w:hint="eastAsia"/>
        </w:rPr>
        <w:t>1.各采购当事人不得透露有关成功获取采购文件的潜在供应商的任何情况。</w:t>
      </w:r>
    </w:p>
    <w:p>
      <w:pPr>
        <w:pStyle w:val="11"/>
        <w:tabs>
          <w:tab w:val="left" w:pos="1134"/>
          <w:tab w:val="clear" w:pos="0"/>
        </w:tabs>
        <w:spacing w:line="520" w:lineRule="exact"/>
        <w:ind w:firstLine="480"/>
      </w:pPr>
      <w:r>
        <w:rPr>
          <w:rFonts w:hint="eastAsia"/>
        </w:rPr>
        <w:t>2.供应商有关响应文件的审查、澄清、评估和比较以及合同授予意向等情况均不得对外透露。</w:t>
      </w:r>
    </w:p>
    <w:p>
      <w:pPr>
        <w:pStyle w:val="49"/>
        <w:spacing w:line="520" w:lineRule="exact"/>
        <w:ind w:firstLine="482"/>
      </w:pPr>
      <w:bookmarkStart w:id="212" w:name="_Toc27052"/>
      <w:bookmarkStart w:id="213" w:name="_Toc9400"/>
      <w:bookmarkStart w:id="214" w:name="_Toc10353"/>
      <w:r>
        <w:rPr>
          <w:rFonts w:hint="eastAsia"/>
        </w:rPr>
        <w:t>回避</w:t>
      </w:r>
      <w:bookmarkEnd w:id="212"/>
      <w:bookmarkEnd w:id="213"/>
      <w:bookmarkEnd w:id="214"/>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在采购活动中，采购人员及相关人员与供应商有下列利害关系之一的，应当回避：</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1.参加采购活动前3年内与供应商存在劳动关系；</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2.参加采购活动前3年内担任供应商的董事、监事；</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3.参加采购活动前3年内是供应商的控股股东或者实际控制人；</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4.与供应商的法定代表人或者负责人有夫妻、直系血亲、三代以内旁系血亲或者近姻亲关系；</w:t>
      </w:r>
    </w:p>
    <w:p>
      <w:pPr>
        <w:pStyle w:val="22"/>
        <w:shd w:val="clear" w:color="auto" w:fill="FFFFFF"/>
        <w:spacing w:beforeAutospacing="0" w:afterAutospacing="0" w:line="520" w:lineRule="exact"/>
        <w:ind w:firstLine="480" w:firstLineChars="200"/>
        <w:jc w:val="both"/>
        <w:textAlignment w:val="center"/>
        <w:rPr>
          <w:rFonts w:cstheme="minorBidi"/>
          <w:kern w:val="2"/>
        </w:rPr>
      </w:pPr>
      <w:r>
        <w:rPr>
          <w:rFonts w:hint="eastAsia" w:cstheme="minorBidi"/>
          <w:kern w:val="2"/>
        </w:rPr>
        <w:t>5.与供应商有其他可能影响采购活动公平、公正进行的关系。</w:t>
      </w:r>
    </w:p>
    <w:p>
      <w:pPr>
        <w:pStyle w:val="11"/>
        <w:tabs>
          <w:tab w:val="left" w:pos="1134"/>
          <w:tab w:val="clear" w:pos="0"/>
        </w:tabs>
        <w:spacing w:line="520" w:lineRule="exact"/>
        <w:ind w:firstLine="480"/>
      </w:pPr>
      <w:r>
        <w:rPr>
          <w:rFonts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9"/>
        <w:spacing w:line="520" w:lineRule="exact"/>
        <w:ind w:firstLine="482"/>
      </w:pPr>
      <w:bookmarkStart w:id="215" w:name="_Toc28646"/>
      <w:bookmarkStart w:id="216" w:name="_Toc30603"/>
      <w:r>
        <w:rPr>
          <w:rFonts w:hint="eastAsia"/>
        </w:rPr>
        <w:t>解释说明</w:t>
      </w:r>
      <w:bookmarkEnd w:id="215"/>
      <w:bookmarkEnd w:id="216"/>
    </w:p>
    <w:p>
      <w:pPr>
        <w:pStyle w:val="33"/>
        <w:numPr>
          <w:ilvl w:val="1"/>
          <w:numId w:val="0"/>
        </w:numPr>
        <w:spacing w:line="520" w:lineRule="exact"/>
        <w:ind w:firstLine="480" w:firstLineChars="200"/>
      </w:pPr>
      <w:r>
        <w:rPr>
          <w:rFonts w:hint="eastAsia"/>
        </w:rPr>
        <w:t>1.本磋商文件中作为实质性要求的内容，除明确要求需在响应文件中提供承诺函等证明材料的外，评审委员会在评审时，仅对响应文件是否违背实质性要求进行审查。</w:t>
      </w:r>
    </w:p>
    <w:p>
      <w:pPr>
        <w:pStyle w:val="33"/>
        <w:numPr>
          <w:ilvl w:val="1"/>
          <w:numId w:val="0"/>
        </w:numPr>
        <w:spacing w:line="520" w:lineRule="exact"/>
        <w:ind w:firstLine="480" w:firstLineChars="200"/>
      </w:pPr>
      <w:r>
        <w:rPr>
          <w:rFonts w:hint="eastAsia"/>
        </w:rPr>
        <w:t>2.本磋商文件中所引用的相关法律法规规定，在采购中有调整的，按照调整后的相关法律法规规定执行。在本项目响应文件递交截止时间届满后，因相关法律法规规定的调整导致不符合相关法律法规规定的，按照调整后的相关法律法规规定执行，本磋商文件不再做调整。</w:t>
      </w:r>
    </w:p>
    <w:p>
      <w:pPr>
        <w:pStyle w:val="33"/>
        <w:numPr>
          <w:ilvl w:val="1"/>
          <w:numId w:val="0"/>
        </w:numPr>
        <w:spacing w:line="520" w:lineRule="exact"/>
        <w:ind w:firstLine="480" w:firstLineChars="200"/>
      </w:pPr>
      <w:r>
        <w:rPr>
          <w:rFonts w:hint="eastAsia"/>
        </w:rPr>
        <w:t>3.国家或行业主管部门对供应商和采购产品的技术标准、质量标准和资格资质条件等有强制性规定的，必须符合其要求</w:t>
      </w:r>
      <w:r>
        <w:rPr>
          <w:rFonts w:hint="eastAsia"/>
          <w:b/>
          <w:bCs/>
        </w:rPr>
        <w:t>(实质性要求)</w:t>
      </w:r>
      <w:r>
        <w:rPr>
          <w:rFonts w:hint="eastAsia"/>
        </w:rPr>
        <w:t>。</w:t>
      </w:r>
    </w:p>
    <w:p>
      <w:pPr>
        <w:pStyle w:val="33"/>
        <w:numPr>
          <w:ilvl w:val="1"/>
          <w:numId w:val="0"/>
        </w:numPr>
        <w:spacing w:line="520" w:lineRule="exact"/>
        <w:ind w:firstLine="480" w:firstLineChars="200"/>
      </w:pPr>
      <w:r>
        <w:rPr>
          <w:rFonts w:hint="eastAsia"/>
        </w:rPr>
        <w:t>4.</w:t>
      </w:r>
      <w:r>
        <w:rPr>
          <w:rFonts w:hint="eastAsia" w:cs="宋体"/>
        </w:rPr>
        <w:t>本项目涉及企业资质、产品认证、国家标准、人员执业资格等描述与国家最新要求不一致时以最新要求为准。</w:t>
      </w:r>
    </w:p>
    <w:p>
      <w:pPr>
        <w:pStyle w:val="43"/>
      </w:pPr>
    </w:p>
    <w:p>
      <w:pPr>
        <w:pStyle w:val="43"/>
      </w:pP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pStyle w:val="48"/>
        <w:spacing w:before="120" w:after="120"/>
      </w:pPr>
      <w:bookmarkStart w:id="217" w:name="_Toc5589"/>
      <w:r>
        <w:rPr>
          <w:rFonts w:hint="eastAsia"/>
        </w:rPr>
        <w:br w:type="page"/>
      </w:r>
      <w:bookmarkEnd w:id="217"/>
      <w:bookmarkStart w:id="218" w:name="_Toc25961"/>
      <w:bookmarkStart w:id="219" w:name="_Toc32083"/>
      <w:bookmarkStart w:id="220" w:name="_Toc4206"/>
      <w:bookmarkStart w:id="221" w:name="_Toc31402"/>
      <w:bookmarkStart w:id="222" w:name="_Toc29575"/>
      <w:bookmarkStart w:id="223" w:name="_Toc26601"/>
      <w:r>
        <w:rPr>
          <w:rFonts w:hint="eastAsia"/>
        </w:rPr>
        <w:t>响应文件格式</w:t>
      </w:r>
      <w:bookmarkEnd w:id="218"/>
      <w:bookmarkEnd w:id="219"/>
      <w:bookmarkEnd w:id="220"/>
      <w:bookmarkEnd w:id="221"/>
      <w:bookmarkEnd w:id="222"/>
      <w:bookmarkEnd w:id="223"/>
    </w:p>
    <w:p>
      <w:pPr>
        <w:pStyle w:val="46"/>
        <w:spacing w:line="520" w:lineRule="exact"/>
      </w:pPr>
      <w:bookmarkStart w:id="224" w:name="_Toc16460"/>
      <w:bookmarkStart w:id="225" w:name="_Toc439161746"/>
      <w:bookmarkStart w:id="226" w:name="_Toc316462354"/>
      <w:bookmarkStart w:id="227" w:name="_Toc182759327"/>
      <w:bookmarkStart w:id="228" w:name="_Toc294701519"/>
      <w:bookmarkStart w:id="229" w:name="_Toc211218954"/>
      <w:bookmarkStart w:id="230" w:name="_Toc294688711"/>
      <w:bookmarkStart w:id="231" w:name="_Toc287367101"/>
      <w:bookmarkStart w:id="232" w:name="_Toc295978802"/>
      <w:bookmarkStart w:id="233" w:name="_Toc182629023"/>
      <w:r>
        <w:rPr>
          <w:rFonts w:hint="eastAsia"/>
        </w:rPr>
        <w:t>一、本章所制响应文件格式，除格式中明确将该格式作为实质性要求的，一律不具有强制性，供应商不涉及的格式可以不提供。</w:t>
      </w:r>
    </w:p>
    <w:p>
      <w:pPr>
        <w:pStyle w:val="46"/>
        <w:spacing w:line="520" w:lineRule="exact"/>
      </w:pPr>
      <w:r>
        <w:rPr>
          <w:rFonts w:hint="eastAsia"/>
        </w:rPr>
        <w:t>二、本章所制响应文件格式有关表格中的备注栏，由供应商根据自身响应情况作解释性说明，不作为必填项。</w:t>
      </w:r>
    </w:p>
    <w:p>
      <w:pPr>
        <w:pStyle w:val="46"/>
        <w:spacing w:line="520" w:lineRule="exact"/>
      </w:pPr>
      <w:r>
        <w:rPr>
          <w:rFonts w:hint="eastAsia"/>
        </w:rPr>
        <w:t>三、本章格式中“注”的内容，供应商可自行决定是否保留在响应文件中，未保留的视为供应商默认接受“注”的内容。</w:t>
      </w:r>
    </w:p>
    <w:p>
      <w:pPr>
        <w:pStyle w:val="46"/>
        <w:spacing w:line="520" w:lineRule="exact"/>
      </w:pPr>
      <w:r>
        <w:rPr>
          <w:rFonts w:hint="eastAsia"/>
        </w:rPr>
        <w:t>四、本章所制响应文件格式中需要填写的相关内容事项，可能会与本采购项目无关，在不改变响应文件原义、不影响本项目采购需求的情况下，供应商可以不予填写，但应当注明。</w:t>
      </w:r>
    </w:p>
    <w:p>
      <w:pPr>
        <w:pStyle w:val="43"/>
      </w:pPr>
      <w:r>
        <w:rPr>
          <w:rFonts w:hint="eastAsia"/>
        </w:rPr>
        <w:br w:type="page"/>
      </w:r>
    </w:p>
    <w:p>
      <w:pPr>
        <w:pStyle w:val="34"/>
      </w:pPr>
      <w:r>
        <w:rPr>
          <w:rFonts w:hint="eastAsia"/>
        </w:rPr>
        <w:t>附件：密封袋的格式</w:t>
      </w:r>
    </w:p>
    <w:p>
      <w:pPr>
        <w:pStyle w:val="34"/>
      </w:pPr>
    </w:p>
    <w:p>
      <w:pPr>
        <w:pStyle w:val="34"/>
      </w:pPr>
    </w:p>
    <w:p>
      <w:pPr>
        <w:pStyle w:val="34"/>
      </w:pPr>
    </w:p>
    <w:tbl>
      <w:tblPr>
        <w:tblStyle w:val="25"/>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9720" w:type="dxa"/>
            <w:tcBorders>
              <w:top w:val="single" w:color="000000" w:sz="4" w:space="0"/>
              <w:left w:val="single" w:color="000000" w:sz="4" w:space="0"/>
              <w:bottom w:val="single" w:color="000000" w:sz="4" w:space="0"/>
              <w:right w:val="single" w:color="000000" w:sz="4" w:space="0"/>
            </w:tcBorders>
          </w:tcPr>
          <w:p>
            <w:pPr>
              <w:pStyle w:val="34"/>
            </w:pP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u w:val="single"/>
              </w:rPr>
              <w:t xml:space="preserve">                   </w:t>
            </w:r>
          </w:p>
          <w:p>
            <w:pPr>
              <w:tabs>
                <w:tab w:val="left" w:pos="7665"/>
                <w:tab w:val="clear" w:pos="0"/>
              </w:tabs>
              <w:spacing w:line="400" w:lineRule="exact"/>
              <w:jc w:val="center"/>
              <w:rPr>
                <w:rFonts w:asciiTheme="minorEastAsia" w:hAnsiTheme="minorEastAsia" w:eastAsiaTheme="minorEastAsia" w:cstheme="minorEastAsia"/>
                <w:b/>
                <w:sz w:val="32"/>
                <w:szCs w:val="32"/>
              </w:rPr>
            </w:pPr>
          </w:p>
          <w:p>
            <w:pPr>
              <w:pStyle w:val="34"/>
              <w:jc w:val="center"/>
              <w:rPr>
                <w:b/>
                <w:bCs/>
                <w:sz w:val="32"/>
                <w:szCs w:val="32"/>
              </w:rPr>
            </w:pPr>
            <w:r>
              <w:rPr>
                <w:rFonts w:hint="eastAsia"/>
                <w:b/>
                <w:bCs/>
                <w:sz w:val="32"/>
                <w:szCs w:val="32"/>
              </w:rPr>
              <w:t>资格、资质性及其他类似效力响应文件</w:t>
            </w:r>
          </w:p>
          <w:p>
            <w:pPr>
              <w:pStyle w:val="34"/>
              <w:jc w:val="center"/>
              <w:rPr>
                <w:b/>
                <w:bCs/>
                <w:sz w:val="32"/>
                <w:szCs w:val="32"/>
              </w:rPr>
            </w:pPr>
            <w:r>
              <w:rPr>
                <w:rFonts w:hint="eastAsia"/>
                <w:b/>
                <w:bCs/>
                <w:sz w:val="32"/>
                <w:szCs w:val="32"/>
              </w:rPr>
              <w:t>/其他响应文件/电子文档</w:t>
            </w:r>
          </w:p>
          <w:p>
            <w:pPr>
              <w:tabs>
                <w:tab w:val="left" w:pos="7665"/>
                <w:tab w:val="clear" w:pos="0"/>
              </w:tabs>
              <w:spacing w:line="400" w:lineRule="exact"/>
              <w:jc w:val="center"/>
              <w:rPr>
                <w:rFonts w:asciiTheme="minorEastAsia" w:hAnsiTheme="minorEastAsia" w:eastAsiaTheme="minorEastAsia" w:cstheme="minorEastAsia"/>
              </w:rPr>
            </w:pPr>
          </w:p>
          <w:p>
            <w:pPr>
              <w:tabs>
                <w:tab w:val="left" w:pos="7665"/>
                <w:tab w:val="clear" w:pos="0"/>
              </w:tabs>
              <w:spacing w:line="400" w:lineRule="exact"/>
              <w:ind w:firstLine="2280" w:firstLineChars="950"/>
              <w:rPr>
                <w:rFonts w:asciiTheme="minorEastAsia" w:hAnsiTheme="minorEastAsia" w:eastAsiaTheme="minorEastAsia" w:cstheme="minorEastAsia"/>
                <w:u w:val="single"/>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p>
          <w:p>
            <w:pPr>
              <w:pStyle w:val="34"/>
              <w:ind w:firstLine="2280" w:firstLineChars="950"/>
            </w:pPr>
            <w:r>
              <w:rPr>
                <w:rFonts w:hint="eastAsia" w:asciiTheme="minorEastAsia" w:hAnsiTheme="minorEastAsia" w:eastAsiaTheme="minorEastAsia" w:cstheme="minorEastAsia"/>
              </w:rPr>
              <w:t>磋商时间：</w:t>
            </w:r>
            <w:r>
              <w:rPr>
                <w:rFonts w:hint="eastAsia" w:asciiTheme="minorEastAsia" w:hAnsiTheme="minorEastAsia" w:eastAsiaTheme="minorEastAsia" w:cstheme="minorEastAsia"/>
                <w:u w:val="single"/>
              </w:rPr>
              <w:t xml:space="preserve">                   </w:t>
            </w:r>
            <w:r>
              <w:rPr>
                <w:rFonts w:hint="eastAsia"/>
              </w:rPr>
              <w:t xml:space="preserve">                   </w:t>
            </w:r>
          </w:p>
          <w:p>
            <w:pPr>
              <w:pStyle w:val="34"/>
            </w:pPr>
          </w:p>
        </w:tc>
      </w:tr>
    </w:tbl>
    <w:p>
      <w:pPr>
        <w:pStyle w:val="34"/>
      </w:pPr>
      <w:bookmarkStart w:id="234" w:name="_Toc11581"/>
      <w:bookmarkStart w:id="235" w:name="_Toc6994"/>
      <w:r>
        <w:rPr>
          <w:rFonts w:hint="eastAsia"/>
        </w:rPr>
        <w:br w:type="page"/>
      </w:r>
    </w:p>
    <w:p>
      <w:pPr>
        <w:pStyle w:val="34"/>
      </w:pPr>
      <w:r>
        <w:rPr>
          <w:rFonts w:hint="eastAsia"/>
        </w:rPr>
        <w:t>响应文件封面格式</w:t>
      </w:r>
      <w:bookmarkEnd w:id="224"/>
      <w:bookmarkEnd w:id="225"/>
      <w:bookmarkEnd w:id="226"/>
      <w:bookmarkEnd w:id="227"/>
      <w:bookmarkEnd w:id="228"/>
      <w:bookmarkEnd w:id="229"/>
      <w:bookmarkEnd w:id="230"/>
      <w:bookmarkEnd w:id="231"/>
      <w:bookmarkEnd w:id="232"/>
      <w:bookmarkEnd w:id="233"/>
      <w:bookmarkEnd w:id="234"/>
      <w:bookmarkEnd w:id="235"/>
    </w:p>
    <w:p>
      <w:pPr>
        <w:pStyle w:val="34"/>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169545</wp:posOffset>
                </wp:positionV>
                <wp:extent cx="1137285" cy="331470"/>
                <wp:effectExtent l="4445" t="4445" r="16510" b="14605"/>
                <wp:wrapNone/>
                <wp:docPr id="5" name="矩形 5"/>
                <wp:cNvGraphicFramePr/>
                <a:graphic xmlns:a="http://schemas.openxmlformats.org/drawingml/2006/main">
                  <a:graphicData uri="http://schemas.microsoft.com/office/word/2010/wordprocessingShape">
                    <wps:wsp>
                      <wps:cNvSpPr/>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b/>
                                <w:sz w:val="28"/>
                                <w:szCs w:val="28"/>
                              </w:rPr>
                            </w:pPr>
                            <w:r>
                              <w:rPr>
                                <w:rFonts w:hint="eastAsia" w:cs="宋体"/>
                                <w:b/>
                                <w:sz w:val="28"/>
                                <w:szCs w:val="28"/>
                              </w:rPr>
                              <w:t>正本或副本</w:t>
                            </w:r>
                          </w:p>
                        </w:txbxContent>
                      </wps:txbx>
                      <wps:bodyPr upright="1">
                        <a:spAutoFit/>
                      </wps:bodyPr>
                    </wps:wsp>
                  </a:graphicData>
                </a:graphic>
              </wp:anchor>
            </w:drawing>
          </mc:Choice>
          <mc:Fallback>
            <w:pict>
              <v:rect id="_x0000_s1026" o:spid="_x0000_s1026" o:spt="1" style="position:absolute;left:0pt;margin-left:319.35pt;margin-top:13.35pt;height:26.1pt;width:89.55pt;z-index:251660288;mso-width-relative:page;mso-height-relative:page;" fillcolor="#FFFFFF" filled="t" stroked="t" coordsize="21600,21600" o:gfxdata="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aPlZ1wAAAAkBAAAPAAAAAAAAAAEAIAAA&#10;ACIAAABkcnMvZG93bnJldi54bWxQSwECFAAUAAAACACHTuJAYguHLg0CAABDBAAADgAAAAAAAAAB&#10;ACAAAAAmAQAAZHJzL2Uyb0RvYy54bWxQSwUGAAAAAAYABgBZAQAApQUAAAAA&#10;">
                <v:fill on="t" focussize="0,0"/>
                <v:stroke color="#000000" joinstyle="miter"/>
                <v:imagedata o:title=""/>
                <o:lock v:ext="edit" aspectratio="f"/>
                <v:textbox style="mso-fit-shape-to-text:t;">
                  <w:txbxContent>
                    <w:p>
                      <w:pPr>
                        <w:rPr>
                          <w:rFonts w:cs="宋体"/>
                          <w:b/>
                          <w:sz w:val="28"/>
                          <w:szCs w:val="28"/>
                        </w:rPr>
                      </w:pPr>
                      <w:r>
                        <w:rPr>
                          <w:rFonts w:hint="eastAsia" w:cs="宋体"/>
                          <w:b/>
                          <w:sz w:val="28"/>
                          <w:szCs w:val="28"/>
                        </w:rPr>
                        <w:t>正本或副本</w:t>
                      </w:r>
                    </w:p>
                  </w:txbxContent>
                </v:textbox>
              </v:rect>
            </w:pict>
          </mc:Fallback>
        </mc:AlternateContent>
      </w:r>
    </w:p>
    <w:p>
      <w:pPr>
        <w:pStyle w:val="34"/>
      </w:pPr>
    </w:p>
    <w:p>
      <w:pPr>
        <w:pStyle w:val="34"/>
      </w:pPr>
    </w:p>
    <w:p>
      <w:pPr>
        <w:pStyle w:val="34"/>
      </w:pPr>
    </w:p>
    <w:p>
      <w:pPr>
        <w:pStyle w:val="34"/>
        <w:spacing w:line="360" w:lineRule="auto"/>
        <w:jc w:val="center"/>
        <w:rPr>
          <w:b/>
          <w:bCs/>
          <w:sz w:val="48"/>
          <w:szCs w:val="48"/>
        </w:rPr>
      </w:pPr>
    </w:p>
    <w:p>
      <w:pPr>
        <w:pStyle w:val="34"/>
        <w:spacing w:line="360" w:lineRule="auto"/>
        <w:jc w:val="center"/>
        <w:rPr>
          <w:b/>
          <w:bCs/>
          <w:sz w:val="48"/>
          <w:szCs w:val="48"/>
        </w:rPr>
      </w:pPr>
      <w:r>
        <w:rPr>
          <w:rFonts w:hint="eastAsia"/>
          <w:b/>
          <w:bCs/>
          <w:sz w:val="48"/>
          <w:szCs w:val="48"/>
        </w:rPr>
        <w:t>资格、资质性及其他类似效力响应文件</w:t>
      </w:r>
    </w:p>
    <w:p>
      <w:pPr>
        <w:pStyle w:val="34"/>
        <w:spacing w:line="360" w:lineRule="auto"/>
        <w:jc w:val="center"/>
        <w:rPr>
          <w:b/>
          <w:bCs/>
          <w:sz w:val="48"/>
          <w:szCs w:val="48"/>
        </w:rPr>
      </w:pPr>
      <w:r>
        <w:rPr>
          <w:rFonts w:hint="eastAsia"/>
          <w:b/>
          <w:bCs/>
          <w:sz w:val="48"/>
          <w:szCs w:val="48"/>
        </w:rPr>
        <w:t>/其他响应文件</w:t>
      </w:r>
    </w:p>
    <w:p>
      <w:pPr>
        <w:pStyle w:val="34"/>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p>
    <w:p>
      <w:pPr>
        <w:pStyle w:val="34"/>
        <w:spacing w:line="480" w:lineRule="auto"/>
        <w:ind w:left="2400" w:leftChars="1000"/>
        <w:rPr>
          <w:b/>
          <w:bCs/>
          <w:sz w:val="32"/>
          <w:szCs w:val="32"/>
        </w:rPr>
      </w:pPr>
      <w:r>
        <w:rPr>
          <w:rFonts w:hint="eastAsia"/>
          <w:b/>
          <w:bCs/>
          <w:sz w:val="32"/>
          <w:szCs w:val="32"/>
        </w:rPr>
        <w:t>项目名称：</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项目编号：</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供应商名称：</w:t>
      </w:r>
      <w:r>
        <w:rPr>
          <w:rFonts w:hint="eastAsia" w:asciiTheme="minorEastAsia" w:hAnsiTheme="minorEastAsia" w:eastAsiaTheme="minorEastAsia" w:cstheme="minorEastAsia"/>
          <w:b/>
          <w:bCs/>
          <w:sz w:val="32"/>
          <w:szCs w:val="32"/>
          <w:u w:val="single"/>
        </w:rPr>
        <w:t xml:space="preserve">                  </w:t>
      </w:r>
      <w:r>
        <w:rPr>
          <w:rFonts w:hint="eastAsia"/>
          <w:b/>
          <w:bCs/>
          <w:sz w:val="32"/>
          <w:szCs w:val="32"/>
        </w:rPr>
        <w:t xml:space="preserve">                </w:t>
      </w:r>
    </w:p>
    <w:p>
      <w:pPr>
        <w:pStyle w:val="34"/>
        <w:spacing w:line="480" w:lineRule="auto"/>
        <w:ind w:left="2400" w:leftChars="1000"/>
        <w:rPr>
          <w:b/>
          <w:bCs/>
          <w:sz w:val="32"/>
          <w:szCs w:val="32"/>
        </w:rPr>
      </w:pPr>
      <w:r>
        <w:rPr>
          <w:rFonts w:hint="eastAsia"/>
          <w:b/>
          <w:bCs/>
          <w:sz w:val="32"/>
          <w:szCs w:val="32"/>
        </w:rPr>
        <w:t>磋商日期：</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pPr>
        <w:pStyle w:val="43"/>
      </w:pPr>
      <w:bookmarkStart w:id="236" w:name="_Toc5306"/>
      <w:bookmarkStart w:id="237" w:name="_Toc11556"/>
      <w:bookmarkStart w:id="238" w:name="_Toc31011"/>
      <w:bookmarkStart w:id="239" w:name="_Toc5565"/>
      <w:r>
        <w:rPr>
          <w:rFonts w:hint="eastAsia"/>
        </w:rPr>
        <w:br w:type="page"/>
      </w:r>
    </w:p>
    <w:bookmarkEnd w:id="236"/>
    <w:bookmarkEnd w:id="237"/>
    <w:bookmarkEnd w:id="238"/>
    <w:bookmarkEnd w:id="239"/>
    <w:p>
      <w:pPr>
        <w:pStyle w:val="43"/>
      </w:pPr>
      <w:bookmarkStart w:id="240" w:name="_Toc15611"/>
    </w:p>
    <w:p>
      <w:pPr>
        <w:pStyle w:val="43"/>
      </w:pPr>
    </w:p>
    <w:p>
      <w:pPr>
        <w:pStyle w:val="43"/>
      </w:pPr>
    </w:p>
    <w:p>
      <w:pPr>
        <w:pStyle w:val="43"/>
      </w:pPr>
    </w:p>
    <w:p>
      <w:pPr>
        <w:pStyle w:val="43"/>
      </w:pPr>
    </w:p>
    <w:p>
      <w:pPr>
        <w:pStyle w:val="43"/>
      </w:pPr>
    </w:p>
    <w:p>
      <w:pPr>
        <w:pStyle w:val="43"/>
      </w:pPr>
    </w:p>
    <w:p>
      <w:pPr>
        <w:pStyle w:val="43"/>
      </w:pPr>
      <w:bookmarkStart w:id="241" w:name="_Toc24630"/>
    </w:p>
    <w:p>
      <w:pPr>
        <w:pStyle w:val="43"/>
      </w:pPr>
    </w:p>
    <w:p>
      <w:pPr>
        <w:pStyle w:val="43"/>
      </w:pPr>
    </w:p>
    <w:p>
      <w:pPr>
        <w:pStyle w:val="43"/>
      </w:pPr>
    </w:p>
    <w:p>
      <w:pPr>
        <w:pStyle w:val="43"/>
      </w:pPr>
    </w:p>
    <w:p>
      <w:pPr>
        <w:pStyle w:val="35"/>
        <w:numPr>
          <w:ilvl w:val="1"/>
          <w:numId w:val="0"/>
        </w:numPr>
        <w:spacing w:before="480" w:beforeLines="200"/>
        <w:jc w:val="center"/>
        <w:rPr>
          <w:sz w:val="32"/>
          <w:szCs w:val="32"/>
        </w:rPr>
      </w:pPr>
      <w:bookmarkStart w:id="242" w:name="_Toc3048"/>
      <w:bookmarkStart w:id="243" w:name="_Toc24442"/>
      <w:r>
        <w:rPr>
          <w:rFonts w:hint="eastAsia"/>
          <w:sz w:val="32"/>
          <w:szCs w:val="32"/>
        </w:rPr>
        <w:t>第一部分 资格、资质性及其他类似效力响应文件(格式)</w:t>
      </w:r>
      <w:bookmarkEnd w:id="240"/>
      <w:bookmarkEnd w:id="241"/>
      <w:bookmarkEnd w:id="242"/>
      <w:bookmarkEnd w:id="243"/>
      <w:bookmarkStart w:id="244" w:name="_Toc16168"/>
      <w:bookmarkStart w:id="245" w:name="_Toc23537"/>
    </w:p>
    <w:p>
      <w:pPr>
        <w:pStyle w:val="43"/>
      </w:pPr>
      <w:r>
        <w:rPr>
          <w:rFonts w:hint="eastAsia"/>
        </w:rPr>
        <w:br w:type="page"/>
      </w:r>
      <w:bookmarkEnd w:id="244"/>
      <w:bookmarkEnd w:id="245"/>
      <w:bookmarkStart w:id="246" w:name="_Toc4996"/>
      <w:bookmarkStart w:id="247" w:name="_Toc26837"/>
    </w:p>
    <w:p>
      <w:pPr>
        <w:pStyle w:val="44"/>
        <w:numPr>
          <w:ilvl w:val="0"/>
          <w:numId w:val="14"/>
        </w:numPr>
        <w:spacing w:before="120" w:after="120"/>
        <w:ind w:firstLine="0"/>
      </w:pPr>
      <w:bookmarkStart w:id="248" w:name="_Toc13830"/>
      <w:bookmarkStart w:id="249" w:name="_Toc14778"/>
      <w:r>
        <w:rPr>
          <w:rFonts w:hint="eastAsia"/>
        </w:rPr>
        <w:t>法定代表人/单位负责人授权书</w:t>
      </w:r>
      <w:bookmarkEnd w:id="246"/>
      <w:bookmarkEnd w:id="247"/>
      <w:bookmarkEnd w:id="248"/>
      <w:bookmarkEnd w:id="249"/>
    </w:p>
    <w:p>
      <w:pPr>
        <w:pStyle w:val="43"/>
      </w:pPr>
      <w:r>
        <w:rPr>
          <w:rFonts w:hint="eastAsia" w:asciiTheme="minorEastAsia" w:hAnsiTheme="minorEastAsia" w:eastAsiaTheme="minorEastAsia" w:cstheme="minorEastAsia"/>
          <w:u w:val="single"/>
        </w:rPr>
        <w:t xml:space="preserve">                     </w:t>
      </w:r>
      <w:r>
        <w:rPr>
          <w:rFonts w:hint="eastAsia"/>
        </w:rPr>
        <w:t>(采购代理机构名称)：</w:t>
      </w:r>
    </w:p>
    <w:p>
      <w:pPr>
        <w:pStyle w:val="46"/>
      </w:pPr>
      <w:r>
        <w:rPr>
          <w:rFonts w:hint="eastAsia"/>
        </w:rPr>
        <w:t>本授权声明：</w:t>
      </w:r>
      <w:r>
        <w:rPr>
          <w:rFonts w:hint="eastAsia" w:asciiTheme="minorEastAsia" w:hAnsiTheme="minorEastAsia" w:eastAsiaTheme="minorEastAsia" w:cstheme="minorEastAsia"/>
          <w:u w:val="single"/>
        </w:rPr>
        <w:t xml:space="preserve">                     </w:t>
      </w:r>
      <w:r>
        <w:rPr>
          <w:rFonts w:hint="eastAsia"/>
        </w:rPr>
        <w:t>(供应商名称)</w:t>
      </w:r>
      <w:r>
        <w:rPr>
          <w:rFonts w:hint="eastAsia" w:asciiTheme="minorEastAsia" w:hAnsiTheme="minorEastAsia" w:eastAsiaTheme="minorEastAsia" w:cstheme="minorEastAsia"/>
          <w:u w:val="single"/>
        </w:rPr>
        <w:t xml:space="preserve">          </w:t>
      </w:r>
      <w:r>
        <w:rPr>
          <w:rFonts w:hint="eastAsia"/>
        </w:rPr>
        <w:t>(法定代表人/单位负责人姓名、职务)授权</w:t>
      </w:r>
      <w:r>
        <w:rPr>
          <w:rFonts w:hint="eastAsia" w:asciiTheme="minorEastAsia" w:hAnsiTheme="minorEastAsia" w:eastAsiaTheme="minorEastAsia" w:cstheme="minorEastAsia"/>
          <w:u w:val="single"/>
        </w:rPr>
        <w:t xml:space="preserve">                        </w:t>
      </w:r>
      <w:r>
        <w:rPr>
          <w:rFonts w:hint="eastAsia"/>
        </w:rPr>
        <w:t>(被授权人姓名、职务、身份证号码)为我方参加“</w:t>
      </w:r>
      <w:r>
        <w:rPr>
          <w:rFonts w:hint="eastAsia" w:asciiTheme="minorEastAsia" w:hAnsiTheme="minorEastAsia" w:eastAsiaTheme="minorEastAsia" w:cstheme="minorEastAsia"/>
          <w:u w:val="single"/>
        </w:rPr>
        <w:t xml:space="preserve">                     </w:t>
      </w:r>
      <w:r>
        <w:rPr>
          <w:rFonts w:hint="eastAsia"/>
        </w:rPr>
        <w:t>(项目名称)(项目编号：</w:t>
      </w:r>
      <w:r>
        <w:rPr>
          <w:rFonts w:hint="eastAsia" w:asciiTheme="minorEastAsia" w:hAnsiTheme="minorEastAsia" w:eastAsiaTheme="minorEastAsia" w:cstheme="minorEastAsia"/>
          <w:u w:val="single"/>
        </w:rPr>
        <w:t xml:space="preserve">           </w:t>
      </w:r>
      <w:r>
        <w:rPr>
          <w:rFonts w:hint="eastAsia"/>
        </w:rPr>
        <w:t>)”采购活动的合法代表，以我方名义全权处理参与该项目采购活动、合同签订以及合同履约中的一切事宜，我单位均予承认，所产生的法律后果均由我单位承担。</w:t>
      </w:r>
    </w:p>
    <w:p>
      <w:pPr>
        <w:pStyle w:val="46"/>
      </w:pPr>
      <w:r>
        <w:rPr>
          <w:rFonts w:hint="eastAsia"/>
        </w:rPr>
        <w:t>特此声明。</w:t>
      </w:r>
    </w:p>
    <w:p>
      <w:pPr>
        <w:pStyle w:val="43"/>
      </w:pPr>
    </w:p>
    <w:p>
      <w:pPr>
        <w:pStyle w:val="43"/>
      </w:pPr>
    </w:p>
    <w:p>
      <w:pPr>
        <w:pStyle w:val="43"/>
      </w:pPr>
    </w:p>
    <w:p>
      <w:pPr>
        <w:pStyle w:val="43"/>
      </w:pPr>
    </w:p>
    <w:p>
      <w:pPr>
        <w:pStyle w:val="43"/>
      </w:pPr>
    </w:p>
    <w:p>
      <w:pPr>
        <w:pStyle w:val="43"/>
      </w:pPr>
    </w:p>
    <w:p>
      <w:pPr>
        <w:pStyle w:val="43"/>
      </w:pPr>
    </w:p>
    <w:p>
      <w:pPr>
        <w:pStyle w:val="46"/>
      </w:pPr>
      <w:r>
        <w:rPr>
          <w:rFonts w:hint="eastAsia"/>
        </w:rPr>
        <w:t>法定代表人/单位负责人：</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授权代表：</w:t>
      </w:r>
      <w:r>
        <w:rPr>
          <w:rFonts w:hint="eastAsia" w:asciiTheme="minorEastAsia" w:hAnsiTheme="minorEastAsia" w:eastAsiaTheme="minorEastAsia" w:cstheme="minorEastAsia"/>
          <w:u w:val="single"/>
        </w:rPr>
        <w:t xml:space="preserve">             </w:t>
      </w:r>
      <w:r>
        <w:rPr>
          <w:rFonts w:hint="eastAsia"/>
        </w:rPr>
        <w:t>(签字或盖章)</w:t>
      </w:r>
    </w:p>
    <w:p>
      <w:pPr>
        <w:pStyle w:val="46"/>
      </w:pPr>
      <w:r>
        <w:rPr>
          <w:rFonts w:hint="eastAsia"/>
        </w:rPr>
        <w:t>供应商名称：</w:t>
      </w:r>
      <w:r>
        <w:rPr>
          <w:rFonts w:hint="eastAsia" w:asciiTheme="minorEastAsia" w:hAnsiTheme="minorEastAsia" w:eastAsiaTheme="minorEastAsia" w:cstheme="minorEastAsia"/>
          <w:u w:val="single"/>
        </w:rPr>
        <w:t xml:space="preserve">             </w:t>
      </w:r>
      <w:r>
        <w:rPr>
          <w:rFonts w:hint="eastAsia"/>
        </w:rPr>
        <w:t>(盖章)</w:t>
      </w:r>
    </w:p>
    <w:p>
      <w:pPr>
        <w:pStyle w:val="46"/>
      </w:pPr>
      <w:r>
        <w:rPr>
          <w:rFonts w:hint="eastAsia"/>
        </w:rPr>
        <w:t>磋商日期：</w:t>
      </w:r>
      <w:r>
        <w:rPr>
          <w:rFonts w:hint="eastAsia" w:asciiTheme="minorEastAsia" w:hAnsiTheme="minorEastAsia" w:eastAsiaTheme="minorEastAsia" w:cstheme="minorEastAsia"/>
          <w:u w:val="single"/>
        </w:rPr>
        <w:t xml:space="preserve">             </w:t>
      </w:r>
      <w:r>
        <w:rPr>
          <w:rFonts w:hint="eastAsia"/>
        </w:rPr>
        <w:t xml:space="preserve">     </w:t>
      </w:r>
    </w:p>
    <w:p>
      <w:pPr>
        <w:pStyle w:val="43"/>
      </w:pPr>
    </w:p>
    <w:p>
      <w:pPr>
        <w:pStyle w:val="47"/>
        <w:ind w:firstLine="482"/>
      </w:pPr>
      <w:r>
        <w:rPr>
          <w:rFonts w:hint="eastAsia"/>
        </w:rPr>
        <w:t>注：1.法定代表人/单位负责人不亲自参加磋商，而授权代表参加磋商的适用。</w:t>
      </w:r>
    </w:p>
    <w:p>
      <w:pPr>
        <w:pStyle w:val="47"/>
        <w:ind w:firstLine="482"/>
      </w:pPr>
      <w:r>
        <w:rPr>
          <w:rFonts w:hint="eastAsia"/>
        </w:rPr>
        <w:t>2.</w:t>
      </w:r>
      <w:r>
        <w:t>供应商为法人单位时提供“法定代表人授权书”，供应商为其他组织时提供“单位负责人授权书”，供应商为自然人时提供“自然人身份证明材料”。</w:t>
      </w:r>
    </w:p>
    <w:p>
      <w:pPr>
        <w:pStyle w:val="47"/>
        <w:ind w:firstLine="482"/>
      </w:pPr>
      <w:r>
        <w:rPr>
          <w:rFonts w:hint="eastAsia"/>
        </w:rPr>
        <w:t>3.</w:t>
      </w:r>
      <w:r>
        <w:t>应附法定代表人/单位负责人身份证明材料复印件和授权代表身份证明材料复印件。</w:t>
      </w:r>
    </w:p>
    <w:p>
      <w:pPr>
        <w:pStyle w:val="47"/>
        <w:ind w:firstLine="482"/>
      </w:pPr>
      <w:r>
        <w:rPr>
          <w:rFonts w:hint="eastAsia"/>
        </w:rPr>
        <w:t>4.</w:t>
      </w:r>
      <w:r>
        <w:t>身份证明材料包括居民身份证或户口本或军官证或护照等。</w:t>
      </w:r>
    </w:p>
    <w:p>
      <w:pPr>
        <w:pStyle w:val="47"/>
        <w:ind w:firstLine="482"/>
      </w:pPr>
      <w:r>
        <w:rPr>
          <w:rFonts w:hint="eastAsia"/>
        </w:rPr>
        <w:t>5.</w:t>
      </w:r>
      <w:r>
        <w:t>身份证明材料应同时提供其在有效期的材料，如居民身份证正、反面复印件</w:t>
      </w:r>
      <w:r>
        <w:rPr>
          <w:rFonts w:hint="eastAsia"/>
        </w:rPr>
        <w:t>。</w:t>
      </w:r>
    </w:p>
    <w:p>
      <w:pPr>
        <w:pStyle w:val="43"/>
      </w:pPr>
      <w:r>
        <w:rPr>
          <w:rFonts w:hint="eastAsia"/>
        </w:rPr>
        <w:br w:type="page"/>
      </w:r>
    </w:p>
    <w:p>
      <w:pPr>
        <w:pStyle w:val="44"/>
        <w:numPr>
          <w:ilvl w:val="0"/>
          <w:numId w:val="15"/>
        </w:numPr>
        <w:spacing w:before="120" w:after="120"/>
        <w:ind w:firstLine="0"/>
      </w:pPr>
      <w:bookmarkStart w:id="250" w:name="_Toc1737"/>
      <w:bookmarkStart w:id="251" w:name="_Toc9243"/>
      <w:bookmarkStart w:id="252" w:name="_Toc22140"/>
      <w:bookmarkStart w:id="253" w:name="_Toc5501"/>
      <w:bookmarkStart w:id="254" w:name="_Toc9688"/>
      <w:bookmarkStart w:id="255" w:name="_Toc22355"/>
      <w:r>
        <w:rPr>
          <w:rFonts w:hint="eastAsia"/>
        </w:rPr>
        <w:t>法定代表人/单位负责人证明书</w:t>
      </w:r>
      <w:bookmarkEnd w:id="250"/>
      <w:bookmarkEnd w:id="251"/>
      <w:bookmarkEnd w:id="252"/>
      <w:bookmarkEnd w:id="253"/>
      <w:bookmarkEnd w:id="254"/>
      <w:bookmarkEnd w:id="255"/>
    </w:p>
    <w:p>
      <w:pPr>
        <w:pStyle w:val="46"/>
      </w:pPr>
      <w:r>
        <w:rPr>
          <w:rFonts w:hint="eastAsia"/>
        </w:rPr>
        <w:t>单位名称：</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地    址：</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u w:val="single"/>
        </w:rPr>
        <w:t xml:space="preserve">            </w:t>
      </w:r>
      <w:r>
        <w:rPr>
          <w:rFonts w:hint="eastAsia"/>
        </w:rPr>
        <w:t xml:space="preserve">            </w:t>
      </w:r>
    </w:p>
    <w:p>
      <w:pPr>
        <w:pStyle w:val="46"/>
      </w:pPr>
      <w:r>
        <w:rPr>
          <w:rFonts w:hint="eastAsia"/>
        </w:rPr>
        <w:t>本人系</w:t>
      </w:r>
      <w:r>
        <w:rPr>
          <w:rFonts w:hint="eastAsia"/>
          <w:u w:val="single"/>
        </w:rPr>
        <w:t xml:space="preserve">                           </w:t>
      </w:r>
      <w:r>
        <w:rPr>
          <w:rFonts w:hint="eastAsia"/>
        </w:rPr>
        <w:t>(供应商名称)的法定代表人/单位负责人。就参加你单位组织的“</w:t>
      </w:r>
      <w:r>
        <w:rPr>
          <w:rFonts w:hint="eastAsia"/>
          <w:u w:val="single"/>
        </w:rPr>
        <w:t xml:space="preserve">             </w:t>
      </w:r>
      <w:r>
        <w:rPr>
          <w:rFonts w:hint="eastAsia"/>
        </w:rPr>
        <w:t>(项目名称)(项目编号：</w:t>
      </w:r>
      <w:r>
        <w:rPr>
          <w:rFonts w:hint="eastAsia"/>
          <w:u w:val="single"/>
        </w:rPr>
        <w:t xml:space="preserve">         </w:t>
      </w:r>
      <w:r>
        <w:rPr>
          <w:rFonts w:hint="eastAsia"/>
        </w:rPr>
        <w:t>)”的采购活动、合同签订以及合同履约等一切事宜，我单位均予承认，所产生的法律后果均由我单位承担。</w:t>
      </w:r>
    </w:p>
    <w:p>
      <w:pPr>
        <w:pStyle w:val="46"/>
      </w:pPr>
      <w:r>
        <w:rPr>
          <w:rFonts w:hint="eastAsia"/>
        </w:rPr>
        <w:t>特此证明。</w:t>
      </w:r>
    </w:p>
    <w:p>
      <w:pPr>
        <w:pStyle w:val="43"/>
      </w:pPr>
    </w:p>
    <w:p>
      <w:pPr>
        <w:pStyle w:val="43"/>
      </w:pPr>
    </w:p>
    <w:p>
      <w:pPr>
        <w:pStyle w:val="43"/>
      </w:pPr>
    </w:p>
    <w:p>
      <w:pPr>
        <w:pStyle w:val="43"/>
      </w:pPr>
    </w:p>
    <w:p>
      <w:pPr>
        <w:pStyle w:val="43"/>
      </w:pPr>
    </w:p>
    <w:p>
      <w:pPr>
        <w:pStyle w:val="46"/>
      </w:pPr>
      <w:r>
        <w:rPr>
          <w:rFonts w:hint="eastAsia"/>
        </w:rPr>
        <w:t>供应商名称：</w:t>
      </w:r>
      <w:r>
        <w:rPr>
          <w:rFonts w:hint="eastAsia"/>
          <w:u w:val="single"/>
        </w:rPr>
        <w:t xml:space="preserve">             </w:t>
      </w:r>
      <w:r>
        <w:rPr>
          <w:rFonts w:hint="eastAsia"/>
        </w:rPr>
        <w:t xml:space="preserve">(盖章) </w:t>
      </w:r>
    </w:p>
    <w:p>
      <w:pPr>
        <w:pStyle w:val="46"/>
      </w:pPr>
      <w:r>
        <w:rPr>
          <w:rFonts w:hint="eastAsia"/>
        </w:rPr>
        <w:t>法定代表人/单位负责人：</w:t>
      </w:r>
      <w:r>
        <w:rPr>
          <w:rFonts w:hint="eastAsia"/>
          <w:u w:val="single"/>
        </w:rPr>
        <w:t xml:space="preserve">               </w:t>
      </w:r>
      <w:r>
        <w:rPr>
          <w:rFonts w:hint="eastAsia"/>
        </w:rPr>
        <w:t>(签字或盖章)</w:t>
      </w:r>
    </w:p>
    <w:p>
      <w:pPr>
        <w:pStyle w:val="46"/>
        <w:rPr>
          <w:u w:val="single"/>
        </w:rPr>
      </w:pPr>
      <w:r>
        <w:rPr>
          <w:rFonts w:hint="eastAsia"/>
        </w:rPr>
        <w:t>磋商日期：</w:t>
      </w:r>
      <w:r>
        <w:rPr>
          <w:rFonts w:hint="eastAsia"/>
          <w:u w:val="single"/>
        </w:rPr>
        <w:t xml:space="preserve">             </w:t>
      </w:r>
    </w:p>
    <w:p>
      <w:pPr>
        <w:pStyle w:val="46"/>
      </w:pPr>
    </w:p>
    <w:p>
      <w:pPr>
        <w:pStyle w:val="47"/>
        <w:ind w:firstLine="482"/>
      </w:pPr>
      <w:r>
        <w:rPr>
          <w:rFonts w:hint="eastAsia"/>
        </w:rPr>
        <w:t>注：1.法定代表人</w:t>
      </w:r>
      <w:r>
        <w:t>/单位负责人</w:t>
      </w:r>
      <w:r>
        <w:rPr>
          <w:rFonts w:hint="eastAsia"/>
        </w:rPr>
        <w:t>亲自参加磋商时适用本证明书。</w:t>
      </w:r>
    </w:p>
    <w:p>
      <w:pPr>
        <w:pStyle w:val="47"/>
        <w:ind w:firstLine="482"/>
      </w:pPr>
      <w:r>
        <w:rPr>
          <w:rFonts w:hint="eastAsia"/>
        </w:rPr>
        <w:t>2.</w:t>
      </w:r>
      <w:r>
        <w:t>应附法定代表人/单位负责人身份证明材料复印件。</w:t>
      </w:r>
    </w:p>
    <w:p>
      <w:pPr>
        <w:pStyle w:val="47"/>
        <w:ind w:firstLine="482"/>
      </w:pPr>
      <w:r>
        <w:rPr>
          <w:rFonts w:hint="eastAsia"/>
        </w:rPr>
        <w:t>3.</w:t>
      </w:r>
      <w:r>
        <w:t>身份证明材料包括居民身份证或户口本或军官证或护照等。</w:t>
      </w:r>
    </w:p>
    <w:p>
      <w:pPr>
        <w:pStyle w:val="47"/>
        <w:ind w:firstLine="482"/>
      </w:pPr>
      <w:r>
        <w:rPr>
          <w:rFonts w:hint="eastAsia"/>
        </w:rPr>
        <w:t>4.</w:t>
      </w:r>
      <w:r>
        <w:t>身份证明材料应同时提供其在有效期的材料，如居民身份证正、反面复印件</w:t>
      </w:r>
      <w:r>
        <w:rPr>
          <w:rFonts w:hint="eastAsia"/>
        </w:rPr>
        <w:t>。</w:t>
      </w:r>
    </w:p>
    <w:p>
      <w:pPr>
        <w:pStyle w:val="44"/>
        <w:numPr>
          <w:ilvl w:val="0"/>
          <w:numId w:val="15"/>
        </w:numPr>
        <w:spacing w:before="120" w:after="120"/>
        <w:ind w:firstLine="0"/>
      </w:pPr>
      <w:bookmarkStart w:id="256" w:name="_Toc27626"/>
      <w:bookmarkStart w:id="257" w:name="_Toc29983"/>
      <w:bookmarkStart w:id="258" w:name="_Toc28837"/>
      <w:bookmarkStart w:id="259" w:name="_Toc22152"/>
      <w:bookmarkStart w:id="260" w:name="_Toc28397"/>
      <w:bookmarkStart w:id="261" w:name="_Toc3822"/>
      <w:r>
        <w:rPr>
          <w:rFonts w:hint="eastAsia"/>
        </w:rPr>
        <w:t>供应商具有独立承担民事责任的能力的证明材料</w:t>
      </w:r>
      <w:bookmarkEnd w:id="256"/>
      <w:bookmarkEnd w:id="257"/>
      <w:bookmarkEnd w:id="258"/>
      <w:bookmarkEnd w:id="259"/>
    </w:p>
    <w:bookmarkEnd w:id="260"/>
    <w:p>
      <w:pPr>
        <w:pStyle w:val="46"/>
      </w:pPr>
      <w:r>
        <w:rPr>
          <w:rFonts w:hint="eastAsia"/>
        </w:rPr>
        <w:t>供应商：①若为</w:t>
      </w:r>
      <w:r>
        <w:rPr>
          <w:rFonts w:hint="eastAsia"/>
          <w:b/>
          <w:bCs/>
        </w:rPr>
        <w:t>企业法人</w:t>
      </w:r>
      <w:r>
        <w:rPr>
          <w:rFonts w:hint="eastAsia"/>
        </w:rPr>
        <w:t>：提供“营业执照”副本复印件；未换证的提供“营业执照副本、税务登记证副本、组织机构代码证副本”复印件；②若为</w:t>
      </w:r>
      <w:r>
        <w:rPr>
          <w:rFonts w:hint="eastAsia"/>
          <w:b/>
          <w:bCs/>
        </w:rPr>
        <w:t>事业法人</w:t>
      </w:r>
      <w:r>
        <w:rPr>
          <w:rFonts w:hint="eastAsia"/>
        </w:rPr>
        <w:t>：提供“统一社会信用代码法人登记证书”复印件；未换证的提交“事业法人登记证书、组织机构代码证”复印件；③若为</w:t>
      </w:r>
      <w:r>
        <w:rPr>
          <w:rFonts w:hint="eastAsia"/>
          <w:b/>
          <w:bCs/>
        </w:rPr>
        <w:t>其他组织</w:t>
      </w:r>
      <w:r>
        <w:rPr>
          <w:rFonts w:hint="eastAsia"/>
        </w:rPr>
        <w:t>：提供“对应主管部门颁发的准许执业证明文件或营业执照副本”复印件；④若为</w:t>
      </w:r>
      <w:r>
        <w:rPr>
          <w:rFonts w:hint="eastAsia"/>
          <w:b/>
          <w:bCs/>
        </w:rPr>
        <w:t>自然人</w:t>
      </w:r>
      <w:r>
        <w:rPr>
          <w:rFonts w:hint="eastAsia"/>
        </w:rPr>
        <w:t>：提供“身份证明材料”。</w:t>
      </w:r>
    </w:p>
    <w:p>
      <w:pPr>
        <w:pStyle w:val="47"/>
        <w:ind w:firstLine="482"/>
      </w:pPr>
      <w:r>
        <w:rPr>
          <w:rFonts w:hint="eastAsia"/>
        </w:rPr>
        <w:t>注：1.以上证明材料应满足此条要求①发证机关有年检要求的，应按规定通过年检；②在有效期内；③复印件加盖供应商公章；</w:t>
      </w:r>
    </w:p>
    <w:p>
      <w:pPr>
        <w:pStyle w:val="47"/>
        <w:ind w:firstLine="482"/>
      </w:pPr>
      <w:r>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ind w:firstLine="482"/>
      </w:pPr>
      <w:r>
        <w:rPr>
          <w:rFonts w:hint="eastAsia"/>
        </w:rPr>
        <w:t>3.</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w:t>
      </w:r>
      <w:r>
        <w:rPr>
          <w:rFonts w:hint="eastAsia"/>
        </w:rPr>
        <w:t>的，提供多证合一证照副本复印件</w:t>
      </w:r>
      <w:r>
        <w:t>。</w:t>
      </w:r>
      <w:bookmarkEnd w:id="261"/>
    </w:p>
    <w:p>
      <w:pPr>
        <w:pStyle w:val="43"/>
      </w:pPr>
    </w:p>
    <w:p>
      <w:pPr>
        <w:pStyle w:val="44"/>
        <w:numPr>
          <w:ilvl w:val="0"/>
          <w:numId w:val="15"/>
        </w:numPr>
        <w:spacing w:before="120" w:after="120"/>
        <w:ind w:firstLine="0"/>
      </w:pPr>
      <w:bookmarkStart w:id="262" w:name="_Toc24173"/>
      <w:bookmarkStart w:id="263" w:name="_Toc28024"/>
      <w:bookmarkStart w:id="264" w:name="_Toc20143"/>
      <w:bookmarkStart w:id="265" w:name="_Toc29937"/>
      <w:bookmarkStart w:id="266" w:name="_Toc14566"/>
      <w:r>
        <w:rPr>
          <w:rFonts w:hint="eastAsia"/>
        </w:rPr>
        <w:t>供应商具有良好的商业信誉和健全的财务会计制度的证明材料</w:t>
      </w:r>
      <w:bookmarkEnd w:id="262"/>
      <w:bookmarkEnd w:id="263"/>
      <w:bookmarkEnd w:id="264"/>
      <w:bookmarkEnd w:id="265"/>
    </w:p>
    <w:bookmarkEnd w:id="266"/>
    <w:p>
      <w:pPr>
        <w:pStyle w:val="46"/>
      </w:pPr>
      <w:r>
        <w:rPr>
          <w:rFonts w:hint="eastAsia"/>
        </w:rPr>
        <w:t>1.供应商具有良好商业信誉的证明材料；</w:t>
      </w:r>
    </w:p>
    <w:p>
      <w:pPr>
        <w:pStyle w:val="46"/>
      </w:pPr>
      <w:r>
        <w:rPr>
          <w:rFonts w:hint="eastAsia"/>
        </w:rPr>
        <w:t>提供具有良好的商业信誉的承诺函。</w:t>
      </w:r>
    </w:p>
    <w:p>
      <w:pPr>
        <w:pStyle w:val="46"/>
        <w:ind w:firstLine="482"/>
        <w:rPr>
          <w:b/>
          <w:bCs/>
        </w:rPr>
      </w:pPr>
      <w:r>
        <w:rPr>
          <w:rFonts w:hint="eastAsia"/>
          <w:b/>
          <w:bCs/>
        </w:rPr>
        <w:t>注：</w:t>
      </w:r>
      <w:r>
        <w:rPr>
          <w:rFonts w:hint="eastAsia" w:cs="宋体" w:asciiTheme="minorEastAsia" w:hAnsiTheme="minorEastAsia" w:eastAsiaTheme="minorEastAsia"/>
          <w:b/>
          <w:bCs/>
        </w:rPr>
        <w:t>承诺函</w:t>
      </w:r>
      <w:r>
        <w:rPr>
          <w:rFonts w:hint="eastAsia"/>
          <w:b/>
        </w:rPr>
        <w:t>格式自拟，或参照《承诺及声明函》的格式提供</w:t>
      </w:r>
      <w:r>
        <w:rPr>
          <w:rFonts w:hint="eastAsia"/>
          <w:b/>
          <w:bCs/>
        </w:rPr>
        <w:t>。</w:t>
      </w:r>
    </w:p>
    <w:p>
      <w:pPr>
        <w:pStyle w:val="46"/>
      </w:pPr>
      <w:r>
        <w:rPr>
          <w:rFonts w:hint="eastAsia"/>
        </w:rPr>
        <w:t>2.供应商具有健全的财务会计制度的证明材料；</w:t>
      </w:r>
    </w:p>
    <w:p>
      <w:pPr>
        <w:pStyle w:val="46"/>
      </w:pPr>
      <w:r>
        <w:rPr>
          <w:rFonts w:hint="eastAsia"/>
        </w:rPr>
        <w:t>(1)供应商提供2022年度经过会计师事务所审计的财务报告复印件(经审计的有效财务报告应包括报告及报告中所附的完整内容，并由注册会计师签名、盖章以及会计师事务所盖章)；</w:t>
      </w:r>
    </w:p>
    <w:p>
      <w:pPr>
        <w:pStyle w:val="46"/>
      </w:pPr>
      <w:r>
        <w:rPr>
          <w:rFonts w:hint="eastAsia"/>
        </w:rPr>
        <w:t>(2)供应商提供2022年度供应商内部的财务报表复印件(至少包含资产负债表)；</w:t>
      </w:r>
    </w:p>
    <w:p>
      <w:pPr>
        <w:pStyle w:val="46"/>
      </w:pPr>
      <w:r>
        <w:rPr>
          <w:rFonts w:hint="eastAsia"/>
        </w:rPr>
        <w:t>(3)供应商提供响应文件递交截止日前一年内银行为其出具的资信证明复印件；</w:t>
      </w:r>
    </w:p>
    <w:p>
      <w:pPr>
        <w:pStyle w:val="46"/>
      </w:pPr>
      <w:r>
        <w:rPr>
          <w:rFonts w:hint="eastAsia"/>
        </w:rPr>
        <w:t>(4)供应商注册时间截至响应文件递交截止日不足一年的，可提供公司章程复印件；</w:t>
      </w:r>
    </w:p>
    <w:p>
      <w:pPr>
        <w:pStyle w:val="46"/>
      </w:pPr>
      <w:r>
        <w:rPr>
          <w:rFonts w:hint="eastAsia"/>
        </w:rPr>
        <w:t>(5)供应商提供具有健全的财务会计制度的承诺函。</w:t>
      </w:r>
    </w:p>
    <w:p>
      <w:pPr>
        <w:pStyle w:val="47"/>
        <w:ind w:firstLine="482"/>
      </w:pPr>
      <w:r>
        <w:rPr>
          <w:rFonts w:hint="eastAsia"/>
          <w:bCs/>
        </w:rPr>
        <w:t>注：①具有健全的财务会计制度的证明材料中第(1)-(5)项具有同等的磋商效力，供应商可根据自身实际情况选择提供其中任意一项。②</w:t>
      </w:r>
      <w:r>
        <w:rPr>
          <w:rFonts w:hint="eastAsia" w:cs="宋体" w:asciiTheme="minorEastAsia" w:hAnsiTheme="minorEastAsia" w:eastAsiaTheme="minorEastAsia"/>
          <w:bCs/>
        </w:rPr>
        <w:t>承诺函</w:t>
      </w:r>
      <w:r>
        <w:rPr>
          <w:rFonts w:hint="eastAsia"/>
        </w:rPr>
        <w:t>格式自拟，或参照《承诺及声明函》的格式提供。</w:t>
      </w:r>
    </w:p>
    <w:p>
      <w:pPr>
        <w:pStyle w:val="47"/>
        <w:ind w:firstLine="482"/>
      </w:pPr>
    </w:p>
    <w:p>
      <w:pPr>
        <w:pStyle w:val="44"/>
        <w:numPr>
          <w:ilvl w:val="0"/>
          <w:numId w:val="15"/>
        </w:numPr>
        <w:spacing w:before="120" w:after="120"/>
        <w:ind w:firstLine="0"/>
      </w:pPr>
      <w:bookmarkStart w:id="267" w:name="_Toc17154"/>
      <w:bookmarkStart w:id="268" w:name="_Toc19866"/>
      <w:bookmarkStart w:id="269" w:name="_Toc17744"/>
      <w:bookmarkStart w:id="270" w:name="_Toc19126"/>
      <w:bookmarkStart w:id="271" w:name="_Toc5443"/>
      <w:r>
        <w:rPr>
          <w:rFonts w:hint="eastAsia"/>
        </w:rPr>
        <w:t>供应商有依法缴纳税收和社会保障资金的良好记录的证明材料</w:t>
      </w:r>
      <w:bookmarkEnd w:id="267"/>
      <w:bookmarkEnd w:id="268"/>
      <w:bookmarkEnd w:id="269"/>
      <w:bookmarkEnd w:id="270"/>
    </w:p>
    <w:bookmarkEnd w:id="271"/>
    <w:p>
      <w:pPr>
        <w:pStyle w:val="46"/>
      </w:pPr>
      <w:r>
        <w:rPr>
          <w:rFonts w:hint="eastAsia"/>
        </w:rPr>
        <w:t>提供有</w:t>
      </w:r>
      <w:r>
        <w:rPr>
          <w:rFonts w:hint="eastAsia"/>
          <w:lang w:val="zh-CN"/>
        </w:rPr>
        <w:t>依法缴纳税收和社会保障资金的良好记录</w:t>
      </w:r>
      <w:r>
        <w:rPr>
          <w:rFonts w:hint="eastAsia"/>
        </w:rPr>
        <w:t>的承诺函。</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3"/>
      </w:pPr>
      <w:r>
        <w:rPr>
          <w:rFonts w:hint="eastAsia"/>
        </w:rPr>
        <w:br w:type="page"/>
      </w:r>
    </w:p>
    <w:p>
      <w:pPr>
        <w:pStyle w:val="44"/>
        <w:numPr>
          <w:ilvl w:val="0"/>
          <w:numId w:val="15"/>
        </w:numPr>
        <w:spacing w:before="120" w:after="120"/>
        <w:ind w:firstLine="0"/>
      </w:pPr>
      <w:bookmarkStart w:id="272" w:name="_Toc15225"/>
      <w:bookmarkStart w:id="273" w:name="_Toc6093"/>
      <w:bookmarkStart w:id="274" w:name="_Toc15870"/>
      <w:bookmarkStart w:id="275" w:name="_Toc16336"/>
      <w:r>
        <w:rPr>
          <w:rFonts w:hint="eastAsia"/>
        </w:rPr>
        <w:t>供应商具有履行合同所必需的设备和专业技术能力证明材料</w:t>
      </w:r>
      <w:bookmarkEnd w:id="272"/>
      <w:bookmarkEnd w:id="273"/>
      <w:bookmarkEnd w:id="274"/>
      <w:bookmarkEnd w:id="275"/>
    </w:p>
    <w:p>
      <w:pPr>
        <w:pStyle w:val="46"/>
      </w:pPr>
      <w:r>
        <w:rPr>
          <w:rFonts w:hint="eastAsia"/>
        </w:rPr>
        <w:t>提供具有履行合同所必需的设备和专业技术能力的承诺函。</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3"/>
      </w:pPr>
      <w:r>
        <w:rPr>
          <w:rFonts w:hint="eastAsia"/>
        </w:rPr>
        <w:br w:type="page"/>
      </w:r>
    </w:p>
    <w:p>
      <w:pPr>
        <w:pStyle w:val="44"/>
        <w:numPr>
          <w:ilvl w:val="0"/>
          <w:numId w:val="15"/>
        </w:numPr>
        <w:spacing w:before="120" w:after="120"/>
        <w:ind w:firstLine="0"/>
      </w:pPr>
      <w:bookmarkStart w:id="276" w:name="_Toc8813"/>
      <w:bookmarkStart w:id="277" w:name="_Toc21379"/>
      <w:bookmarkStart w:id="278" w:name="_Toc2147"/>
      <w:r>
        <w:rPr>
          <w:rFonts w:hint="eastAsia"/>
        </w:rPr>
        <w:t>供应商参加采购活动前三年内，在经营活动中没有重大违法记录的证明材料</w:t>
      </w:r>
      <w:bookmarkEnd w:id="276"/>
      <w:bookmarkEnd w:id="277"/>
      <w:bookmarkEnd w:id="278"/>
    </w:p>
    <w:p>
      <w:pPr>
        <w:pStyle w:val="46"/>
      </w:pPr>
      <w:bookmarkStart w:id="279" w:name="_Toc9591"/>
      <w:bookmarkStart w:id="280" w:name="_Toc14299"/>
      <w:r>
        <w:rPr>
          <w:rFonts w:hint="eastAsia"/>
        </w:rPr>
        <w:t>提供参加本次采购活动前三年内，在经营活动中没有重大违法记录的书面声明(成立不足三年的，从成立之日起计算)。</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4"/>
        <w:numPr>
          <w:ilvl w:val="0"/>
          <w:numId w:val="15"/>
        </w:numPr>
        <w:spacing w:before="120" w:after="120"/>
        <w:ind w:firstLine="0"/>
        <w:rPr>
          <w:lang w:val="zh-CN"/>
        </w:rPr>
      </w:pPr>
      <w:bookmarkStart w:id="281" w:name="_Toc17558"/>
      <w:bookmarkStart w:id="282" w:name="_Toc3840"/>
      <w:bookmarkStart w:id="283" w:name="_Toc17383"/>
      <w:bookmarkStart w:id="284" w:name="_Toc19602"/>
      <w:r>
        <w:rPr>
          <w:rFonts w:hint="eastAsia"/>
          <w:w w:val="95"/>
        </w:rPr>
        <w:t>供应商单位</w:t>
      </w:r>
      <w:r>
        <w:rPr>
          <w:rFonts w:hint="eastAsia"/>
          <w:w w:val="95"/>
          <w:lang w:val="zh-CN"/>
        </w:rPr>
        <w:t>及其现任法定代表人、主要负责人不得具有行贿犯罪记录</w:t>
      </w:r>
      <w:r>
        <w:rPr>
          <w:rFonts w:hint="eastAsia"/>
          <w:w w:val="95"/>
        </w:rPr>
        <w:t>的</w:t>
      </w:r>
      <w:bookmarkEnd w:id="281"/>
      <w:bookmarkEnd w:id="282"/>
      <w:r>
        <w:rPr>
          <w:rFonts w:hint="eastAsia"/>
          <w:w w:val="95"/>
        </w:rPr>
        <w:t>承诺函</w:t>
      </w:r>
      <w:bookmarkEnd w:id="283"/>
      <w:bookmarkEnd w:id="284"/>
    </w:p>
    <w:bookmarkEnd w:id="279"/>
    <w:bookmarkEnd w:id="280"/>
    <w:p>
      <w:pPr>
        <w:pStyle w:val="43"/>
        <w:rPr>
          <w:rFonts w:cs="宋体"/>
        </w:rPr>
      </w:pPr>
      <w:bookmarkStart w:id="285" w:name="_Toc8455"/>
      <w:r>
        <w:rPr>
          <w:rFonts w:hint="eastAsia" w:cs="宋体"/>
          <w:u w:val="single"/>
        </w:rPr>
        <w:t xml:space="preserve">                   </w:t>
      </w:r>
      <w:r>
        <w:rPr>
          <w:rFonts w:hint="eastAsia" w:cs="宋体"/>
        </w:rPr>
        <w:t>(采购代理机构名称)：</w:t>
      </w:r>
    </w:p>
    <w:p>
      <w:pPr>
        <w:pStyle w:val="43"/>
        <w:ind w:firstLine="480" w:firstLineChars="200"/>
        <w:rPr>
          <w:rFonts w:cs="宋体"/>
        </w:rPr>
      </w:pPr>
      <w:r>
        <w:rPr>
          <w:rFonts w:hint="eastAsia" w:cs="宋体"/>
        </w:rPr>
        <w:t>我单位作为本次采购项目的供应商，根据磋商文件要求，现郑重承诺如下：</w:t>
      </w:r>
    </w:p>
    <w:p>
      <w:pPr>
        <w:pStyle w:val="46"/>
        <w:rPr>
          <w:rFonts w:cs="宋体"/>
        </w:rPr>
      </w:pPr>
      <w:r>
        <w:rPr>
          <w:rFonts w:hint="eastAsia" w:cs="宋体"/>
          <w:u w:val="single"/>
        </w:rPr>
        <w:t xml:space="preserve">        </w:t>
      </w:r>
      <w:r>
        <w:rPr>
          <w:rFonts w:hint="eastAsia" w:cs="宋体"/>
        </w:rPr>
        <w:t>(供应商名称)及其现任法定代表人</w:t>
      </w:r>
      <w:r>
        <w:rPr>
          <w:rFonts w:hint="eastAsia" w:cs="宋体"/>
          <w:u w:val="single"/>
        </w:rPr>
        <w:t xml:space="preserve">      </w:t>
      </w:r>
      <w:r>
        <w:rPr>
          <w:rFonts w:hint="eastAsia" w:cs="宋体"/>
        </w:rPr>
        <w:t>(姓名)、</w:t>
      </w:r>
      <w:r>
        <w:rPr>
          <w:rFonts w:hint="eastAsia" w:cs="宋体"/>
          <w:u w:val="single"/>
        </w:rPr>
        <w:t xml:space="preserve">     </w:t>
      </w:r>
      <w:r>
        <w:rPr>
          <w:rFonts w:hint="eastAsia" w:cs="宋体"/>
        </w:rPr>
        <w:t>(身份证号码)，主要负责人</w:t>
      </w:r>
      <w:r>
        <w:rPr>
          <w:rFonts w:hint="eastAsia" w:cs="宋体"/>
          <w:u w:val="single"/>
        </w:rPr>
        <w:t xml:space="preserve">       </w:t>
      </w:r>
      <w:r>
        <w:rPr>
          <w:rFonts w:hint="eastAsia" w:cs="宋体"/>
        </w:rPr>
        <w:t>(姓名)、</w:t>
      </w:r>
      <w:r>
        <w:rPr>
          <w:rFonts w:hint="eastAsia" w:cs="宋体"/>
          <w:u w:val="single"/>
        </w:rPr>
        <w:t xml:space="preserve">     </w:t>
      </w:r>
      <w:r>
        <w:rPr>
          <w:rFonts w:hint="eastAsia" w:cs="宋体"/>
        </w:rPr>
        <w:t>(身份证号码)，</w:t>
      </w:r>
      <w:r>
        <w:rPr>
          <w:rFonts w:hint="eastAsia" w:cs="宋体"/>
          <w:u w:val="single"/>
        </w:rPr>
        <w:t xml:space="preserve">    </w:t>
      </w:r>
      <w:r>
        <w:rPr>
          <w:rFonts w:hint="eastAsia" w:cs="宋体"/>
        </w:rPr>
        <w:t>(无行贿犯罪记录的期限)均无行贿犯罪记录。</w:t>
      </w:r>
    </w:p>
    <w:p>
      <w:pPr>
        <w:pStyle w:val="46"/>
        <w:rPr>
          <w:rFonts w:cs="宋体"/>
        </w:rPr>
      </w:pPr>
      <w:r>
        <w:rPr>
          <w:rFonts w:hint="eastAsia" w:cs="宋体"/>
        </w:rPr>
        <w:t>本单位对上述承诺的内容事项真实性、合法性负责。如经查实上述承诺的内容事项存在虚假，我单位自愿接受以提供虚假材料谋取成交所带来的所有法律责任。</w:t>
      </w:r>
    </w:p>
    <w:p>
      <w:pPr>
        <w:pStyle w:val="43"/>
        <w:rPr>
          <w:rFonts w:cs="宋体"/>
        </w:rPr>
      </w:pPr>
    </w:p>
    <w:p>
      <w:pPr>
        <w:pStyle w:val="43"/>
        <w:rPr>
          <w:rFonts w:cs="宋体"/>
        </w:rPr>
      </w:pPr>
    </w:p>
    <w:p>
      <w:pPr>
        <w:pStyle w:val="46"/>
        <w:rPr>
          <w:rFonts w:cs="宋体"/>
        </w:rPr>
      </w:pPr>
      <w:r>
        <w:rPr>
          <w:rFonts w:hint="eastAsia" w:cs="宋体"/>
        </w:rPr>
        <w:t>供应商名称：</w:t>
      </w:r>
      <w:r>
        <w:rPr>
          <w:rFonts w:hint="eastAsia" w:cs="宋体"/>
          <w:u w:val="single"/>
        </w:rPr>
        <w:t xml:space="preserve">             </w:t>
      </w:r>
      <w:r>
        <w:rPr>
          <w:rFonts w:hint="eastAsia" w:cs="宋体"/>
        </w:rPr>
        <w:t>(盖章)</w:t>
      </w:r>
    </w:p>
    <w:p>
      <w:pPr>
        <w:pStyle w:val="46"/>
        <w:rPr>
          <w:rFonts w:cs="宋体"/>
        </w:rPr>
      </w:pPr>
      <w:r>
        <w:rPr>
          <w:rFonts w:hint="eastAsia" w:cs="宋体"/>
        </w:rPr>
        <w:t>法定代表人/单位负责人或授权代表：</w:t>
      </w:r>
      <w:r>
        <w:rPr>
          <w:rFonts w:hint="eastAsia" w:cs="宋体"/>
          <w:u w:val="single"/>
        </w:rPr>
        <w:t xml:space="preserve">            </w:t>
      </w:r>
      <w:r>
        <w:rPr>
          <w:rFonts w:hint="eastAsia" w:cs="宋体"/>
        </w:rPr>
        <w:t>(签字或盖章)</w:t>
      </w:r>
    </w:p>
    <w:p>
      <w:pPr>
        <w:pStyle w:val="46"/>
        <w:rPr>
          <w:rFonts w:cs="宋体"/>
        </w:rPr>
      </w:pPr>
      <w:r>
        <w:rPr>
          <w:rFonts w:hint="eastAsia" w:cs="宋体"/>
        </w:rPr>
        <w:t>磋商日期：</w:t>
      </w:r>
      <w:r>
        <w:rPr>
          <w:rFonts w:hint="eastAsia" w:cs="宋体"/>
          <w:u w:val="single"/>
        </w:rPr>
        <w:t xml:space="preserve">                </w:t>
      </w:r>
      <w:r>
        <w:rPr>
          <w:rFonts w:hint="eastAsia" w:cs="宋体"/>
        </w:rPr>
        <w:t xml:space="preserve">  </w:t>
      </w:r>
    </w:p>
    <w:p>
      <w:pPr>
        <w:pStyle w:val="63"/>
        <w:numPr>
          <w:ilvl w:val="3"/>
          <w:numId w:val="0"/>
        </w:numPr>
        <w:ind w:firstLine="482" w:firstLineChars="200"/>
        <w:jc w:val="both"/>
        <w:rPr>
          <w:b/>
          <w:bCs/>
        </w:rPr>
      </w:pPr>
    </w:p>
    <w:p>
      <w:pPr>
        <w:pStyle w:val="63"/>
        <w:numPr>
          <w:ilvl w:val="3"/>
          <w:numId w:val="0"/>
        </w:numPr>
        <w:ind w:firstLine="482" w:firstLineChars="200"/>
        <w:rPr>
          <w:b/>
          <w:bCs/>
        </w:rPr>
      </w:pPr>
      <w:r>
        <w:rPr>
          <w:rFonts w:hint="eastAsia"/>
          <w:b/>
          <w:bCs/>
        </w:rPr>
        <w:t>注：供应商成立时间超过十年的，在“</w:t>
      </w:r>
      <w:r>
        <w:rPr>
          <w:rFonts w:hint="eastAsia" w:cs="宋体"/>
          <w:b/>
          <w:bCs/>
        </w:rPr>
        <w:t>无行贿犯罪记录的期限</w:t>
      </w:r>
      <w:r>
        <w:rPr>
          <w:rFonts w:hint="eastAsia"/>
          <w:b/>
          <w:bCs/>
        </w:rPr>
        <w:t>”</w:t>
      </w:r>
      <w:r>
        <w:rPr>
          <w:rFonts w:hint="eastAsia" w:cs="宋体"/>
          <w:b/>
          <w:bCs/>
        </w:rPr>
        <w:t>处填写“十年内”；</w:t>
      </w:r>
      <w:r>
        <w:rPr>
          <w:rFonts w:hint="eastAsia"/>
          <w:b/>
          <w:bCs/>
        </w:rPr>
        <w:t>供应商</w:t>
      </w:r>
      <w:r>
        <w:rPr>
          <w:rFonts w:hint="eastAsia" w:cs="宋体"/>
          <w:b/>
          <w:bCs/>
        </w:rPr>
        <w:t>成立时间不足十年的，</w:t>
      </w:r>
      <w:r>
        <w:rPr>
          <w:rFonts w:hint="eastAsia"/>
          <w:b/>
          <w:bCs/>
        </w:rPr>
        <w:t>在“</w:t>
      </w:r>
      <w:r>
        <w:rPr>
          <w:rFonts w:hint="eastAsia" w:cs="宋体"/>
          <w:b/>
          <w:bCs/>
        </w:rPr>
        <w:t>无行贿犯罪记录的期限</w:t>
      </w:r>
      <w:r>
        <w:rPr>
          <w:rFonts w:hint="eastAsia"/>
          <w:b/>
          <w:bCs/>
        </w:rPr>
        <w:t>”</w:t>
      </w:r>
      <w:r>
        <w:rPr>
          <w:rFonts w:hint="eastAsia" w:cs="宋体"/>
          <w:b/>
          <w:bCs/>
        </w:rPr>
        <w:t>处填写“自我单位成立之日起至今”</w:t>
      </w:r>
      <w:r>
        <w:rPr>
          <w:rFonts w:hint="eastAsia"/>
          <w:b/>
          <w:bCs/>
        </w:rPr>
        <w:t>。</w:t>
      </w:r>
    </w:p>
    <w:p>
      <w:pPr>
        <w:pStyle w:val="43"/>
        <w:rPr>
          <w:lang w:val="zh-CN"/>
        </w:rPr>
      </w:pPr>
    </w:p>
    <w:p>
      <w:pPr>
        <w:pStyle w:val="43"/>
      </w:pPr>
      <w:r>
        <w:rPr>
          <w:rFonts w:hint="eastAsia"/>
        </w:rPr>
        <w:br w:type="page"/>
      </w:r>
      <w:bookmarkEnd w:id="285"/>
      <w:bookmarkStart w:id="286" w:name="_Toc2151"/>
    </w:p>
    <w:bookmarkEnd w:id="286"/>
    <w:p>
      <w:pPr>
        <w:pStyle w:val="44"/>
        <w:numPr>
          <w:ilvl w:val="0"/>
          <w:numId w:val="15"/>
        </w:numPr>
        <w:spacing w:before="120" w:after="120"/>
        <w:ind w:firstLine="0"/>
      </w:pPr>
      <w:bookmarkStart w:id="287" w:name="_Toc15054"/>
      <w:bookmarkStart w:id="288" w:name="_Toc19166"/>
      <w:bookmarkStart w:id="289" w:name="_Toc4865"/>
      <w:bookmarkStart w:id="290" w:name="_Toc6917"/>
      <w:bookmarkStart w:id="291" w:name="_Toc20743"/>
      <w:r>
        <w:rPr>
          <w:rFonts w:hint="eastAsia"/>
        </w:rPr>
        <w:t>根据采购项目的特殊要求，规定供应商提供的特定条件</w:t>
      </w:r>
      <w:bookmarkEnd w:id="287"/>
      <w:r>
        <w:rPr>
          <w:rFonts w:hint="eastAsia"/>
        </w:rPr>
        <w:t>的证明材料</w:t>
      </w:r>
      <w:bookmarkEnd w:id="288"/>
      <w:bookmarkEnd w:id="289"/>
      <w:bookmarkEnd w:id="290"/>
      <w:bookmarkEnd w:id="291"/>
    </w:p>
    <w:p>
      <w:pPr>
        <w:pStyle w:val="43"/>
        <w:spacing w:line="520" w:lineRule="exact"/>
        <w:ind w:firstLine="480" w:firstLineChars="200"/>
        <w:rPr>
          <w:rFonts w:hint="eastAsia" w:cs="宋体"/>
          <w:lang w:val="en-US" w:eastAsia="zh-CN"/>
        </w:rPr>
      </w:pPr>
      <w:r>
        <w:rPr>
          <w:rFonts w:hint="eastAsia" w:cs="宋体"/>
          <w:lang w:val="en-US" w:eastAsia="zh-CN"/>
        </w:rPr>
        <w:t>1.供应商提供中华人民共和国境内依法设立的商业银行、农村信用合作社、农村合作银行等吸收公众存款的同城银行业金融机构相关证明材料。</w:t>
      </w:r>
    </w:p>
    <w:p>
      <w:pPr>
        <w:pStyle w:val="43"/>
        <w:spacing w:line="520" w:lineRule="exact"/>
        <w:ind w:firstLine="480" w:firstLineChars="200"/>
        <w:rPr>
          <w:rFonts w:hint="eastAsia" w:cs="宋体"/>
          <w:lang w:val="en-US" w:eastAsia="zh-CN"/>
        </w:rPr>
      </w:pPr>
      <w:r>
        <w:rPr>
          <w:rFonts w:hint="eastAsia" w:cs="宋体"/>
          <w:lang w:val="en-US" w:eastAsia="zh-CN"/>
        </w:rPr>
        <w:t>2.2022年度在当地(项目所在地成都市)人民银行分支机构综合评价等级为B等及以上</w:t>
      </w:r>
      <w:r>
        <w:rPr>
          <w:rFonts w:hint="eastAsia" w:cs="宋体"/>
          <w:color w:val="auto"/>
          <w:highlight w:val="none"/>
          <w:lang w:val="en-US" w:eastAsia="zh-CN"/>
        </w:rPr>
        <w:t>证明材料复印件</w:t>
      </w:r>
      <w:r>
        <w:rPr>
          <w:rFonts w:hint="eastAsia" w:cs="宋体"/>
          <w:lang w:val="en-US" w:eastAsia="zh-CN"/>
        </w:rPr>
        <w:t>。</w:t>
      </w:r>
    </w:p>
    <w:p>
      <w:pPr>
        <w:pStyle w:val="43"/>
        <w:spacing w:line="520" w:lineRule="exact"/>
        <w:ind w:firstLine="480" w:firstLineChars="200"/>
        <w:rPr>
          <w:rFonts w:hint="eastAsia" w:cs="宋体"/>
          <w:lang w:val="en-US" w:eastAsia="zh-CN"/>
        </w:rPr>
      </w:pPr>
      <w:r>
        <w:rPr>
          <w:rFonts w:hint="eastAsia" w:cs="宋体"/>
          <w:lang w:val="en-US" w:eastAsia="zh-CN"/>
        </w:rPr>
        <w:t>3.提供财务稳健，资本充足率、不良贷款率、拨备覆盖率、流动性覆盖率、流动性比例等指标达到监管标准的承诺函。</w:t>
      </w:r>
    </w:p>
    <w:p>
      <w:pPr>
        <w:pStyle w:val="43"/>
        <w:spacing w:line="520" w:lineRule="exact"/>
        <w:ind w:firstLine="480" w:firstLineChars="200"/>
        <w:rPr>
          <w:rFonts w:hint="eastAsia" w:cs="宋体"/>
          <w:lang w:val="en-US" w:eastAsia="zh-CN"/>
        </w:rPr>
      </w:pPr>
      <w:r>
        <w:rPr>
          <w:rFonts w:hint="eastAsia" w:cs="宋体"/>
          <w:lang w:val="en-US" w:eastAsia="zh-CN"/>
        </w:rPr>
        <w:t>4.提供内部管理机制健全，具有较强的风险控制能力，近3年内未发生金融风险及重大违约事件的承诺函。</w:t>
      </w:r>
    </w:p>
    <w:p>
      <w:pPr>
        <w:pStyle w:val="43"/>
        <w:spacing w:line="520" w:lineRule="exact"/>
        <w:ind w:firstLine="480" w:firstLineChars="200"/>
        <w:rPr>
          <w:rFonts w:hint="eastAsia" w:cs="宋体"/>
          <w:lang w:val="en-US" w:eastAsia="zh-CN"/>
        </w:rPr>
      </w:pPr>
      <w:r>
        <w:rPr>
          <w:rFonts w:hint="eastAsia" w:cs="宋体"/>
          <w:lang w:val="en-US" w:eastAsia="zh-CN"/>
        </w:rPr>
        <w:t>5.一家银行仅允许一个分支机构报名参与本项目。</w:t>
      </w:r>
    </w:p>
    <w:p>
      <w:pPr>
        <w:pStyle w:val="46"/>
      </w:pPr>
      <w:r>
        <w:rPr>
          <w:rFonts w:hint="eastAsia"/>
          <w:lang w:val="en-US" w:eastAsia="zh-CN"/>
        </w:rPr>
        <w:t>6.</w:t>
      </w:r>
      <w:r>
        <w:rPr>
          <w:rFonts w:hint="eastAsia"/>
        </w:rPr>
        <w:t>提供未与其他供应商组成联合体参与本次采购活动的承诺函。</w:t>
      </w:r>
    </w:p>
    <w:p>
      <w:pPr>
        <w:pStyle w:val="46"/>
        <w:ind w:firstLine="482"/>
        <w:rPr>
          <w:b/>
          <w:bCs/>
        </w:rPr>
      </w:pPr>
      <w:r>
        <w:rPr>
          <w:rFonts w:hint="eastAsia" w:cs="宋体" w:asciiTheme="minorEastAsia" w:hAnsiTheme="minorEastAsia" w:eastAsiaTheme="minorEastAsia"/>
          <w:b/>
          <w:bCs/>
        </w:rPr>
        <w:t>注：承诺函</w:t>
      </w:r>
      <w:r>
        <w:rPr>
          <w:rFonts w:hint="eastAsia"/>
          <w:b/>
        </w:rPr>
        <w:t>格式自拟，或参照《承诺及声明函》的格式提供</w:t>
      </w:r>
      <w:r>
        <w:rPr>
          <w:rFonts w:hint="eastAsia" w:cs="宋体" w:asciiTheme="minorEastAsia" w:hAnsiTheme="minorEastAsia" w:eastAsiaTheme="minorEastAsia"/>
          <w:b/>
          <w:bCs/>
        </w:rPr>
        <w:t>。</w:t>
      </w:r>
    </w:p>
    <w:p>
      <w:pPr>
        <w:pStyle w:val="46"/>
      </w:pPr>
    </w:p>
    <w:p>
      <w:pPr>
        <w:pStyle w:val="44"/>
        <w:numPr>
          <w:ilvl w:val="0"/>
          <w:numId w:val="15"/>
        </w:numPr>
        <w:spacing w:before="120" w:after="120"/>
        <w:ind w:firstLine="0"/>
        <w:rPr>
          <w:w w:val="95"/>
        </w:rPr>
        <w:sectPr>
          <w:headerReference r:id="rId11" w:type="first"/>
          <w:footerReference r:id="rId13" w:type="first"/>
          <w:headerReference r:id="rId10" w:type="default"/>
          <w:footerReference r:id="rId12" w:type="default"/>
          <w:pgSz w:w="11906" w:h="16838"/>
          <w:pgMar w:top="1440" w:right="1080" w:bottom="1440" w:left="1080" w:header="851" w:footer="992" w:gutter="0"/>
          <w:pgNumType w:fmt="decimal" w:start="1"/>
          <w:cols w:space="0" w:num="1"/>
          <w:titlePg/>
          <w:docGrid w:linePitch="312" w:charSpace="0"/>
        </w:sectPr>
      </w:pPr>
      <w:bookmarkStart w:id="292" w:name="_Toc22568"/>
      <w:bookmarkStart w:id="293" w:name="_Toc21855"/>
      <w:bookmarkStart w:id="294" w:name="_Toc15708"/>
    </w:p>
    <w:p>
      <w:pPr>
        <w:pStyle w:val="44"/>
        <w:numPr>
          <w:ilvl w:val="0"/>
          <w:numId w:val="15"/>
        </w:numPr>
        <w:spacing w:before="120" w:after="120"/>
        <w:ind w:firstLine="0"/>
        <w:rPr>
          <w:w w:val="95"/>
        </w:rPr>
      </w:pPr>
      <w:bookmarkStart w:id="295" w:name="_Toc330"/>
      <w:r>
        <w:rPr>
          <w:rFonts w:hint="eastAsia"/>
          <w:w w:val="95"/>
        </w:rPr>
        <w:t>承诺及声明函</w:t>
      </w:r>
      <w:bookmarkEnd w:id="292"/>
      <w:bookmarkEnd w:id="293"/>
      <w:bookmarkEnd w:id="294"/>
      <w:bookmarkEnd w:id="295"/>
    </w:p>
    <w:p>
      <w:pPr>
        <w:pStyle w:val="43"/>
      </w:pPr>
      <w:r>
        <w:rPr>
          <w:rFonts w:hint="eastAsia"/>
          <w:u w:val="single"/>
        </w:rPr>
        <w:t xml:space="preserve">                   </w:t>
      </w:r>
      <w:r>
        <w:rPr>
          <w:rFonts w:hint="eastAsia"/>
        </w:rPr>
        <w:t>(采购代理机构名称)：</w:t>
      </w:r>
    </w:p>
    <w:p>
      <w:pPr>
        <w:pStyle w:val="43"/>
        <w:ind w:firstLine="480" w:firstLineChars="200"/>
      </w:pPr>
      <w:r>
        <w:rPr>
          <w:rFonts w:hint="eastAsia"/>
        </w:rPr>
        <w:t>我单位作为本次采购项目的供应商，根据磋商文件要求，现郑重承诺及声明如下：</w:t>
      </w:r>
    </w:p>
    <w:p>
      <w:pPr>
        <w:pStyle w:val="36"/>
        <w:numPr>
          <w:ilvl w:val="2"/>
          <w:numId w:val="16"/>
        </w:numPr>
        <w:ind w:firstLine="480"/>
      </w:pPr>
      <w:r>
        <w:rPr>
          <w:rFonts w:hint="eastAsia"/>
        </w:rPr>
        <w:t xml:space="preserve">具有良好的商业信誉和健全的财务会计制度； </w:t>
      </w:r>
    </w:p>
    <w:p>
      <w:pPr>
        <w:pStyle w:val="36"/>
        <w:numPr>
          <w:ilvl w:val="2"/>
          <w:numId w:val="16"/>
        </w:numPr>
        <w:ind w:firstLine="480"/>
      </w:pPr>
      <w:r>
        <w:rPr>
          <w:rFonts w:hint="eastAsia"/>
        </w:rPr>
        <w:t xml:space="preserve">具有履行合同所必需的设备和专业技术能力； </w:t>
      </w:r>
    </w:p>
    <w:p>
      <w:pPr>
        <w:pStyle w:val="36"/>
        <w:numPr>
          <w:ilvl w:val="2"/>
          <w:numId w:val="16"/>
        </w:numPr>
        <w:ind w:firstLine="480"/>
      </w:pPr>
      <w:r>
        <w:rPr>
          <w:rFonts w:hint="eastAsia"/>
        </w:rPr>
        <w:t xml:space="preserve">有依法缴纳税收和社会保障资金的良好记录； </w:t>
      </w:r>
    </w:p>
    <w:p>
      <w:pPr>
        <w:pStyle w:val="36"/>
        <w:numPr>
          <w:ilvl w:val="2"/>
          <w:numId w:val="16"/>
        </w:numPr>
        <w:ind w:firstLine="480"/>
      </w:pPr>
      <w:r>
        <w:rPr>
          <w:rFonts w:hint="eastAsia"/>
        </w:rPr>
        <w:t>参加本次采购活动前三年内，在经营活动中没有重大违法记录(供应商成立不足三年的，从成立之日起计算)；</w:t>
      </w:r>
    </w:p>
    <w:p>
      <w:pPr>
        <w:pStyle w:val="36"/>
        <w:numPr>
          <w:ilvl w:val="2"/>
          <w:numId w:val="16"/>
        </w:numPr>
        <w:ind w:firstLine="480"/>
      </w:pPr>
      <w:r>
        <w:rPr>
          <w:rFonts w:hint="eastAsia"/>
        </w:rPr>
        <w:t>符合法律、行政法规规定的其他条件；</w:t>
      </w:r>
    </w:p>
    <w:p>
      <w:pPr>
        <w:pStyle w:val="36"/>
        <w:numPr>
          <w:ilvl w:val="2"/>
          <w:numId w:val="16"/>
        </w:numPr>
        <w:ind w:firstLine="480"/>
      </w:pPr>
      <w:r>
        <w:rPr>
          <w:rFonts w:hint="eastAsia"/>
        </w:rPr>
        <w:t>未与其他供应商组成联合体参与本次采购活动。</w:t>
      </w:r>
    </w:p>
    <w:p>
      <w:pPr>
        <w:pStyle w:val="46"/>
      </w:pPr>
      <w:r>
        <w:rPr>
          <w:rFonts w:hint="eastAsia"/>
        </w:rPr>
        <w:t>本单位对上述承诺的内容事项真实性、合法性负责。如经查实上述承诺的内容事项存在虚假，我单位自愿接受以提供虚假材料谋取成交所带来的所有法律责任。</w:t>
      </w:r>
    </w:p>
    <w:p>
      <w:pPr>
        <w:pStyle w:val="43"/>
      </w:pPr>
    </w:p>
    <w:p>
      <w:pPr>
        <w:pStyle w:val="43"/>
      </w:pPr>
    </w:p>
    <w:p>
      <w:pPr>
        <w:pStyle w:val="46"/>
      </w:pPr>
      <w:r>
        <w:rPr>
          <w:rFonts w:hint="eastAsia"/>
        </w:rPr>
        <w:t>供应商名称：</w:t>
      </w:r>
      <w:r>
        <w:rPr>
          <w:rFonts w:hint="eastAsia"/>
          <w:u w:val="single"/>
        </w:rPr>
        <w:t xml:space="preserve">             </w:t>
      </w:r>
      <w:r>
        <w:rPr>
          <w:rFonts w:hint="eastAsia"/>
        </w:rPr>
        <w:t>(盖章)</w:t>
      </w:r>
    </w:p>
    <w:p>
      <w:pPr>
        <w:pStyle w:val="46"/>
      </w:pPr>
      <w:r>
        <w:rPr>
          <w:rFonts w:hint="eastAsia"/>
        </w:rPr>
        <w:t>法定代表人/单位负责人或授权代表：</w:t>
      </w:r>
      <w:r>
        <w:rPr>
          <w:rFonts w:hint="eastAsia"/>
          <w:u w:val="single"/>
        </w:rPr>
        <w:t xml:space="preserve">            </w:t>
      </w:r>
      <w:r>
        <w:rPr>
          <w:rFonts w:hint="eastAsia"/>
        </w:rPr>
        <w:t>(签字或盖章)</w:t>
      </w:r>
    </w:p>
    <w:p>
      <w:pPr>
        <w:pStyle w:val="46"/>
      </w:pPr>
      <w:r>
        <w:rPr>
          <w:rFonts w:hint="eastAsia"/>
        </w:rPr>
        <w:t>磋商日期：</w:t>
      </w:r>
      <w:r>
        <w:rPr>
          <w:rFonts w:hint="eastAsia"/>
          <w:u w:val="single"/>
        </w:rPr>
        <w:t xml:space="preserve">                </w:t>
      </w:r>
      <w:r>
        <w:rPr>
          <w:rFonts w:hint="eastAsia"/>
        </w:rPr>
        <w:t xml:space="preserve">  </w:t>
      </w:r>
    </w:p>
    <w:p>
      <w:pPr>
        <w:pStyle w:val="47"/>
        <w:ind w:firstLine="482"/>
      </w:pPr>
      <w:r>
        <w:rPr>
          <w:rFonts w:hint="eastAsia"/>
        </w:rPr>
        <w:t>注：本部分所要求的承诺函可参照本格式或自拟格式填写均有效。</w:t>
      </w:r>
    </w:p>
    <w:p>
      <w:r>
        <w:rPr>
          <w:rFonts w:hint="eastAsia"/>
        </w:rPr>
        <w:br w:type="page"/>
      </w:r>
    </w:p>
    <w:p>
      <w:pPr>
        <w:pStyle w:val="43"/>
      </w:pPr>
      <w:bookmarkStart w:id="296" w:name="_Toc18702"/>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bookmarkStart w:id="297" w:name="_Toc14607"/>
    </w:p>
    <w:p>
      <w:pPr>
        <w:pStyle w:val="43"/>
      </w:pPr>
    </w:p>
    <w:p>
      <w:pPr>
        <w:pStyle w:val="43"/>
      </w:pPr>
    </w:p>
    <w:p>
      <w:pPr>
        <w:pStyle w:val="43"/>
      </w:pPr>
    </w:p>
    <w:p>
      <w:pPr>
        <w:pStyle w:val="35"/>
        <w:numPr>
          <w:ilvl w:val="1"/>
          <w:numId w:val="0"/>
        </w:numPr>
        <w:jc w:val="center"/>
        <w:rPr>
          <w:sz w:val="32"/>
          <w:szCs w:val="32"/>
        </w:rPr>
      </w:pPr>
      <w:bookmarkStart w:id="298" w:name="_Toc14527"/>
      <w:bookmarkStart w:id="299" w:name="_Toc6883"/>
      <w:r>
        <w:rPr>
          <w:rFonts w:hint="eastAsia"/>
          <w:sz w:val="32"/>
          <w:szCs w:val="32"/>
        </w:rPr>
        <w:t>第二部分 其他响应文件(格式)</w:t>
      </w:r>
      <w:bookmarkEnd w:id="297"/>
      <w:bookmarkEnd w:id="298"/>
      <w:bookmarkEnd w:id="299"/>
    </w:p>
    <w:p>
      <w:pPr>
        <w:pStyle w:val="43"/>
      </w:pPr>
      <w:bookmarkStart w:id="300" w:name="_Toc26038"/>
      <w:r>
        <w:rPr>
          <w:rFonts w:hint="eastAsia"/>
        </w:rPr>
        <w:br w:type="page"/>
      </w:r>
    </w:p>
    <w:p>
      <w:pPr>
        <w:pStyle w:val="44"/>
        <w:numPr>
          <w:ilvl w:val="0"/>
          <w:numId w:val="17"/>
        </w:numPr>
        <w:spacing w:before="120" w:after="120"/>
        <w:ind w:firstLine="0"/>
      </w:pPr>
      <w:bookmarkStart w:id="301" w:name="_Toc11068"/>
      <w:bookmarkStart w:id="302" w:name="_Toc2311"/>
      <w:bookmarkStart w:id="303" w:name="_Toc4208"/>
      <w:r>
        <w:rPr>
          <w:rFonts w:hint="eastAsia"/>
        </w:rPr>
        <w:t>磋商函</w:t>
      </w:r>
      <w:bookmarkEnd w:id="296"/>
      <w:bookmarkEnd w:id="300"/>
      <w:bookmarkEnd w:id="301"/>
      <w:bookmarkEnd w:id="302"/>
      <w:bookmarkEnd w:id="303"/>
    </w:p>
    <w:p>
      <w:pPr>
        <w:pStyle w:val="43"/>
        <w:spacing w:line="520" w:lineRule="exact"/>
        <w:rPr>
          <w:lang w:val="zh-CN"/>
        </w:rPr>
      </w:pPr>
      <w:r>
        <w:rPr>
          <w:rFonts w:hint="eastAsia"/>
          <w:lang w:val="zh-CN"/>
        </w:rPr>
        <w:t>致：四川乾新招投标代理有限公司　</w:t>
      </w:r>
    </w:p>
    <w:p>
      <w:pPr>
        <w:pStyle w:val="46"/>
        <w:spacing w:line="520" w:lineRule="exact"/>
      </w:pPr>
      <w:r>
        <w:rPr>
          <w:rFonts w:hint="eastAsia"/>
        </w:rPr>
        <w:t>我方全面研究了“</w:t>
      </w:r>
      <w:r>
        <w:rPr>
          <w:rFonts w:hint="eastAsia"/>
          <w:u w:val="single"/>
        </w:rPr>
        <w:t xml:space="preserve">               </w:t>
      </w:r>
      <w:r>
        <w:rPr>
          <w:rFonts w:hint="eastAsia"/>
        </w:rPr>
        <w:t>(项目名称)(项目编号：</w:t>
      </w:r>
      <w:r>
        <w:rPr>
          <w:rFonts w:hint="eastAsia"/>
          <w:u w:val="single"/>
        </w:rPr>
        <w:t xml:space="preserve">               </w:t>
      </w:r>
      <w:r>
        <w:rPr>
          <w:rFonts w:hint="eastAsia"/>
        </w:rPr>
        <w:t>)”的磋商文件，决定参加贵单位组织的本项目的采购活动。我方授权</w:t>
      </w:r>
      <w:r>
        <w:rPr>
          <w:rFonts w:hint="eastAsia"/>
          <w:u w:val="single"/>
        </w:rPr>
        <w:t xml:space="preserve">               </w:t>
      </w:r>
      <w:r>
        <w:rPr>
          <w:rFonts w:hint="eastAsia"/>
        </w:rPr>
        <w:t>(姓名、职务)代表我方</w:t>
      </w:r>
      <w:r>
        <w:rPr>
          <w:rFonts w:hint="eastAsia"/>
          <w:u w:val="single"/>
        </w:rPr>
        <w:t xml:space="preserve">               </w:t>
      </w:r>
      <w:r>
        <w:rPr>
          <w:rFonts w:hint="eastAsia"/>
        </w:rPr>
        <w:t>(供应商名称)全权处理本项目磋商的有关事宜。</w:t>
      </w:r>
    </w:p>
    <w:p>
      <w:pPr>
        <w:pStyle w:val="36"/>
        <w:numPr>
          <w:ilvl w:val="2"/>
          <w:numId w:val="18"/>
        </w:numPr>
        <w:spacing w:line="520" w:lineRule="exact"/>
        <w:ind w:firstLine="480"/>
      </w:pPr>
      <w:r>
        <w:rPr>
          <w:rFonts w:hint="eastAsia"/>
        </w:rPr>
        <w:t>我方自愿按照磋商文件规定的各项要求向采购人提供所需相应服务，履约时间为</w:t>
      </w:r>
      <w:r>
        <w:rPr>
          <w:rFonts w:hint="eastAsia"/>
          <w:u w:val="single"/>
        </w:rPr>
        <w:t xml:space="preserve">            </w:t>
      </w:r>
      <w:r>
        <w:rPr>
          <w:rFonts w:hint="eastAsia"/>
        </w:rPr>
        <w:t>。</w:t>
      </w:r>
    </w:p>
    <w:p>
      <w:pPr>
        <w:pStyle w:val="36"/>
        <w:numPr>
          <w:ilvl w:val="2"/>
          <w:numId w:val="18"/>
        </w:numPr>
        <w:spacing w:line="520" w:lineRule="exact"/>
        <w:ind w:firstLine="480"/>
      </w:pPr>
      <w:r>
        <w:rPr>
          <w:rFonts w:hint="eastAsia"/>
        </w:rPr>
        <w:t>我方承诺：磋商有效期为</w:t>
      </w:r>
      <w:r>
        <w:rPr>
          <w:rFonts w:hint="eastAsia"/>
          <w:u w:val="single"/>
        </w:rPr>
        <w:t xml:space="preserve">                    </w:t>
      </w:r>
      <w:r>
        <w:rPr>
          <w:rFonts w:hint="eastAsia"/>
        </w:rPr>
        <w:t>，在此期间内不修改、撤销响应文件。</w:t>
      </w:r>
    </w:p>
    <w:p>
      <w:pPr>
        <w:pStyle w:val="36"/>
        <w:numPr>
          <w:ilvl w:val="2"/>
          <w:numId w:val="18"/>
        </w:numPr>
        <w:spacing w:line="520" w:lineRule="exact"/>
        <w:ind w:firstLine="480"/>
      </w:pPr>
      <w:r>
        <w:rPr>
          <w:rFonts w:hint="eastAsia"/>
        </w:rPr>
        <w:t>如我方成交：</w:t>
      </w:r>
    </w:p>
    <w:p>
      <w:pPr>
        <w:pStyle w:val="37"/>
        <w:spacing w:line="520" w:lineRule="exact"/>
        <w:ind w:firstLine="480"/>
      </w:pPr>
      <w:r>
        <w:rPr>
          <w:rFonts w:hint="eastAsia"/>
        </w:rPr>
        <w:t>我方承诺积极配合招标代理机构办理领取成交通知书事宜，同时在收到成交通知书后，在规定的期限内与采购人签订合同。</w:t>
      </w:r>
    </w:p>
    <w:p>
      <w:pPr>
        <w:pStyle w:val="37"/>
        <w:spacing w:line="520" w:lineRule="exact"/>
        <w:ind w:firstLine="480"/>
      </w:pPr>
      <w:r>
        <w:rPr>
          <w:rFonts w:hint="eastAsia"/>
        </w:rPr>
        <w:t>我方将严格履行采购合同规定的责任和义务。</w:t>
      </w:r>
    </w:p>
    <w:p>
      <w:pPr>
        <w:pStyle w:val="37"/>
        <w:spacing w:line="520" w:lineRule="exact"/>
        <w:ind w:firstLine="480"/>
      </w:pPr>
      <w:r>
        <w:rPr>
          <w:rFonts w:hint="eastAsia"/>
        </w:rPr>
        <w:t>我方愿意提供贵单位可能另外要求的，与磋商报价有关的文件资料，并保证我方已提供和将要提供的文件资料是真实、准确的。</w:t>
      </w:r>
    </w:p>
    <w:p>
      <w:pPr>
        <w:pStyle w:val="37"/>
        <w:spacing w:line="520" w:lineRule="exact"/>
        <w:ind w:firstLine="480"/>
      </w:pPr>
      <w:r>
        <w:rPr>
          <w:rFonts w:hint="eastAsia"/>
        </w:rPr>
        <w:t>我方自愿按照磋商文件规定的各项要求完成采购项目，最后报价以《最后报价表》为准，接受采购人按照采购合同约定金额支付采购资金。</w:t>
      </w:r>
    </w:p>
    <w:p>
      <w:pPr>
        <w:pStyle w:val="36"/>
        <w:numPr>
          <w:ilvl w:val="2"/>
          <w:numId w:val="0"/>
        </w:numPr>
        <w:spacing w:line="520" w:lineRule="exact"/>
        <w:ind w:firstLine="480" w:firstLineChars="200"/>
      </w:pPr>
      <w:r>
        <w:rPr>
          <w:rFonts w:hint="eastAsia"/>
        </w:rPr>
        <w:t>4.我方在参加本次采购活动中，涉及的询问、质疑、邮寄(快递)成交通知书等采购相关文书资料送达地址为：</w:t>
      </w:r>
      <w:r>
        <w:rPr>
          <w:rFonts w:hint="eastAsia"/>
          <w:u w:val="single"/>
        </w:rPr>
        <w:t xml:space="preserve">                                     </w:t>
      </w:r>
      <w:r>
        <w:rPr>
          <w:rFonts w:hint="eastAsia"/>
        </w:rPr>
        <w:t>；联系人：</w:t>
      </w:r>
      <w:r>
        <w:rPr>
          <w:rFonts w:hint="eastAsia"/>
          <w:u w:val="single"/>
        </w:rPr>
        <w:t xml:space="preserve">           </w:t>
      </w:r>
      <w:r>
        <w:rPr>
          <w:rFonts w:hint="eastAsia"/>
        </w:rPr>
        <w:t>；联系电话：</w:t>
      </w:r>
      <w:r>
        <w:rPr>
          <w:rFonts w:hint="eastAsia"/>
          <w:u w:val="single"/>
        </w:rPr>
        <w:t xml:space="preserve">            </w:t>
      </w:r>
      <w:r>
        <w:rPr>
          <w:rFonts w:hint="eastAsia"/>
        </w:rPr>
        <w:t>，如在采购结果公告发布前变更送达地址的，将及时以书面方式告知贵公司。</w:t>
      </w:r>
    </w:p>
    <w:p>
      <w:pPr>
        <w:pStyle w:val="36"/>
        <w:numPr>
          <w:ilvl w:val="2"/>
          <w:numId w:val="0"/>
        </w:numPr>
        <w:spacing w:line="520" w:lineRule="exact"/>
        <w:ind w:firstLine="480" w:firstLineChars="200"/>
      </w:pPr>
      <w:r>
        <w:rPr>
          <w:rFonts w:hint="eastAsia"/>
        </w:rPr>
        <w:t>4.1我方承诺：如未提供自己的送达地址，经招标代理机构告知后仍不提供的，自然人以其户籍登记中的住所地为送达地址;法人或者其他组织以其工商登记或者其他依法登记、备案中的住所地为送达地址。</w:t>
      </w:r>
    </w:p>
    <w:p>
      <w:pPr>
        <w:pStyle w:val="36"/>
        <w:numPr>
          <w:ilvl w:val="2"/>
          <w:numId w:val="0"/>
        </w:numPr>
        <w:spacing w:line="520" w:lineRule="exact"/>
        <w:ind w:firstLine="480" w:firstLineChars="200"/>
      </w:pPr>
      <w:r>
        <w:rPr>
          <w:rFonts w:hint="eastAsia"/>
        </w:rPr>
        <w:t>4.2因我方提供的送达地址不准确、拒不提供送达地址、送达地址变更未及时告知招标代理机构、受送达人本人或者受送达人指定的代收人拒绝签收，导致采购文书等资料未能被受送达人实际接收的，采购文书退回之日视为送达之日。邮寄送达的，邮件回执上注明的退回之日视为送达之日；直接送达的，送达人当场在送达回执上签收之日视为送达之日。</w:t>
      </w:r>
    </w:p>
    <w:p>
      <w:pPr>
        <w:pStyle w:val="36"/>
        <w:numPr>
          <w:ilvl w:val="2"/>
          <w:numId w:val="0"/>
        </w:numPr>
        <w:spacing w:line="520" w:lineRule="exact"/>
        <w:ind w:firstLine="480" w:firstLineChars="200"/>
        <w:rPr>
          <w:lang w:val="zh-CN"/>
        </w:rPr>
      </w:pPr>
      <w:r>
        <w:rPr>
          <w:rFonts w:hint="eastAsia"/>
        </w:rPr>
        <w:t>5.参照</w:t>
      </w:r>
      <w:r>
        <w:rPr>
          <w:rFonts w:hint="eastAsia"/>
          <w:lang w:val="zh-CN"/>
        </w:rPr>
        <w:t>《中华人民共和国政府采购法实施条例》第四十三条的规定，公告内容应当包括主要</w:t>
      </w:r>
      <w:r>
        <w:rPr>
          <w:rFonts w:hint="eastAsia"/>
        </w:rPr>
        <w:t>成交</w:t>
      </w:r>
      <w:r>
        <w:rPr>
          <w:rFonts w:hint="eastAsia"/>
          <w:lang w:val="zh-CN"/>
        </w:rPr>
        <w:t>标的的名称、规格型号、数量、单价、服务要求以及评审专家名单。</w:t>
      </w:r>
      <w:r>
        <w:rPr>
          <w:rFonts w:hint="eastAsia"/>
        </w:rPr>
        <w:t>我方已</w:t>
      </w:r>
      <w:r>
        <w:rPr>
          <w:rFonts w:hint="eastAsia"/>
          <w:lang w:val="zh-CN"/>
        </w:rPr>
        <w:t>将</w:t>
      </w:r>
      <w:r>
        <w:rPr>
          <w:rFonts w:hint="eastAsia"/>
        </w:rPr>
        <w:t>响应</w:t>
      </w:r>
      <w:r>
        <w:rPr>
          <w:rFonts w:hint="eastAsia"/>
          <w:lang w:val="zh-CN"/>
        </w:rPr>
        <w:t>文件中涉及商业秘密和知识产权的内容进行标注和说明。若未进行标注和说明的，视为全部内容均可公布，采购人或者采购代理机构对此不承担任何责任。</w:t>
      </w:r>
    </w:p>
    <w:p>
      <w:pPr>
        <w:pStyle w:val="36"/>
        <w:numPr>
          <w:ilvl w:val="2"/>
          <w:numId w:val="0"/>
        </w:numPr>
        <w:spacing w:line="520" w:lineRule="exact"/>
        <w:ind w:firstLine="480" w:firstLineChars="200"/>
      </w:pPr>
      <w:r>
        <w:rPr>
          <w:rFonts w:hint="eastAsia"/>
        </w:rPr>
        <w:t>6.我方</w:t>
      </w:r>
      <w:r>
        <w:rPr>
          <w:rFonts w:hint="eastAsia"/>
          <w:u w:val="single"/>
        </w:rPr>
        <w:t xml:space="preserve">      </w:t>
      </w:r>
      <w:r>
        <w:rPr>
          <w:rFonts w:hint="eastAsia"/>
        </w:rPr>
        <w:t>(“有”或“没有”)《关于对政府采购领域严重违法失信主体开展联合惩戒的合作备忘录》的通知(发改财金〔2018〕1614号)、</w:t>
      </w:r>
      <w:r>
        <w:fldChar w:fldCharType="begin"/>
      </w:r>
      <w:r>
        <w:instrText xml:space="preserve"> HYPERLINK "http://fgw.sc.gov.cn/sfgwsjd/c100029/2019/10/15/5344a76ba0804c13be19f2313f85bf8f.shtml" \t "http://fgw.sc.gov.cn/sfgwsjd/c100029/2019/10/15/_blank" \o "《四川省公共资源交易领域严重失信联合惩戒实施办法》政策解读" </w:instrText>
      </w:r>
      <w:r>
        <w:fldChar w:fldCharType="separate"/>
      </w:r>
      <w:r>
        <w:rPr>
          <w:rFonts w:hint="eastAsia"/>
        </w:rPr>
        <w:t>《四川省公共资源交易领域严重失信联合惩戒实施办法》</w:t>
      </w:r>
      <w:r>
        <w:rPr>
          <w:rFonts w:hint="eastAsia"/>
        </w:rPr>
        <w:fldChar w:fldCharType="end"/>
      </w:r>
      <w:r>
        <w:rPr>
          <w:rFonts w:hint="eastAsia"/>
        </w:rPr>
        <w:t>(川发改信用规〔2019〕405号)规定的记入诚信档案的严重失信行为。如有，请如实列举：1.2.3.</w:t>
      </w:r>
      <w:r>
        <w:rPr>
          <w:rFonts w:hint="eastAsia" w:ascii="微软雅黑" w:hAnsi="微软雅黑" w:eastAsia="微软雅黑" w:cs="微软雅黑"/>
        </w:rPr>
        <w:t>……。</w:t>
      </w:r>
    </w:p>
    <w:p>
      <w:pPr>
        <w:pStyle w:val="36"/>
        <w:numPr>
          <w:ilvl w:val="2"/>
          <w:numId w:val="0"/>
        </w:numPr>
        <w:spacing w:line="520" w:lineRule="exact"/>
        <w:ind w:firstLine="480" w:firstLineChars="200"/>
      </w:pPr>
      <w:r>
        <w:rPr>
          <w:rFonts w:hint="eastAsia"/>
        </w:rPr>
        <w:t>7.我方如对磋商文件有异议，已经在响应文件递交截止时间届满前依法进行维权救济，不存在对磋商文件有异议的同时又参加磋商以求侥幸成交或者为实现其他非法目的的行为。</w:t>
      </w:r>
    </w:p>
    <w:p>
      <w:pPr>
        <w:pStyle w:val="43"/>
        <w:ind w:firstLine="480" w:firstLineChars="200"/>
      </w:pPr>
    </w:p>
    <w:p>
      <w:pPr>
        <w:pStyle w:val="43"/>
        <w:ind w:firstLine="480" w:firstLineChars="200"/>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3"/>
        <w:ind w:firstLine="480" w:firstLineChars="200"/>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3"/>
        <w:ind w:firstLine="480" w:firstLineChars="200"/>
      </w:pPr>
      <w:r>
        <w:rPr>
          <w:rFonts w:hint="eastAsia"/>
        </w:rPr>
        <w:t>邮政编码：</w:t>
      </w:r>
      <w:r>
        <w:rPr>
          <w:rFonts w:hint="eastAsia" w:asciiTheme="minorEastAsia" w:hAnsiTheme="minorEastAsia" w:eastAsiaTheme="minorEastAsia" w:cstheme="minorEastAsia"/>
          <w:bCs/>
          <w:u w:val="single"/>
        </w:rPr>
        <w:t xml:space="preserve">               </w:t>
      </w:r>
      <w:r>
        <w:rPr>
          <w:rFonts w:hint="eastAsia"/>
        </w:rPr>
        <w:t xml:space="preserve">               </w:t>
      </w:r>
    </w:p>
    <w:p>
      <w:pPr>
        <w:pStyle w:val="43"/>
        <w:ind w:firstLine="480" w:firstLineChars="200"/>
      </w:pPr>
      <w:r>
        <w:rPr>
          <w:rFonts w:hint="eastAsia"/>
        </w:rPr>
        <w:t>联系人：</w:t>
      </w:r>
      <w:r>
        <w:rPr>
          <w:rFonts w:hint="eastAsia" w:cs="宋体"/>
          <w:bCs/>
          <w:u w:val="single"/>
        </w:rPr>
        <w:t xml:space="preserve">                 </w:t>
      </w:r>
    </w:p>
    <w:p>
      <w:pPr>
        <w:pStyle w:val="43"/>
        <w:ind w:firstLine="480" w:firstLineChars="200"/>
      </w:pPr>
      <w:r>
        <w:rPr>
          <w:rFonts w:hint="eastAsia"/>
        </w:rPr>
        <w:t>联系电话：</w:t>
      </w:r>
      <w:r>
        <w:rPr>
          <w:rFonts w:hint="eastAsia" w:asciiTheme="minorEastAsia" w:hAnsiTheme="minorEastAsia" w:eastAsiaTheme="minorEastAsia" w:cstheme="minorEastAsia"/>
          <w:bCs/>
          <w:u w:val="single"/>
        </w:rPr>
        <w:t xml:space="preserve">               </w:t>
      </w:r>
      <w:r>
        <w:rPr>
          <w:rFonts w:hint="eastAsia"/>
        </w:rPr>
        <w:t xml:space="preserve">               </w:t>
      </w:r>
    </w:p>
    <w:p>
      <w:pPr>
        <w:pStyle w:val="43"/>
        <w:ind w:firstLine="480" w:firstLineChars="200"/>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bookmarkStart w:id="304" w:name="_Toc10493"/>
      <w:bookmarkStart w:id="305" w:name="_Toc439161752"/>
      <w:bookmarkStart w:id="306" w:name="_Toc5912"/>
      <w:bookmarkStart w:id="307" w:name="_Toc3690"/>
      <w:bookmarkStart w:id="308" w:name="_Toc302997926"/>
      <w:bookmarkStart w:id="309" w:name="_Toc6982"/>
      <w:r>
        <w:rPr>
          <w:rFonts w:hint="eastAsia"/>
        </w:rPr>
        <w:br w:type="page"/>
      </w:r>
    </w:p>
    <w:p>
      <w:pPr>
        <w:pStyle w:val="44"/>
        <w:numPr>
          <w:ilvl w:val="0"/>
          <w:numId w:val="17"/>
        </w:numPr>
        <w:spacing w:before="120" w:after="120"/>
        <w:ind w:firstLine="0"/>
      </w:pPr>
      <w:bookmarkStart w:id="310" w:name="_Toc7950"/>
      <w:bookmarkStart w:id="311" w:name="_Toc26738"/>
      <w:r>
        <w:rPr>
          <w:rFonts w:hint="eastAsia"/>
        </w:rPr>
        <w:t>实质性要求承诺</w:t>
      </w:r>
      <w:bookmarkEnd w:id="310"/>
      <w:bookmarkEnd w:id="311"/>
    </w:p>
    <w:p>
      <w:pPr>
        <w:pStyle w:val="43"/>
        <w:spacing w:line="520" w:lineRule="exact"/>
      </w:pPr>
      <w:r>
        <w:rPr>
          <w:rFonts w:hint="eastAsia"/>
          <w:u w:val="single"/>
        </w:rPr>
        <w:t xml:space="preserve">                   </w:t>
      </w:r>
      <w:r>
        <w:rPr>
          <w:rFonts w:hint="eastAsia"/>
        </w:rPr>
        <w:t>(采购代理机构名称)：</w:t>
      </w:r>
    </w:p>
    <w:p>
      <w:pPr>
        <w:pStyle w:val="46"/>
        <w:spacing w:line="520" w:lineRule="exact"/>
      </w:pPr>
      <w:r>
        <w:rPr>
          <w:rFonts w:hint="eastAsia"/>
        </w:rPr>
        <w:t>我方作为本次采购项目的供应商，根据磋商文件要求，现郑重承诺及声明如下：</w:t>
      </w:r>
    </w:p>
    <w:p>
      <w:pPr>
        <w:pStyle w:val="36"/>
        <w:numPr>
          <w:ilvl w:val="2"/>
          <w:numId w:val="19"/>
        </w:numPr>
        <w:spacing w:line="520" w:lineRule="exact"/>
        <w:ind w:firstLine="480"/>
        <w:rPr>
          <w:b/>
          <w:bCs/>
        </w:rPr>
      </w:pPr>
      <w:r>
        <w:rPr>
          <w:rFonts w:hint="eastAsia"/>
        </w:rPr>
        <w:t>我方已认真阅读并</w:t>
      </w:r>
      <w:r>
        <w:rPr>
          <w:rFonts w:hint="eastAsia" w:cs="宋体"/>
          <w:u w:val="single"/>
        </w:rPr>
        <w:t xml:space="preserve">      </w:t>
      </w:r>
      <w:r>
        <w:rPr>
          <w:rFonts w:hint="eastAsia" w:cs="宋体"/>
          <w:b/>
          <w:u w:val="single"/>
        </w:rPr>
        <w:t>(说明：填写“接受”或“不接受”)</w:t>
      </w:r>
      <w:r>
        <w:rPr>
          <w:rFonts w:hint="eastAsia"/>
        </w:rPr>
        <w:t>本项目磋商文件的全部实质性要求</w:t>
      </w:r>
      <w:r>
        <w:rPr>
          <w:rFonts w:hint="eastAsia"/>
          <w:b/>
          <w:bCs/>
        </w:rPr>
        <w:t>(磋商文件中明确要求需在响应时提供承诺函或具体证明材料进行响应的实质性要求除外)。</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与单位负责人为同一人或者存在直接控股、管理关系的其他供应商参与同一合同项下的采购活动的行为。与我方存在直接控股关系的单位为：</w:t>
      </w:r>
      <w:r>
        <w:rPr>
          <w:rFonts w:hint="eastAsia" w:cs="宋体"/>
          <w:b/>
          <w:u w:val="single"/>
        </w:rPr>
        <w:t xml:space="preserve">      (说明：填写“无”或“供应商名称)</w:t>
      </w:r>
      <w:r>
        <w:rPr>
          <w:rFonts w:hint="eastAsia" w:cs="宋体"/>
          <w:bCs/>
        </w:rPr>
        <w:t>；与我方存在直接控股关系的单位为</w:t>
      </w:r>
      <w:r>
        <w:rPr>
          <w:rFonts w:hint="eastAsia" w:cs="宋体"/>
          <w:b/>
          <w:u w:val="single"/>
        </w:rPr>
        <w:t>：    (说明：填写“无”或“供应商名称)</w:t>
      </w:r>
      <w:r>
        <w:rPr>
          <w:rFonts w:hint="eastAsia" w:cs="宋体"/>
          <w:b/>
        </w:rPr>
        <w:t>；</w:t>
      </w:r>
      <w:r>
        <w:rPr>
          <w:rFonts w:hint="eastAsia" w:cs="宋体"/>
          <w:bCs/>
        </w:rPr>
        <w:t>存在管理关系的单位为：</w:t>
      </w:r>
      <w:r>
        <w:rPr>
          <w:rFonts w:hint="eastAsia" w:cs="宋体"/>
          <w:b/>
          <w:u w:val="single"/>
        </w:rPr>
        <w:t xml:space="preserve">      (说明：填写“无”或“供应商名称)</w:t>
      </w:r>
      <w:r>
        <w:rPr>
          <w:rFonts w:hint="eastAsia"/>
        </w:rPr>
        <w:t>。</w:t>
      </w:r>
    </w:p>
    <w:p>
      <w:pPr>
        <w:pStyle w:val="36"/>
        <w:numPr>
          <w:ilvl w:val="2"/>
          <w:numId w:val="19"/>
        </w:numPr>
        <w:spacing w:line="520" w:lineRule="exact"/>
        <w:ind w:firstLine="480"/>
      </w:pPr>
      <w:r>
        <w:rPr>
          <w:rFonts w:hint="eastAsia"/>
        </w:rPr>
        <w:t>我方参加本次采购活动前本单位未对本次采购项目</w:t>
      </w:r>
      <w:r>
        <w:rPr>
          <w:rFonts w:hint="eastAsia" w:cs="宋体"/>
          <w:b/>
          <w:bCs/>
          <w:u w:val="single"/>
        </w:rPr>
        <w:t xml:space="preserve">     </w:t>
      </w:r>
      <w:r>
        <w:rPr>
          <w:rFonts w:hint="eastAsia" w:cs="宋体"/>
          <w:b/>
          <w:bCs/>
          <w:u w:val="single"/>
          <w:lang w:val="zh-CN"/>
        </w:rPr>
        <w:t>(说明：填写“</w:t>
      </w:r>
      <w:r>
        <w:rPr>
          <w:rFonts w:hint="eastAsia" w:cs="宋体"/>
          <w:b/>
          <w:bCs/>
          <w:u w:val="single"/>
        </w:rPr>
        <w:t>未</w:t>
      </w:r>
      <w:r>
        <w:rPr>
          <w:rFonts w:hint="eastAsia" w:cs="宋体"/>
          <w:b/>
          <w:bCs/>
          <w:u w:val="single"/>
          <w:lang w:val="zh-CN"/>
        </w:rPr>
        <w:t>提供”或“提供”)</w:t>
      </w:r>
      <w:r>
        <w:rPr>
          <w:rFonts w:hint="eastAsia"/>
        </w:rPr>
        <w:t>过整体设计、规范编制或者项目管理、监理、检测等服务。</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我单位实际控制人或者中高级管理人员是本项目采购代理机构的工作人员的情形。</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同一母公司的两家以上的子公司以不同供应商身份同时参加本项目同一合同项下的采购活动的情形。</w:t>
      </w:r>
    </w:p>
    <w:p>
      <w:pPr>
        <w:pStyle w:val="36"/>
        <w:numPr>
          <w:ilvl w:val="2"/>
          <w:numId w:val="19"/>
        </w:numPr>
        <w:spacing w:line="520" w:lineRule="exact"/>
        <w:ind w:firstLine="480"/>
      </w:pPr>
      <w:r>
        <w:rPr>
          <w:rFonts w:hint="eastAsia"/>
        </w:rPr>
        <w:t>我方参加本次采购活动，与采购代理机构</w:t>
      </w:r>
      <w:r>
        <w:rPr>
          <w:rFonts w:hint="eastAsia" w:cs="宋体"/>
          <w:u w:val="single"/>
        </w:rPr>
        <w:t xml:space="preserve">    </w:t>
      </w:r>
      <w:r>
        <w:rPr>
          <w:rFonts w:hint="eastAsia" w:cs="宋体"/>
          <w:b/>
          <w:u w:val="single"/>
        </w:rPr>
        <w:t>(说明：填写“不存在”或“存在”)</w:t>
      </w:r>
      <w:r>
        <w:rPr>
          <w:rFonts w:hint="eastAsia"/>
        </w:rPr>
        <w:t>关联关系，</w:t>
      </w:r>
      <w:r>
        <w:rPr>
          <w:rFonts w:hint="eastAsia" w:cs="宋体"/>
          <w:u w:val="single"/>
        </w:rPr>
        <w:t xml:space="preserve">     </w:t>
      </w:r>
      <w:r>
        <w:rPr>
          <w:rFonts w:hint="eastAsia" w:cs="宋体"/>
          <w:b/>
          <w:u w:val="single"/>
        </w:rPr>
        <w:t>(说明：填写“不是”或“是”)</w:t>
      </w:r>
      <w:r>
        <w:rPr>
          <w:rFonts w:hint="eastAsia"/>
        </w:rPr>
        <w:t>采购代理机构的母公司或子公司。</w:t>
      </w:r>
    </w:p>
    <w:p>
      <w:pPr>
        <w:pStyle w:val="36"/>
        <w:numPr>
          <w:ilvl w:val="2"/>
          <w:numId w:val="19"/>
        </w:numPr>
        <w:spacing w:line="520" w:lineRule="exact"/>
        <w:ind w:firstLine="480"/>
      </w:pPr>
      <w:r>
        <w:rPr>
          <w:rFonts w:hint="eastAsia"/>
        </w:rPr>
        <w:t>我方参加本次采购活动，</w:t>
      </w:r>
      <w:r>
        <w:rPr>
          <w:rFonts w:hint="eastAsia" w:cs="宋体"/>
          <w:u w:val="single"/>
        </w:rPr>
        <w:t xml:space="preserve">     </w:t>
      </w:r>
      <w:r>
        <w:rPr>
          <w:rFonts w:hint="eastAsia" w:cs="宋体"/>
          <w:b/>
          <w:u w:val="single"/>
        </w:rPr>
        <w:t>(说明：填写“不存在”或“存在”)</w:t>
      </w:r>
      <w:r>
        <w:rPr>
          <w:rFonts w:hint="eastAsia"/>
        </w:rPr>
        <w:t>和其他供应商在同一合同项下的采购项目中，同时委托同一个自然人、同一家庭的人员、同一单位的人员作为代理人的行为。</w:t>
      </w:r>
    </w:p>
    <w:p>
      <w:pPr>
        <w:pStyle w:val="36"/>
        <w:numPr>
          <w:ilvl w:val="2"/>
          <w:numId w:val="19"/>
        </w:numPr>
        <w:spacing w:line="520" w:lineRule="exact"/>
        <w:ind w:firstLine="480"/>
      </w:pPr>
      <w:r>
        <w:rPr>
          <w:rFonts w:hint="eastAsia" w:cs="宋体"/>
        </w:rPr>
        <w:t>我单位的响应文件</w:t>
      </w:r>
      <w:r>
        <w:rPr>
          <w:rFonts w:hint="eastAsia" w:cs="宋体"/>
          <w:lang w:val="zh-CN"/>
        </w:rPr>
        <w:t>编制</w:t>
      </w:r>
      <w:r>
        <w:rPr>
          <w:rFonts w:hint="eastAsia" w:cs="宋体"/>
        </w:rPr>
        <w:t>单位和个人分别为：</w:t>
      </w:r>
      <w:r>
        <w:rPr>
          <w:rFonts w:hint="eastAsia" w:cs="宋体"/>
          <w:b/>
          <w:bCs/>
          <w:snapToGrid/>
          <w:u w:val="single"/>
        </w:rPr>
        <w:t xml:space="preserve">    </w:t>
      </w:r>
      <w:r>
        <w:rPr>
          <w:rFonts w:hint="eastAsia" w:cs="宋体"/>
          <w:b/>
          <w:bCs/>
          <w:snapToGrid/>
          <w:u w:val="single"/>
          <w:lang w:val="zh-CN"/>
        </w:rPr>
        <w:t>(说明：填写“</w:t>
      </w:r>
      <w:r>
        <w:rPr>
          <w:rFonts w:hint="eastAsia" w:cs="宋体"/>
          <w:b/>
          <w:bCs/>
          <w:u w:val="single"/>
          <w:lang w:val="zh-CN"/>
        </w:rPr>
        <w:t>编制</w:t>
      </w:r>
      <w:r>
        <w:rPr>
          <w:rFonts w:hint="eastAsia" w:cs="宋体"/>
          <w:b/>
          <w:bCs/>
          <w:u w:val="single"/>
        </w:rPr>
        <w:t>单位</w:t>
      </w:r>
      <w:r>
        <w:rPr>
          <w:rFonts w:hint="eastAsia" w:cs="宋体"/>
          <w:b/>
          <w:bCs/>
          <w:snapToGrid/>
          <w:u w:val="single"/>
          <w:lang w:val="zh-CN"/>
        </w:rPr>
        <w:t>名称)；</w:t>
      </w:r>
      <w:r>
        <w:rPr>
          <w:rFonts w:hint="eastAsia" w:cs="宋体"/>
          <w:b/>
          <w:bCs/>
          <w:u w:val="single"/>
        </w:rPr>
        <w:t xml:space="preserve">         (</w:t>
      </w:r>
      <w:r>
        <w:rPr>
          <w:rFonts w:hint="eastAsia" w:cs="宋体"/>
          <w:b/>
          <w:bCs/>
          <w:snapToGrid/>
          <w:u w:val="single"/>
          <w:lang w:val="zh-CN"/>
        </w:rPr>
        <w:t>说明：</w:t>
      </w:r>
      <w:r>
        <w:rPr>
          <w:rFonts w:hint="eastAsia" w:cs="宋体"/>
          <w:b/>
          <w:bCs/>
          <w:snapToGrid/>
          <w:u w:val="single"/>
        </w:rPr>
        <w:t>填写“</w:t>
      </w:r>
      <w:r>
        <w:rPr>
          <w:rFonts w:hint="eastAsia" w:cs="宋体"/>
          <w:b/>
          <w:bCs/>
          <w:u w:val="single"/>
          <w:lang w:val="zh-CN"/>
        </w:rPr>
        <w:t>编制</w:t>
      </w:r>
      <w:r>
        <w:rPr>
          <w:rFonts w:hint="eastAsia" w:cs="宋体"/>
          <w:b/>
          <w:bCs/>
          <w:u w:val="single"/>
        </w:rPr>
        <w:t>个人姓名”)。</w:t>
      </w:r>
    </w:p>
    <w:p>
      <w:pPr>
        <w:pStyle w:val="36"/>
        <w:numPr>
          <w:ilvl w:val="2"/>
          <w:numId w:val="19"/>
        </w:numPr>
        <w:spacing w:line="520" w:lineRule="exact"/>
        <w:ind w:firstLine="480"/>
      </w:pPr>
      <w:r>
        <w:rPr>
          <w:rFonts w:hint="eastAsia"/>
        </w:rPr>
        <w:t>我方响应文件中提供的任何资料和技术、服务、商务等响应承诺情况都是真实的、有效的、合法的。</w:t>
      </w:r>
    </w:p>
    <w:p>
      <w:pPr>
        <w:pStyle w:val="36"/>
        <w:numPr>
          <w:ilvl w:val="2"/>
          <w:numId w:val="19"/>
        </w:numPr>
        <w:spacing w:line="520" w:lineRule="exact"/>
        <w:ind w:firstLine="480"/>
      </w:pPr>
      <w:r>
        <w:rPr>
          <w:rFonts w:hint="eastAsia"/>
        </w:rPr>
        <w:t>我方参加本次采购活动，我方完全同意竞争性磋商文件中关于“磋商费用”、“合同分包”、“合同转包”、“合同定价方式”等实质性要求，并承诺严格按照竞争性磋商文件采购合同要求履行。</w:t>
      </w:r>
    </w:p>
    <w:p>
      <w:pPr>
        <w:pStyle w:val="36"/>
        <w:numPr>
          <w:ilvl w:val="2"/>
          <w:numId w:val="19"/>
        </w:numPr>
        <w:spacing w:line="520" w:lineRule="exact"/>
        <w:ind w:firstLine="480"/>
      </w:pPr>
      <w:r>
        <w:rPr>
          <w:rFonts w:hint="eastAsia"/>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相关技术文档，并提供无限期技术支持，采购人享有永久使用权(含采购人委托第三方在该项目后续开发的使用权)。如我方在项目实施过程中采用非自有的知识产权，我方承诺提供相关技术文档，并提供无限期技术支持，采购人享有永久合法使用的使用权，且不承担该知识产权的相关费用，且在磋商报价中已包括合法获取该知识产权的相关费用。若项目实施过程形成了新的技术成果或知识产权(包括但不限于新开发的计算机软件、在原有软件基础上修改软件架构或增加新功能等的技术改进、新功能开发过程中形成的技术文件等)，应由采购人和供应商共同所有前述科技成果权利或知识产权，供应商承诺采购人享有前述成果权利或知识产权永久合法使用的使用权，且供应商承诺额外承担任何与之有关的费用。</w:t>
      </w:r>
    </w:p>
    <w:p>
      <w:pPr>
        <w:pStyle w:val="46"/>
        <w:spacing w:line="520" w:lineRule="exact"/>
      </w:pPr>
      <w:r>
        <w:rPr>
          <w:rFonts w:hint="eastAsia"/>
        </w:rPr>
        <w:t>我方对上述承诺的内容事项真实性、合法性负责。如经查实上述承诺的内容事项存在虚假，我方自愿接受以提供虚假材料谋取成交所带来的所有法律责任。</w:t>
      </w:r>
    </w:p>
    <w:p>
      <w:pPr>
        <w:pStyle w:val="43"/>
      </w:pPr>
    </w:p>
    <w:p>
      <w:pPr>
        <w:pStyle w:val="46"/>
      </w:pPr>
      <w:r>
        <w:rPr>
          <w:rFonts w:hint="eastAsia"/>
        </w:rPr>
        <w:t>供应商名称：</w:t>
      </w:r>
      <w:r>
        <w:rPr>
          <w:rFonts w:hint="eastAsia"/>
          <w:u w:val="single"/>
        </w:rPr>
        <w:t xml:space="preserve">               </w:t>
      </w:r>
      <w:r>
        <w:rPr>
          <w:rFonts w:hint="eastAsia"/>
        </w:rPr>
        <w:t>(盖章)</w:t>
      </w:r>
    </w:p>
    <w:p>
      <w:pPr>
        <w:pStyle w:val="46"/>
      </w:pPr>
      <w:r>
        <w:rPr>
          <w:rFonts w:hint="eastAsia"/>
        </w:rPr>
        <w:t>法定代表人/单位负责人或授权代表：</w:t>
      </w:r>
      <w:r>
        <w:rPr>
          <w:rFonts w:hint="eastAsia"/>
          <w:u w:val="single"/>
        </w:rPr>
        <w:t xml:space="preserve">            </w:t>
      </w:r>
      <w:r>
        <w:rPr>
          <w:rFonts w:hint="eastAsia"/>
        </w:rPr>
        <w:t>(签字或盖章)</w:t>
      </w:r>
    </w:p>
    <w:p>
      <w:pPr>
        <w:pStyle w:val="46"/>
      </w:pPr>
      <w:r>
        <w:rPr>
          <w:rFonts w:hint="eastAsia"/>
        </w:rPr>
        <w:t>磋商日期：</w:t>
      </w:r>
      <w:r>
        <w:rPr>
          <w:rFonts w:hint="eastAsia"/>
          <w:u w:val="single"/>
        </w:rPr>
        <w:t xml:space="preserve">                  </w:t>
      </w:r>
    </w:p>
    <w:p>
      <w:r>
        <w:rPr>
          <w:rFonts w:hint="eastAsia"/>
        </w:rPr>
        <w:br w:type="page"/>
      </w:r>
    </w:p>
    <w:p>
      <w:pPr>
        <w:pStyle w:val="44"/>
        <w:numPr>
          <w:ilvl w:val="0"/>
          <w:numId w:val="17"/>
        </w:numPr>
        <w:spacing w:before="120" w:after="120"/>
        <w:ind w:firstLine="0"/>
      </w:pPr>
      <w:bookmarkStart w:id="312" w:name="_Toc5378"/>
      <w:bookmarkStart w:id="313" w:name="_Toc5839"/>
      <w:r>
        <w:rPr>
          <w:rFonts w:hint="eastAsia"/>
        </w:rPr>
        <w:t>供应商基本情况表</w:t>
      </w:r>
      <w:bookmarkEnd w:id="304"/>
      <w:bookmarkEnd w:id="305"/>
      <w:bookmarkEnd w:id="306"/>
      <w:bookmarkEnd w:id="307"/>
      <w:bookmarkEnd w:id="308"/>
      <w:bookmarkEnd w:id="309"/>
      <w:bookmarkEnd w:id="312"/>
      <w:bookmarkEnd w:id="313"/>
    </w:p>
    <w:tbl>
      <w:tblPr>
        <w:tblStyle w:val="25"/>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125"/>
        <w:gridCol w:w="1432"/>
        <w:gridCol w:w="1455"/>
        <w:gridCol w:w="1548"/>
        <w:gridCol w:w="186"/>
        <w:gridCol w:w="11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供应商名称</w:t>
            </w:r>
          </w:p>
        </w:tc>
        <w:tc>
          <w:tcPr>
            <w:tcW w:w="8186" w:type="dxa"/>
            <w:gridSpan w:val="7"/>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注册地址</w:t>
            </w:r>
          </w:p>
        </w:tc>
        <w:tc>
          <w:tcPr>
            <w:tcW w:w="4012" w:type="dxa"/>
            <w:gridSpan w:val="3"/>
            <w:vAlign w:val="center"/>
          </w:tcPr>
          <w:p>
            <w:pPr>
              <w:pStyle w:val="45"/>
              <w:spacing w:line="480" w:lineRule="exact"/>
            </w:pPr>
          </w:p>
        </w:tc>
        <w:tc>
          <w:tcPr>
            <w:tcW w:w="1548" w:type="dxa"/>
            <w:vAlign w:val="center"/>
          </w:tcPr>
          <w:p>
            <w:pPr>
              <w:pStyle w:val="45"/>
              <w:spacing w:line="480" w:lineRule="exact"/>
            </w:pPr>
            <w:r>
              <w:rPr>
                <w:rFonts w:hint="eastAsia"/>
              </w:rPr>
              <w:t>邮政编码</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Merge w:val="restart"/>
            <w:vAlign w:val="center"/>
          </w:tcPr>
          <w:p>
            <w:pPr>
              <w:pStyle w:val="45"/>
              <w:spacing w:line="480" w:lineRule="exact"/>
            </w:pPr>
            <w:r>
              <w:rPr>
                <w:rFonts w:hint="eastAsia"/>
              </w:rPr>
              <w:t>联系方式</w:t>
            </w:r>
          </w:p>
        </w:tc>
        <w:tc>
          <w:tcPr>
            <w:tcW w:w="1125" w:type="dxa"/>
            <w:vAlign w:val="center"/>
          </w:tcPr>
          <w:p>
            <w:pPr>
              <w:pStyle w:val="45"/>
              <w:spacing w:line="480" w:lineRule="exact"/>
            </w:pPr>
            <w:r>
              <w:rPr>
                <w:rFonts w:hint="eastAsia"/>
              </w:rPr>
              <w:t>联系人</w:t>
            </w:r>
          </w:p>
        </w:tc>
        <w:tc>
          <w:tcPr>
            <w:tcW w:w="2887" w:type="dxa"/>
            <w:gridSpan w:val="2"/>
            <w:vAlign w:val="center"/>
          </w:tcPr>
          <w:p>
            <w:pPr>
              <w:pStyle w:val="45"/>
              <w:spacing w:line="480" w:lineRule="exact"/>
            </w:pPr>
          </w:p>
        </w:tc>
        <w:tc>
          <w:tcPr>
            <w:tcW w:w="1548" w:type="dxa"/>
            <w:vAlign w:val="center"/>
          </w:tcPr>
          <w:p>
            <w:pPr>
              <w:pStyle w:val="45"/>
              <w:spacing w:line="480" w:lineRule="exact"/>
            </w:pPr>
            <w:r>
              <w:rPr>
                <w:rFonts w:hint="eastAsia"/>
              </w:rPr>
              <w:t>电话</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770" w:type="dxa"/>
            <w:vMerge w:val="continue"/>
            <w:vAlign w:val="center"/>
          </w:tcPr>
          <w:p>
            <w:pPr>
              <w:pStyle w:val="45"/>
              <w:spacing w:line="480" w:lineRule="exact"/>
            </w:pPr>
          </w:p>
        </w:tc>
        <w:tc>
          <w:tcPr>
            <w:tcW w:w="1125" w:type="dxa"/>
            <w:vAlign w:val="center"/>
          </w:tcPr>
          <w:p>
            <w:pPr>
              <w:pStyle w:val="45"/>
              <w:spacing w:line="480" w:lineRule="exact"/>
            </w:pPr>
            <w:r>
              <w:rPr>
                <w:rFonts w:hint="eastAsia"/>
              </w:rPr>
              <w:t>传真</w:t>
            </w:r>
          </w:p>
        </w:tc>
        <w:tc>
          <w:tcPr>
            <w:tcW w:w="2887" w:type="dxa"/>
            <w:gridSpan w:val="2"/>
            <w:vAlign w:val="center"/>
          </w:tcPr>
          <w:p>
            <w:pPr>
              <w:pStyle w:val="45"/>
              <w:spacing w:line="480" w:lineRule="exact"/>
            </w:pPr>
          </w:p>
        </w:tc>
        <w:tc>
          <w:tcPr>
            <w:tcW w:w="1548" w:type="dxa"/>
            <w:vAlign w:val="center"/>
          </w:tcPr>
          <w:p>
            <w:pPr>
              <w:pStyle w:val="45"/>
              <w:spacing w:line="480" w:lineRule="exact"/>
            </w:pPr>
            <w:r>
              <w:rPr>
                <w:rFonts w:hint="eastAsia"/>
              </w:rPr>
              <w:t>网址</w:t>
            </w:r>
          </w:p>
        </w:tc>
        <w:tc>
          <w:tcPr>
            <w:tcW w:w="2626" w:type="dxa"/>
            <w:gridSpan w:val="3"/>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70" w:type="dxa"/>
            <w:vAlign w:val="center"/>
          </w:tcPr>
          <w:p>
            <w:pPr>
              <w:pStyle w:val="45"/>
              <w:spacing w:line="480" w:lineRule="exact"/>
            </w:pPr>
            <w:r>
              <w:rPr>
                <w:rFonts w:hint="eastAsia"/>
              </w:rPr>
              <w:t>法定代表人</w:t>
            </w:r>
          </w:p>
        </w:tc>
        <w:tc>
          <w:tcPr>
            <w:tcW w:w="1125" w:type="dxa"/>
            <w:vAlign w:val="center"/>
          </w:tcPr>
          <w:p>
            <w:pPr>
              <w:pStyle w:val="45"/>
              <w:spacing w:line="480" w:lineRule="exact"/>
            </w:pPr>
            <w:r>
              <w:rPr>
                <w:rFonts w:hint="eastAsia"/>
              </w:rPr>
              <w:t>姓名</w:t>
            </w:r>
          </w:p>
        </w:tc>
        <w:tc>
          <w:tcPr>
            <w:tcW w:w="1432" w:type="dxa"/>
            <w:vAlign w:val="center"/>
          </w:tcPr>
          <w:p>
            <w:pPr>
              <w:pStyle w:val="45"/>
              <w:spacing w:line="480" w:lineRule="exact"/>
            </w:pPr>
          </w:p>
        </w:tc>
        <w:tc>
          <w:tcPr>
            <w:tcW w:w="1455" w:type="dxa"/>
            <w:vAlign w:val="center"/>
          </w:tcPr>
          <w:p>
            <w:pPr>
              <w:pStyle w:val="45"/>
              <w:spacing w:line="480" w:lineRule="exact"/>
            </w:pPr>
            <w:r>
              <w:rPr>
                <w:rFonts w:hint="eastAsia"/>
              </w:rPr>
              <w:t>技术职称</w:t>
            </w:r>
          </w:p>
        </w:tc>
        <w:tc>
          <w:tcPr>
            <w:tcW w:w="1548" w:type="dxa"/>
            <w:vAlign w:val="center"/>
          </w:tcPr>
          <w:p>
            <w:pPr>
              <w:pStyle w:val="45"/>
              <w:spacing w:line="480" w:lineRule="exact"/>
            </w:pPr>
          </w:p>
        </w:tc>
        <w:tc>
          <w:tcPr>
            <w:tcW w:w="1364" w:type="dxa"/>
            <w:gridSpan w:val="2"/>
            <w:vAlign w:val="center"/>
          </w:tcPr>
          <w:p>
            <w:pPr>
              <w:pStyle w:val="45"/>
              <w:spacing w:line="480" w:lineRule="exact"/>
            </w:pPr>
            <w:r>
              <w:rPr>
                <w:rFonts w:hint="eastAsia"/>
              </w:rPr>
              <w:t>电话</w:t>
            </w:r>
          </w:p>
        </w:tc>
        <w:tc>
          <w:tcPr>
            <w:tcW w:w="1262" w:type="dxa"/>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0" w:type="dxa"/>
            <w:vAlign w:val="center"/>
          </w:tcPr>
          <w:p>
            <w:pPr>
              <w:pStyle w:val="45"/>
              <w:spacing w:line="480" w:lineRule="exact"/>
            </w:pPr>
            <w:r>
              <w:rPr>
                <w:rFonts w:hint="eastAsia"/>
              </w:rPr>
              <w:t>技术负责人</w:t>
            </w:r>
          </w:p>
        </w:tc>
        <w:tc>
          <w:tcPr>
            <w:tcW w:w="1125" w:type="dxa"/>
            <w:vAlign w:val="center"/>
          </w:tcPr>
          <w:p>
            <w:pPr>
              <w:pStyle w:val="45"/>
              <w:spacing w:line="480" w:lineRule="exact"/>
            </w:pPr>
            <w:r>
              <w:rPr>
                <w:rFonts w:hint="eastAsia"/>
              </w:rPr>
              <w:t>姓名</w:t>
            </w:r>
          </w:p>
        </w:tc>
        <w:tc>
          <w:tcPr>
            <w:tcW w:w="1432" w:type="dxa"/>
            <w:vAlign w:val="center"/>
          </w:tcPr>
          <w:p>
            <w:pPr>
              <w:pStyle w:val="45"/>
              <w:spacing w:line="480" w:lineRule="exact"/>
            </w:pPr>
          </w:p>
        </w:tc>
        <w:tc>
          <w:tcPr>
            <w:tcW w:w="1455" w:type="dxa"/>
            <w:vAlign w:val="center"/>
          </w:tcPr>
          <w:p>
            <w:pPr>
              <w:pStyle w:val="45"/>
              <w:spacing w:line="480" w:lineRule="exact"/>
            </w:pPr>
            <w:r>
              <w:rPr>
                <w:rFonts w:hint="eastAsia"/>
              </w:rPr>
              <w:t>技术职称</w:t>
            </w:r>
          </w:p>
        </w:tc>
        <w:tc>
          <w:tcPr>
            <w:tcW w:w="1548" w:type="dxa"/>
            <w:vAlign w:val="center"/>
          </w:tcPr>
          <w:p>
            <w:pPr>
              <w:pStyle w:val="45"/>
              <w:spacing w:line="480" w:lineRule="exact"/>
            </w:pPr>
          </w:p>
        </w:tc>
        <w:tc>
          <w:tcPr>
            <w:tcW w:w="1364" w:type="dxa"/>
            <w:gridSpan w:val="2"/>
            <w:vAlign w:val="center"/>
          </w:tcPr>
          <w:p>
            <w:pPr>
              <w:pStyle w:val="45"/>
              <w:spacing w:line="480" w:lineRule="exact"/>
            </w:pPr>
            <w:r>
              <w:rPr>
                <w:rFonts w:hint="eastAsia"/>
              </w:rPr>
              <w:t>电话</w:t>
            </w:r>
          </w:p>
        </w:tc>
        <w:tc>
          <w:tcPr>
            <w:tcW w:w="1262" w:type="dxa"/>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成立时间</w:t>
            </w:r>
          </w:p>
        </w:tc>
        <w:tc>
          <w:tcPr>
            <w:tcW w:w="2557" w:type="dxa"/>
            <w:gridSpan w:val="2"/>
            <w:vAlign w:val="center"/>
          </w:tcPr>
          <w:p>
            <w:pPr>
              <w:pStyle w:val="45"/>
              <w:spacing w:line="480" w:lineRule="exact"/>
            </w:pPr>
          </w:p>
        </w:tc>
        <w:tc>
          <w:tcPr>
            <w:tcW w:w="5629" w:type="dxa"/>
            <w:gridSpan w:val="5"/>
            <w:vAlign w:val="center"/>
          </w:tcPr>
          <w:p>
            <w:pPr>
              <w:pStyle w:val="45"/>
              <w:spacing w:line="480" w:lineRule="exact"/>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企业资质等级</w:t>
            </w:r>
          </w:p>
        </w:tc>
        <w:tc>
          <w:tcPr>
            <w:tcW w:w="2557" w:type="dxa"/>
            <w:gridSpan w:val="2"/>
            <w:vAlign w:val="center"/>
          </w:tcPr>
          <w:p>
            <w:pPr>
              <w:pStyle w:val="45"/>
              <w:spacing w:line="480" w:lineRule="exact"/>
            </w:pPr>
          </w:p>
        </w:tc>
        <w:tc>
          <w:tcPr>
            <w:tcW w:w="1455" w:type="dxa"/>
            <w:vMerge w:val="restart"/>
            <w:vAlign w:val="center"/>
          </w:tcPr>
          <w:p>
            <w:pPr>
              <w:pStyle w:val="45"/>
              <w:spacing w:line="480" w:lineRule="exact"/>
            </w:pPr>
            <w:r>
              <w:rPr>
                <w:rFonts w:hint="eastAsia"/>
              </w:rPr>
              <w:t>其中</w:t>
            </w:r>
          </w:p>
        </w:tc>
        <w:tc>
          <w:tcPr>
            <w:tcW w:w="1734" w:type="dxa"/>
            <w:gridSpan w:val="2"/>
            <w:vAlign w:val="center"/>
          </w:tcPr>
          <w:p>
            <w:pPr>
              <w:pStyle w:val="45"/>
              <w:spacing w:line="480" w:lineRule="exact"/>
            </w:pPr>
            <w:r>
              <w:rPr>
                <w:rFonts w:hint="eastAsia"/>
              </w:rPr>
              <w:t>项目经理</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营业执照号/统一社会信用代码</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高级职称人员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注册资金</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中级职称人员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70" w:type="dxa"/>
            <w:vAlign w:val="center"/>
          </w:tcPr>
          <w:p>
            <w:pPr>
              <w:pStyle w:val="45"/>
              <w:spacing w:line="480" w:lineRule="exact"/>
            </w:pPr>
            <w:r>
              <w:rPr>
                <w:rFonts w:hint="eastAsia"/>
              </w:rPr>
              <w:t>开户银行</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初级职称人员</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770" w:type="dxa"/>
            <w:vAlign w:val="center"/>
          </w:tcPr>
          <w:p>
            <w:pPr>
              <w:pStyle w:val="45"/>
              <w:spacing w:line="480" w:lineRule="exact"/>
            </w:pPr>
            <w:r>
              <w:rPr>
                <w:rFonts w:hint="eastAsia"/>
              </w:rPr>
              <w:t>账号</w:t>
            </w:r>
          </w:p>
        </w:tc>
        <w:tc>
          <w:tcPr>
            <w:tcW w:w="2557" w:type="dxa"/>
            <w:gridSpan w:val="2"/>
            <w:vAlign w:val="center"/>
          </w:tcPr>
          <w:p>
            <w:pPr>
              <w:pStyle w:val="45"/>
              <w:spacing w:line="480" w:lineRule="exact"/>
            </w:pPr>
          </w:p>
        </w:tc>
        <w:tc>
          <w:tcPr>
            <w:tcW w:w="1455" w:type="dxa"/>
            <w:vMerge w:val="continue"/>
            <w:vAlign w:val="center"/>
          </w:tcPr>
          <w:p>
            <w:pPr>
              <w:pStyle w:val="45"/>
              <w:spacing w:line="480" w:lineRule="exact"/>
            </w:pPr>
          </w:p>
        </w:tc>
        <w:tc>
          <w:tcPr>
            <w:tcW w:w="1734" w:type="dxa"/>
            <w:gridSpan w:val="2"/>
            <w:vAlign w:val="center"/>
          </w:tcPr>
          <w:p>
            <w:pPr>
              <w:pStyle w:val="45"/>
              <w:spacing w:line="480" w:lineRule="exact"/>
            </w:pPr>
            <w:r>
              <w:rPr>
                <w:rFonts w:hint="eastAsia"/>
              </w:rPr>
              <w:t>技工</w:t>
            </w:r>
          </w:p>
        </w:tc>
        <w:tc>
          <w:tcPr>
            <w:tcW w:w="2440" w:type="dxa"/>
            <w:gridSpan w:val="2"/>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770" w:type="dxa"/>
            <w:vAlign w:val="center"/>
          </w:tcPr>
          <w:p>
            <w:pPr>
              <w:pStyle w:val="45"/>
              <w:spacing w:line="480" w:lineRule="exact"/>
            </w:pPr>
            <w:r>
              <w:rPr>
                <w:rFonts w:hint="eastAsia"/>
              </w:rPr>
              <w:t>经营范围</w:t>
            </w:r>
          </w:p>
        </w:tc>
        <w:tc>
          <w:tcPr>
            <w:tcW w:w="8186" w:type="dxa"/>
            <w:gridSpan w:val="7"/>
            <w:vAlign w:val="center"/>
          </w:tcPr>
          <w:p>
            <w:pPr>
              <w:pStyle w:val="4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770" w:type="dxa"/>
            <w:vAlign w:val="center"/>
          </w:tcPr>
          <w:p>
            <w:pPr>
              <w:pStyle w:val="45"/>
              <w:spacing w:line="480" w:lineRule="exact"/>
            </w:pPr>
            <w:r>
              <w:rPr>
                <w:rFonts w:hint="eastAsia"/>
              </w:rPr>
              <w:t>备注</w:t>
            </w:r>
          </w:p>
        </w:tc>
        <w:tc>
          <w:tcPr>
            <w:tcW w:w="8186" w:type="dxa"/>
            <w:gridSpan w:val="7"/>
          </w:tcPr>
          <w:p>
            <w:pPr>
              <w:pStyle w:val="45"/>
              <w:spacing w:line="480" w:lineRule="exact"/>
            </w:pPr>
          </w:p>
        </w:tc>
      </w:tr>
    </w:tbl>
    <w:p>
      <w:pPr>
        <w:pStyle w:val="47"/>
        <w:ind w:firstLine="482"/>
      </w:pPr>
      <w:r>
        <w:rPr>
          <w:rFonts w:hint="eastAsia"/>
        </w:rPr>
        <w:t>注：①</w:t>
      </w:r>
      <w:r>
        <w:rPr>
          <w:rFonts w:hint="eastAsia" w:asciiTheme="minorEastAsia" w:hAnsiTheme="minorEastAsia" w:eastAsiaTheme="minorEastAsia" w:cstheme="minorEastAsia"/>
          <w:bCs/>
        </w:rPr>
        <w:t>事业单位、其他组织及自然人磋商根据实际情况据实填写此表，若未填报完善不影响磋商资质及效力；②空白项用“/”填写</w:t>
      </w:r>
      <w:r>
        <w:rPr>
          <w:rFonts w:hint="eastAsia"/>
        </w:rPr>
        <w:t>。</w:t>
      </w: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pPr>
        <w:pStyle w:val="43"/>
      </w:pPr>
    </w:p>
    <w:p>
      <w:pPr>
        <w:pStyle w:val="43"/>
      </w:pPr>
    </w:p>
    <w:p>
      <w:bookmarkStart w:id="314" w:name="_Toc307501130"/>
      <w:bookmarkStart w:id="315" w:name="_Toc7835"/>
      <w:bookmarkStart w:id="316" w:name="_Toc21006"/>
      <w:bookmarkStart w:id="317" w:name="_Toc217446087"/>
      <w:bookmarkStart w:id="318" w:name="_Toc319440166"/>
      <w:bookmarkStart w:id="319" w:name="_Toc307564875"/>
      <w:bookmarkStart w:id="320" w:name="_Toc25577"/>
      <w:bookmarkStart w:id="321" w:name="_Toc11461"/>
      <w:bookmarkStart w:id="322" w:name="_Toc327196310"/>
      <w:bookmarkStart w:id="323" w:name="_Toc319440168"/>
      <w:bookmarkStart w:id="324" w:name="_Toc26124"/>
      <w:bookmarkStart w:id="325" w:name="_Toc327196312"/>
      <w:bookmarkStart w:id="326" w:name="_Toc24507"/>
      <w:r>
        <w:rPr>
          <w:rFonts w:hint="eastAsia"/>
        </w:rPr>
        <w:br w:type="page"/>
      </w:r>
    </w:p>
    <w:p>
      <w:pPr>
        <w:pStyle w:val="44"/>
        <w:numPr>
          <w:ilvl w:val="0"/>
          <w:numId w:val="17"/>
        </w:numPr>
        <w:spacing w:before="120" w:after="120"/>
        <w:ind w:firstLine="0"/>
      </w:pPr>
      <w:bookmarkStart w:id="327" w:name="_Toc22186"/>
      <w:bookmarkStart w:id="328" w:name="_Toc5610"/>
      <w:r>
        <w:rPr>
          <w:rFonts w:hint="eastAsia"/>
        </w:rPr>
        <w:t>商务应答表</w:t>
      </w:r>
      <w:bookmarkEnd w:id="314"/>
      <w:bookmarkEnd w:id="315"/>
      <w:bookmarkEnd w:id="316"/>
      <w:bookmarkEnd w:id="317"/>
      <w:bookmarkEnd w:id="318"/>
      <w:bookmarkEnd w:id="319"/>
      <w:bookmarkEnd w:id="320"/>
      <w:bookmarkEnd w:id="321"/>
      <w:bookmarkEnd w:id="322"/>
      <w:bookmarkEnd w:id="327"/>
      <w:bookmarkEnd w:id="328"/>
    </w:p>
    <w:p>
      <w:pPr>
        <w:pStyle w:val="43"/>
        <w:rPr>
          <w:u w:val="single"/>
        </w:rPr>
      </w:pPr>
      <w:r>
        <w:rPr>
          <w:rFonts w:hint="eastAsia"/>
        </w:rPr>
        <w:t>项目名称：</w:t>
      </w:r>
      <w:r>
        <w:rPr>
          <w:rFonts w:hint="eastAsia"/>
          <w:u w:val="single"/>
        </w:rPr>
        <w:t xml:space="preserve">                             </w:t>
      </w:r>
      <w:r>
        <w:rPr>
          <w:rFonts w:hint="eastAsia"/>
        </w:rPr>
        <w:t xml:space="preserve"> </w:t>
      </w:r>
    </w:p>
    <w:p>
      <w:pPr>
        <w:pStyle w:val="43"/>
      </w:pPr>
      <w:r>
        <w:rPr>
          <w:rFonts w:hint="eastAsia"/>
        </w:rPr>
        <w:t>项目编号：</w:t>
      </w:r>
      <w:r>
        <w:rPr>
          <w:rFonts w:hint="eastAsia"/>
          <w:u w:val="single"/>
        </w:rPr>
        <w:t xml:space="preserve">                             </w:t>
      </w:r>
    </w:p>
    <w:tbl>
      <w:tblPr>
        <w:tblStyle w:val="25"/>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387"/>
        <w:gridCol w:w="357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sz w:val="21"/>
              </w:rPr>
            </w:pPr>
            <w:r>
              <w:rPr>
                <w:rFonts w:hint="eastAsia" w:cs="宋体"/>
                <w:b/>
                <w:bCs/>
                <w:sz w:val="21"/>
              </w:rPr>
              <w:t>序号</w:t>
            </w:r>
          </w:p>
        </w:tc>
        <w:tc>
          <w:tcPr>
            <w:tcW w:w="4387" w:type="dxa"/>
            <w:vAlign w:val="center"/>
          </w:tcPr>
          <w:p>
            <w:pPr>
              <w:wordWrap w:val="0"/>
              <w:topLinePunct/>
              <w:spacing w:line="360" w:lineRule="exact"/>
              <w:jc w:val="center"/>
              <w:rPr>
                <w:rFonts w:cs="宋体"/>
                <w:b/>
                <w:bCs/>
                <w:sz w:val="21"/>
              </w:rPr>
            </w:pPr>
            <w:r>
              <w:rPr>
                <w:rFonts w:hint="eastAsia" w:cs="宋体"/>
                <w:b/>
                <w:bCs/>
                <w:sz w:val="21"/>
              </w:rPr>
              <w:t>竞争性磋商文件第五章商务要求，第八章采购合同</w:t>
            </w:r>
          </w:p>
        </w:tc>
        <w:tc>
          <w:tcPr>
            <w:tcW w:w="3574" w:type="dxa"/>
            <w:vAlign w:val="center"/>
          </w:tcPr>
          <w:p>
            <w:pPr>
              <w:wordWrap w:val="0"/>
              <w:topLinePunct/>
              <w:spacing w:line="360" w:lineRule="exact"/>
              <w:jc w:val="center"/>
              <w:rPr>
                <w:rFonts w:cs="宋体"/>
                <w:b/>
                <w:bCs/>
                <w:sz w:val="21"/>
              </w:rPr>
            </w:pPr>
            <w:r>
              <w:rPr>
                <w:rFonts w:hint="eastAsia" w:cs="宋体"/>
                <w:b/>
                <w:bCs/>
                <w:sz w:val="21"/>
              </w:rPr>
              <w:t>响应情况</w:t>
            </w:r>
          </w:p>
        </w:tc>
        <w:tc>
          <w:tcPr>
            <w:tcW w:w="1223" w:type="dxa"/>
            <w:vAlign w:val="center"/>
          </w:tcPr>
          <w:p>
            <w:pPr>
              <w:wordWrap w:val="0"/>
              <w:topLinePunct/>
              <w:spacing w:line="360" w:lineRule="exact"/>
              <w:jc w:val="center"/>
              <w:rPr>
                <w:rFonts w:cs="宋体"/>
                <w:b/>
                <w:bCs/>
                <w:sz w:val="21"/>
              </w:rPr>
            </w:pPr>
            <w:r>
              <w:rPr>
                <w:rFonts w:hint="eastAsia" w:cs="宋体"/>
                <w:b/>
                <w:bCs/>
                <w:sz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sz w:val="21"/>
              </w:rPr>
            </w:pPr>
            <w:r>
              <w:rPr>
                <w:rFonts w:hint="eastAsia" w:cs="宋体"/>
                <w:sz w:val="21"/>
              </w:rPr>
              <w:t>我公司承诺</w:t>
            </w:r>
            <w:r>
              <w:rPr>
                <w:rFonts w:hint="eastAsia" w:cs="宋体"/>
                <w:sz w:val="21"/>
                <w:u w:val="single"/>
              </w:rPr>
              <w:t xml:space="preserve">       </w:t>
            </w:r>
            <w:r>
              <w:rPr>
                <w:rFonts w:hint="eastAsia" w:cs="宋体"/>
                <w:sz w:val="21"/>
              </w:rPr>
              <w:t>(响应/不响应)</w:t>
            </w:r>
            <w:r>
              <w:rPr>
                <w:rFonts w:hint="eastAsia" w:cs="宋体"/>
                <w:sz w:val="21"/>
                <w:szCs w:val="21"/>
              </w:rPr>
              <w:t>竞争性磋商文件第五章商务要求，第八章采购合同的所有条款，如有偏离的条款，均已在下方列出。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387" w:type="dxa"/>
          </w:tcPr>
          <w:p>
            <w:pPr>
              <w:wordWrap w:val="0"/>
              <w:topLinePunct/>
              <w:spacing w:line="360" w:lineRule="exact"/>
              <w:jc w:val="center"/>
              <w:rPr>
                <w:rFonts w:cs="宋体"/>
                <w:b/>
                <w:bCs/>
                <w:sz w:val="21"/>
              </w:rPr>
            </w:pPr>
          </w:p>
        </w:tc>
        <w:tc>
          <w:tcPr>
            <w:tcW w:w="3574"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bl>
    <w:p>
      <w:pPr>
        <w:pStyle w:val="47"/>
        <w:spacing w:line="520" w:lineRule="exact"/>
        <w:ind w:firstLine="482"/>
        <w:rPr>
          <w:rFonts w:cs="宋体"/>
          <w:b w:val="0"/>
          <w:bCs/>
        </w:rPr>
      </w:pPr>
      <w:r>
        <w:rPr>
          <w:rFonts w:hint="eastAsia" w:cs="宋体"/>
        </w:rPr>
        <w:t>注：</w:t>
      </w:r>
      <w:r>
        <w:rPr>
          <w:rFonts w:hint="eastAsia" w:cs="宋体"/>
          <w:b w:val="0"/>
          <w:bCs/>
        </w:rPr>
        <w:t>①如与竞争性磋商文件第五章商务要求 ，第八章采购合同条款有偏离(包括正偏离和负偏离)，</w:t>
      </w:r>
      <w:r>
        <w:rPr>
          <w:rFonts w:hint="eastAsia" w:cs="宋体"/>
        </w:rPr>
        <w:t>请将偏离条款逐条应答</w:t>
      </w:r>
      <w:r>
        <w:rPr>
          <w:rFonts w:hint="eastAsia" w:cs="宋体"/>
          <w:b w:val="0"/>
          <w:bCs/>
        </w:rPr>
        <w:t>，未在此表中进行应答或未明确偏离的条款视为默认完全响应和接受，供应商不得以未作应答而拒不接受</w:t>
      </w:r>
      <w:r>
        <w:rPr>
          <w:rFonts w:hint="eastAsia"/>
        </w:rPr>
        <w:t>(要求提供承诺函或证明材料的条款，以供应商提供的承诺函内容或证明材料为准)</w:t>
      </w:r>
      <w:r>
        <w:rPr>
          <w:rFonts w:hint="eastAsia" w:cs="宋体"/>
          <w:b w:val="0"/>
          <w:bCs/>
        </w:rPr>
        <w:t>。</w:t>
      </w:r>
    </w:p>
    <w:p>
      <w:pPr>
        <w:pStyle w:val="47"/>
        <w:spacing w:line="520" w:lineRule="exact"/>
        <w:rPr>
          <w:rFonts w:cs="宋体"/>
          <w:b w:val="0"/>
          <w:bCs/>
        </w:rPr>
      </w:pPr>
      <w:r>
        <w:rPr>
          <w:rFonts w:hint="eastAsia" w:cs="宋体"/>
          <w:b w:val="0"/>
          <w:bCs/>
        </w:rPr>
        <w:t>②供应商必须据实填写有偏离的条款，不得虚假应答，否则将取消其成交资格。</w:t>
      </w:r>
    </w:p>
    <w:p>
      <w:pPr>
        <w:pStyle w:val="43"/>
        <w:ind w:firstLine="480" w:firstLineChars="200"/>
      </w:pPr>
      <w:r>
        <w:rPr>
          <w:rFonts w:hint="eastAsia" w:cs="宋体"/>
          <w:bCs/>
        </w:rPr>
        <w:t>③评审时如对供应商响应文件中商务应答的内容存在歧义的，可要求供应商进行澄清</w:t>
      </w:r>
      <w:r>
        <w:rPr>
          <w:rFonts w:hint="eastAsia"/>
        </w:rPr>
        <w:t>。</w:t>
      </w: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r>
        <w:rPr>
          <w:rFonts w:hint="eastAsia"/>
        </w:rPr>
        <w:t xml:space="preserve">             </w:t>
      </w:r>
    </w:p>
    <w:p>
      <w:pPr>
        <w:pStyle w:val="43"/>
      </w:pPr>
      <w:r>
        <w:rPr>
          <w:rFonts w:hint="eastAsia"/>
        </w:rPr>
        <w:br w:type="page"/>
      </w:r>
    </w:p>
    <w:p>
      <w:pPr>
        <w:pStyle w:val="44"/>
        <w:numPr>
          <w:ilvl w:val="0"/>
          <w:numId w:val="17"/>
        </w:numPr>
        <w:spacing w:before="120" w:after="120"/>
        <w:ind w:firstLine="0"/>
      </w:pPr>
      <w:bookmarkStart w:id="329" w:name="_Toc25122"/>
      <w:bookmarkStart w:id="330" w:name="_Toc23376"/>
      <w:bookmarkStart w:id="331" w:name="_Toc3995"/>
      <w:bookmarkStart w:id="332" w:name="_Toc11251"/>
      <w:bookmarkStart w:id="333" w:name="_Toc9693"/>
      <w:r>
        <w:rPr>
          <w:rFonts w:hint="eastAsia"/>
        </w:rPr>
        <w:t>服务应答表</w:t>
      </w:r>
      <w:bookmarkEnd w:id="329"/>
      <w:bookmarkEnd w:id="330"/>
      <w:bookmarkEnd w:id="331"/>
      <w:bookmarkEnd w:id="332"/>
      <w:bookmarkEnd w:id="333"/>
    </w:p>
    <w:p>
      <w:pPr>
        <w:pStyle w:val="43"/>
      </w:pPr>
      <w:r>
        <w:rPr>
          <w:rFonts w:hint="eastAsia"/>
        </w:rPr>
        <w:t>项目名称：</w:t>
      </w:r>
      <w:r>
        <w:rPr>
          <w:rFonts w:hint="eastAsia"/>
          <w:u w:val="single"/>
        </w:rPr>
        <w:t xml:space="preserve">                        </w:t>
      </w:r>
      <w:r>
        <w:rPr>
          <w:rFonts w:hint="eastAsia"/>
        </w:rPr>
        <w:t xml:space="preserve">      </w:t>
      </w:r>
    </w:p>
    <w:p>
      <w:pPr>
        <w:pStyle w:val="43"/>
        <w:rPr>
          <w:u w:val="single"/>
        </w:rPr>
      </w:pPr>
      <w:r>
        <w:rPr>
          <w:rFonts w:hint="eastAsia"/>
        </w:rPr>
        <w:t>项目编号：</w:t>
      </w:r>
      <w:r>
        <w:rPr>
          <w:rFonts w:hint="eastAsia"/>
          <w:u w:val="single"/>
        </w:rPr>
        <w:t xml:space="preserve">                        </w:t>
      </w:r>
    </w:p>
    <w:tbl>
      <w:tblPr>
        <w:tblStyle w:val="25"/>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061"/>
        <w:gridCol w:w="390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1" w:type="dxa"/>
            <w:vAlign w:val="center"/>
          </w:tcPr>
          <w:p>
            <w:pPr>
              <w:wordWrap w:val="0"/>
              <w:topLinePunct/>
              <w:spacing w:line="360" w:lineRule="exact"/>
              <w:jc w:val="center"/>
              <w:rPr>
                <w:rFonts w:cs="宋体"/>
                <w:b/>
                <w:bCs/>
                <w:sz w:val="21"/>
              </w:rPr>
            </w:pPr>
            <w:r>
              <w:rPr>
                <w:rFonts w:hint="eastAsia" w:cs="宋体"/>
                <w:b/>
                <w:bCs/>
                <w:sz w:val="21"/>
              </w:rPr>
              <w:t>序号</w:t>
            </w:r>
          </w:p>
        </w:tc>
        <w:tc>
          <w:tcPr>
            <w:tcW w:w="4061" w:type="dxa"/>
            <w:vAlign w:val="center"/>
          </w:tcPr>
          <w:p>
            <w:pPr>
              <w:wordWrap w:val="0"/>
              <w:topLinePunct/>
              <w:spacing w:line="360" w:lineRule="exact"/>
              <w:jc w:val="center"/>
              <w:rPr>
                <w:rFonts w:cs="宋体"/>
                <w:b/>
                <w:bCs/>
                <w:sz w:val="21"/>
              </w:rPr>
            </w:pPr>
            <w:r>
              <w:rPr>
                <w:rFonts w:hint="eastAsia" w:cs="宋体"/>
                <w:b/>
                <w:bCs/>
                <w:sz w:val="21"/>
              </w:rPr>
              <w:t>竞争性磋商文件第五章技术及服务要求</w:t>
            </w:r>
          </w:p>
        </w:tc>
        <w:tc>
          <w:tcPr>
            <w:tcW w:w="3900" w:type="dxa"/>
            <w:vAlign w:val="center"/>
          </w:tcPr>
          <w:p>
            <w:pPr>
              <w:wordWrap w:val="0"/>
              <w:topLinePunct/>
              <w:spacing w:line="360" w:lineRule="exact"/>
              <w:jc w:val="center"/>
              <w:rPr>
                <w:rFonts w:cs="宋体"/>
                <w:b/>
                <w:bCs/>
                <w:sz w:val="21"/>
              </w:rPr>
            </w:pPr>
            <w:r>
              <w:rPr>
                <w:rFonts w:hint="eastAsia" w:cs="宋体"/>
                <w:b/>
                <w:bCs/>
                <w:sz w:val="21"/>
              </w:rPr>
              <w:t>响应情况</w:t>
            </w:r>
          </w:p>
        </w:tc>
        <w:tc>
          <w:tcPr>
            <w:tcW w:w="1223" w:type="dxa"/>
            <w:vAlign w:val="center"/>
          </w:tcPr>
          <w:p>
            <w:pPr>
              <w:wordWrap w:val="0"/>
              <w:topLinePunct/>
              <w:spacing w:line="360" w:lineRule="exact"/>
              <w:jc w:val="center"/>
              <w:rPr>
                <w:rFonts w:cs="宋体"/>
                <w:b/>
                <w:bCs/>
                <w:sz w:val="21"/>
              </w:rPr>
            </w:pPr>
            <w:r>
              <w:rPr>
                <w:rFonts w:hint="eastAsia" w:cs="宋体"/>
                <w:b/>
                <w:bCs/>
                <w:sz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05" w:type="dxa"/>
            <w:gridSpan w:val="4"/>
          </w:tcPr>
          <w:p>
            <w:pPr>
              <w:wordWrap w:val="0"/>
              <w:topLinePunct/>
              <w:spacing w:line="360" w:lineRule="exact"/>
              <w:rPr>
                <w:rFonts w:cs="宋体"/>
                <w:b/>
                <w:bCs/>
                <w:sz w:val="21"/>
              </w:rPr>
            </w:pPr>
            <w:r>
              <w:rPr>
                <w:rFonts w:hint="eastAsia" w:cs="宋体"/>
                <w:sz w:val="21"/>
              </w:rPr>
              <w:t>我公司承诺</w:t>
            </w:r>
            <w:r>
              <w:rPr>
                <w:rFonts w:hint="eastAsia" w:cs="宋体"/>
                <w:sz w:val="21"/>
                <w:u w:val="single"/>
              </w:rPr>
              <w:t xml:space="preserve">       </w:t>
            </w:r>
            <w:r>
              <w:rPr>
                <w:rFonts w:hint="eastAsia" w:cs="宋体"/>
                <w:sz w:val="21"/>
              </w:rPr>
              <w:t>(响应/不响应)</w:t>
            </w:r>
            <w:r>
              <w:rPr>
                <w:rFonts w:hint="eastAsia" w:cs="宋体"/>
                <w:sz w:val="21"/>
                <w:szCs w:val="21"/>
              </w:rPr>
              <w:t>竞争性磋商文件第五章</w:t>
            </w:r>
            <w:r>
              <w:rPr>
                <w:rFonts w:hint="eastAsia" w:cs="宋体"/>
                <w:b/>
                <w:bCs/>
                <w:sz w:val="21"/>
              </w:rPr>
              <w:t>服务要求</w:t>
            </w:r>
            <w:r>
              <w:rPr>
                <w:rFonts w:hint="eastAsia" w:cs="宋体"/>
                <w:sz w:val="21"/>
                <w:szCs w:val="21"/>
              </w:rPr>
              <w:t>的所有条款，如有偏离的条款，均已在下方列出。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21" w:type="dxa"/>
          </w:tcPr>
          <w:p>
            <w:pPr>
              <w:wordWrap w:val="0"/>
              <w:topLinePunct/>
              <w:spacing w:line="360" w:lineRule="exact"/>
              <w:jc w:val="center"/>
              <w:rPr>
                <w:rFonts w:cs="宋体"/>
                <w:b/>
                <w:bCs/>
                <w:sz w:val="21"/>
              </w:rPr>
            </w:pPr>
          </w:p>
        </w:tc>
        <w:tc>
          <w:tcPr>
            <w:tcW w:w="4061" w:type="dxa"/>
          </w:tcPr>
          <w:p>
            <w:pPr>
              <w:wordWrap w:val="0"/>
              <w:topLinePunct/>
              <w:spacing w:line="360" w:lineRule="exact"/>
              <w:jc w:val="center"/>
              <w:rPr>
                <w:rFonts w:cs="宋体"/>
                <w:b/>
                <w:bCs/>
                <w:sz w:val="21"/>
              </w:rPr>
            </w:pPr>
          </w:p>
        </w:tc>
        <w:tc>
          <w:tcPr>
            <w:tcW w:w="3900" w:type="dxa"/>
          </w:tcPr>
          <w:p>
            <w:pPr>
              <w:wordWrap w:val="0"/>
              <w:topLinePunct/>
              <w:spacing w:line="360" w:lineRule="exact"/>
              <w:jc w:val="center"/>
              <w:rPr>
                <w:rFonts w:cs="宋体"/>
                <w:b/>
                <w:bCs/>
                <w:sz w:val="21"/>
              </w:rPr>
            </w:pPr>
          </w:p>
        </w:tc>
        <w:tc>
          <w:tcPr>
            <w:tcW w:w="1223" w:type="dxa"/>
          </w:tcPr>
          <w:p>
            <w:pPr>
              <w:wordWrap w:val="0"/>
              <w:topLinePunct/>
              <w:spacing w:line="360" w:lineRule="exact"/>
              <w:jc w:val="center"/>
              <w:rPr>
                <w:rFonts w:cs="宋体"/>
                <w:b/>
                <w:bCs/>
                <w:sz w:val="21"/>
              </w:rPr>
            </w:pPr>
          </w:p>
        </w:tc>
      </w:tr>
    </w:tbl>
    <w:p>
      <w:pPr>
        <w:wordWrap w:val="0"/>
        <w:topLinePunct/>
        <w:spacing w:line="520" w:lineRule="exact"/>
        <w:ind w:firstLine="482" w:firstLineChars="200"/>
        <w:rPr>
          <w:rFonts w:cs="宋体"/>
          <w:bCs/>
          <w:snapToGrid w:val="0"/>
        </w:rPr>
      </w:pPr>
      <w:r>
        <w:rPr>
          <w:rFonts w:hint="eastAsia" w:cs="宋体"/>
          <w:b/>
          <w:snapToGrid w:val="0"/>
        </w:rPr>
        <w:t>注：</w:t>
      </w:r>
      <w:r>
        <w:rPr>
          <w:rFonts w:hint="eastAsia" w:cs="宋体"/>
          <w:bCs/>
          <w:snapToGrid w:val="0"/>
        </w:rPr>
        <w:t>①供应商必须据实填写有偏离的条款，不得虚假应答，否则将取消其成交资格。</w:t>
      </w:r>
    </w:p>
    <w:p>
      <w:pPr>
        <w:wordWrap w:val="0"/>
        <w:topLinePunct/>
        <w:spacing w:line="520" w:lineRule="exact"/>
        <w:ind w:firstLine="480" w:firstLineChars="200"/>
        <w:rPr>
          <w:rFonts w:cs="宋体"/>
          <w:bCs/>
          <w:snapToGrid w:val="0"/>
        </w:rPr>
      </w:pPr>
      <w:r>
        <w:rPr>
          <w:rFonts w:hint="eastAsia" w:cs="宋体"/>
          <w:bCs/>
          <w:snapToGrid w:val="0"/>
        </w:rPr>
        <w:t>②如与竞争性磋商文件第五章服务要求的条款内容有偏离(包括正偏离和负偏离)，</w:t>
      </w:r>
      <w:r>
        <w:rPr>
          <w:rFonts w:hint="eastAsia" w:cs="宋体"/>
          <w:b/>
          <w:snapToGrid w:val="0"/>
        </w:rPr>
        <w:t>请将偏离条款逐条应答</w:t>
      </w:r>
      <w:r>
        <w:rPr>
          <w:rFonts w:hint="eastAsia" w:cs="宋体"/>
          <w:bCs/>
          <w:snapToGrid w:val="0"/>
        </w:rPr>
        <w:t>，未在此表中进行应答或未明确偏离的条款视为默认完全响应和接受，供应商不得以未作应答而拒不接受</w:t>
      </w:r>
      <w:r>
        <w:rPr>
          <w:rFonts w:hint="eastAsia"/>
          <w:b/>
          <w:snapToGrid w:val="0"/>
        </w:rPr>
        <w:t>(要求提供承诺函或证明材料的条款，以供应商提供的承诺函内容或证明材料为准)</w:t>
      </w:r>
      <w:r>
        <w:rPr>
          <w:rFonts w:hint="eastAsia" w:cs="宋体"/>
          <w:bCs/>
          <w:snapToGrid w:val="0"/>
        </w:rPr>
        <w:t>。</w:t>
      </w:r>
    </w:p>
    <w:p>
      <w:pPr>
        <w:pStyle w:val="47"/>
        <w:ind w:firstLine="482"/>
      </w:pPr>
      <w:r>
        <w:rPr>
          <w:rFonts w:hint="eastAsia" w:cs="宋体"/>
          <w:bCs/>
        </w:rPr>
        <w:t>③评审时如对供应商响应文件中服务应答的内容存在歧义的，可要求供应商进行澄清</w:t>
      </w:r>
      <w:r>
        <w:rPr>
          <w:rFonts w:hint="eastAsia"/>
        </w:rPr>
        <w:t>。</w:t>
      </w:r>
    </w:p>
    <w:p>
      <w:pPr>
        <w:pStyle w:val="43"/>
      </w:pP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bCs/>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pStyle w:val="46"/>
      </w:pPr>
      <w:r>
        <w:rPr>
          <w:rFonts w:hint="eastAsia"/>
        </w:rPr>
        <w:t>磋商日期：</w:t>
      </w:r>
      <w:r>
        <w:rPr>
          <w:rFonts w:hint="eastAsia" w:asciiTheme="minorEastAsia" w:hAnsiTheme="minorEastAsia" w:eastAsiaTheme="minorEastAsia" w:cstheme="minorEastAsia"/>
          <w:bCs/>
          <w:u w:val="single"/>
        </w:rPr>
        <w:t xml:space="preserve">                 </w:t>
      </w:r>
    </w:p>
    <w:p>
      <w:pPr>
        <w:pStyle w:val="43"/>
      </w:pPr>
      <w:r>
        <w:rPr>
          <w:rFonts w:hint="eastAsia"/>
        </w:rPr>
        <w:br w:type="page"/>
      </w:r>
    </w:p>
    <w:bookmarkEnd w:id="323"/>
    <w:bookmarkEnd w:id="324"/>
    <w:bookmarkEnd w:id="325"/>
    <w:p>
      <w:pPr>
        <w:pStyle w:val="44"/>
        <w:numPr>
          <w:ilvl w:val="0"/>
          <w:numId w:val="17"/>
        </w:numPr>
        <w:spacing w:before="120" w:after="120"/>
        <w:ind w:firstLine="0"/>
      </w:pPr>
      <w:bookmarkStart w:id="334" w:name="_Toc3835"/>
      <w:bookmarkStart w:id="335" w:name="_Toc2737"/>
      <w:bookmarkStart w:id="336" w:name="_Toc23430"/>
      <w:bookmarkStart w:id="337" w:name="_Toc26522"/>
      <w:r>
        <w:rPr>
          <w:rFonts w:hint="eastAsia"/>
        </w:rPr>
        <w:t>供应商针对本项目人员配置情况表</w:t>
      </w:r>
      <w:bookmarkEnd w:id="334"/>
      <w:bookmarkEnd w:id="335"/>
    </w:p>
    <w:p>
      <w:pPr>
        <w:pStyle w:val="43"/>
      </w:pPr>
      <w:r>
        <w:rPr>
          <w:rFonts w:hint="eastAsia"/>
        </w:rPr>
        <w:t>项目名称：</w:t>
      </w:r>
      <w:r>
        <w:rPr>
          <w:rFonts w:hint="eastAsia"/>
          <w:u w:val="single"/>
        </w:rPr>
        <w:t xml:space="preserve">                              </w:t>
      </w:r>
    </w:p>
    <w:p>
      <w:pPr>
        <w:pStyle w:val="43"/>
        <w:rPr>
          <w:u w:val="single"/>
        </w:rPr>
      </w:pPr>
      <w:r>
        <w:rPr>
          <w:rFonts w:hint="eastAsia"/>
        </w:rPr>
        <w:t>项目编号：</w:t>
      </w:r>
      <w:r>
        <w:rPr>
          <w:rFonts w:hint="eastAsia"/>
          <w:u w:val="single"/>
        </w:rPr>
        <w:t xml:space="preserve">                              </w:t>
      </w:r>
    </w:p>
    <w:tbl>
      <w:tblPr>
        <w:tblStyle w:val="2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8"/>
        <w:gridCol w:w="921"/>
        <w:gridCol w:w="923"/>
        <w:gridCol w:w="922"/>
        <w:gridCol w:w="1436"/>
        <w:gridCol w:w="1022"/>
        <w:gridCol w:w="123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restart"/>
            <w:vAlign w:val="center"/>
          </w:tcPr>
          <w:p>
            <w:pPr>
              <w:pStyle w:val="45"/>
              <w:rPr>
                <w:b/>
                <w:bCs/>
              </w:rPr>
            </w:pPr>
            <w:r>
              <w:rPr>
                <w:rFonts w:hint="eastAsia"/>
                <w:b/>
                <w:bCs/>
              </w:rPr>
              <w:t>类别</w:t>
            </w:r>
          </w:p>
        </w:tc>
        <w:tc>
          <w:tcPr>
            <w:tcW w:w="1018" w:type="dxa"/>
            <w:vMerge w:val="restart"/>
            <w:vAlign w:val="center"/>
          </w:tcPr>
          <w:p>
            <w:pPr>
              <w:pStyle w:val="45"/>
              <w:rPr>
                <w:b/>
                <w:bCs/>
              </w:rPr>
            </w:pPr>
            <w:r>
              <w:rPr>
                <w:rFonts w:hint="eastAsia"/>
                <w:b/>
                <w:bCs/>
              </w:rPr>
              <w:t>职务</w:t>
            </w:r>
          </w:p>
          <w:p>
            <w:pPr>
              <w:pStyle w:val="45"/>
              <w:rPr>
                <w:b/>
                <w:bCs/>
              </w:rPr>
            </w:pPr>
            <w:r>
              <w:rPr>
                <w:rFonts w:hint="eastAsia"/>
                <w:b/>
                <w:bCs/>
              </w:rPr>
              <w:t>(岗位)</w:t>
            </w:r>
          </w:p>
        </w:tc>
        <w:tc>
          <w:tcPr>
            <w:tcW w:w="921" w:type="dxa"/>
            <w:vMerge w:val="restart"/>
            <w:vAlign w:val="center"/>
          </w:tcPr>
          <w:p>
            <w:pPr>
              <w:pStyle w:val="45"/>
              <w:rPr>
                <w:b/>
                <w:bCs/>
              </w:rPr>
            </w:pPr>
            <w:r>
              <w:rPr>
                <w:rFonts w:hint="eastAsia"/>
                <w:b/>
                <w:bCs/>
              </w:rPr>
              <w:t>姓名</w:t>
            </w:r>
          </w:p>
        </w:tc>
        <w:tc>
          <w:tcPr>
            <w:tcW w:w="923" w:type="dxa"/>
            <w:vMerge w:val="restart"/>
            <w:vAlign w:val="center"/>
          </w:tcPr>
          <w:p>
            <w:pPr>
              <w:pStyle w:val="45"/>
              <w:rPr>
                <w:b/>
                <w:bCs/>
              </w:rPr>
            </w:pPr>
            <w:r>
              <w:rPr>
                <w:rFonts w:hint="eastAsia"/>
                <w:b/>
                <w:bCs/>
              </w:rPr>
              <w:t>职称</w:t>
            </w:r>
          </w:p>
        </w:tc>
        <w:tc>
          <w:tcPr>
            <w:tcW w:w="922" w:type="dxa"/>
            <w:vMerge w:val="restart"/>
            <w:vAlign w:val="center"/>
          </w:tcPr>
          <w:p>
            <w:pPr>
              <w:pStyle w:val="45"/>
              <w:rPr>
                <w:b/>
                <w:bCs/>
              </w:rPr>
            </w:pPr>
            <w:r>
              <w:rPr>
                <w:rFonts w:hint="eastAsia"/>
                <w:b/>
                <w:bCs/>
              </w:rPr>
              <w:t>常住地</w:t>
            </w:r>
          </w:p>
        </w:tc>
        <w:tc>
          <w:tcPr>
            <w:tcW w:w="4919" w:type="dxa"/>
            <w:gridSpan w:val="4"/>
            <w:vAlign w:val="center"/>
          </w:tcPr>
          <w:p>
            <w:pPr>
              <w:pStyle w:val="45"/>
              <w:rPr>
                <w:b/>
                <w:bCs/>
              </w:rPr>
            </w:pPr>
            <w:r>
              <w:rPr>
                <w:rFonts w:hint="eastAsia"/>
                <w:b/>
                <w:bCs/>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continue"/>
            <w:vAlign w:val="center"/>
          </w:tcPr>
          <w:p>
            <w:pPr>
              <w:pStyle w:val="45"/>
              <w:rPr>
                <w:b/>
                <w:bCs/>
              </w:rPr>
            </w:pPr>
          </w:p>
        </w:tc>
        <w:tc>
          <w:tcPr>
            <w:tcW w:w="1018" w:type="dxa"/>
            <w:vMerge w:val="continue"/>
            <w:vAlign w:val="center"/>
          </w:tcPr>
          <w:p>
            <w:pPr>
              <w:pStyle w:val="45"/>
              <w:rPr>
                <w:b/>
                <w:bCs/>
              </w:rPr>
            </w:pPr>
          </w:p>
        </w:tc>
        <w:tc>
          <w:tcPr>
            <w:tcW w:w="921" w:type="dxa"/>
            <w:vMerge w:val="continue"/>
            <w:vAlign w:val="center"/>
          </w:tcPr>
          <w:p>
            <w:pPr>
              <w:pStyle w:val="45"/>
              <w:rPr>
                <w:b/>
                <w:bCs/>
              </w:rPr>
            </w:pPr>
          </w:p>
        </w:tc>
        <w:tc>
          <w:tcPr>
            <w:tcW w:w="923" w:type="dxa"/>
            <w:vMerge w:val="continue"/>
            <w:vAlign w:val="center"/>
          </w:tcPr>
          <w:p>
            <w:pPr>
              <w:pStyle w:val="45"/>
              <w:rPr>
                <w:b/>
                <w:bCs/>
              </w:rPr>
            </w:pPr>
          </w:p>
        </w:tc>
        <w:tc>
          <w:tcPr>
            <w:tcW w:w="922" w:type="dxa"/>
            <w:vMerge w:val="continue"/>
            <w:vAlign w:val="center"/>
          </w:tcPr>
          <w:p>
            <w:pPr>
              <w:pStyle w:val="45"/>
              <w:rPr>
                <w:b/>
                <w:bCs/>
              </w:rPr>
            </w:pPr>
          </w:p>
        </w:tc>
        <w:tc>
          <w:tcPr>
            <w:tcW w:w="1436" w:type="dxa"/>
            <w:vAlign w:val="center"/>
          </w:tcPr>
          <w:p>
            <w:pPr>
              <w:pStyle w:val="45"/>
              <w:rPr>
                <w:b/>
                <w:bCs/>
              </w:rPr>
            </w:pPr>
            <w:r>
              <w:rPr>
                <w:rFonts w:hint="eastAsia"/>
                <w:b/>
                <w:bCs/>
              </w:rPr>
              <w:t>证书名称</w:t>
            </w:r>
          </w:p>
        </w:tc>
        <w:tc>
          <w:tcPr>
            <w:tcW w:w="1022" w:type="dxa"/>
            <w:vAlign w:val="center"/>
          </w:tcPr>
          <w:p>
            <w:pPr>
              <w:pStyle w:val="45"/>
              <w:rPr>
                <w:b/>
                <w:bCs/>
              </w:rPr>
            </w:pPr>
            <w:r>
              <w:rPr>
                <w:rFonts w:hint="eastAsia"/>
                <w:b/>
                <w:bCs/>
              </w:rPr>
              <w:t>级别</w:t>
            </w:r>
          </w:p>
        </w:tc>
        <w:tc>
          <w:tcPr>
            <w:tcW w:w="1232" w:type="dxa"/>
            <w:vAlign w:val="center"/>
          </w:tcPr>
          <w:p>
            <w:pPr>
              <w:pStyle w:val="45"/>
              <w:rPr>
                <w:b/>
                <w:bCs/>
              </w:rPr>
            </w:pPr>
            <w:r>
              <w:rPr>
                <w:rFonts w:hint="eastAsia"/>
                <w:b/>
                <w:bCs/>
              </w:rPr>
              <w:t>证号</w:t>
            </w:r>
          </w:p>
        </w:tc>
        <w:tc>
          <w:tcPr>
            <w:tcW w:w="1229" w:type="dxa"/>
            <w:vAlign w:val="center"/>
          </w:tcPr>
          <w:p>
            <w:pPr>
              <w:pStyle w:val="45"/>
              <w:rPr>
                <w:b/>
                <w:bCs/>
              </w:rPr>
            </w:pPr>
            <w:r>
              <w:rPr>
                <w:rFonts w:hint="eastAsia"/>
                <w:b/>
                <w:bCs/>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253" w:type="dxa"/>
            <w:vMerge w:val="continue"/>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tcPr>
          <w:p>
            <w:pPr>
              <w:pStyle w:val="45"/>
            </w:pPr>
          </w:p>
        </w:tc>
        <w:tc>
          <w:tcPr>
            <w:tcW w:w="1018" w:type="dxa"/>
          </w:tcPr>
          <w:p>
            <w:pPr>
              <w:pStyle w:val="45"/>
            </w:pPr>
          </w:p>
        </w:tc>
        <w:tc>
          <w:tcPr>
            <w:tcW w:w="921" w:type="dxa"/>
          </w:tcPr>
          <w:p>
            <w:pPr>
              <w:pStyle w:val="45"/>
            </w:pPr>
          </w:p>
        </w:tc>
        <w:tc>
          <w:tcPr>
            <w:tcW w:w="923" w:type="dxa"/>
          </w:tcPr>
          <w:p>
            <w:pPr>
              <w:pStyle w:val="45"/>
            </w:pPr>
          </w:p>
        </w:tc>
        <w:tc>
          <w:tcPr>
            <w:tcW w:w="922" w:type="dxa"/>
          </w:tcPr>
          <w:p>
            <w:pPr>
              <w:pStyle w:val="45"/>
            </w:pPr>
          </w:p>
        </w:tc>
        <w:tc>
          <w:tcPr>
            <w:tcW w:w="1436" w:type="dxa"/>
          </w:tcPr>
          <w:p>
            <w:pPr>
              <w:pStyle w:val="45"/>
            </w:pPr>
          </w:p>
        </w:tc>
        <w:tc>
          <w:tcPr>
            <w:tcW w:w="1022" w:type="dxa"/>
          </w:tcPr>
          <w:p>
            <w:pPr>
              <w:pStyle w:val="45"/>
            </w:pPr>
          </w:p>
        </w:tc>
        <w:tc>
          <w:tcPr>
            <w:tcW w:w="1232" w:type="dxa"/>
          </w:tcPr>
          <w:p>
            <w:pPr>
              <w:pStyle w:val="45"/>
            </w:pPr>
          </w:p>
        </w:tc>
        <w:tc>
          <w:tcPr>
            <w:tcW w:w="1229" w:type="dxa"/>
          </w:tcPr>
          <w:p>
            <w:pPr>
              <w:pStyle w:val="45"/>
            </w:pPr>
          </w:p>
        </w:tc>
      </w:tr>
    </w:tbl>
    <w:p>
      <w:pPr>
        <w:pStyle w:val="47"/>
        <w:ind w:firstLine="482"/>
      </w:pPr>
      <w:r>
        <w:rPr>
          <w:rFonts w:hint="eastAsia"/>
        </w:rPr>
        <w:t>注：供应商根据自身实际情况调整填写，对不涉及的内容可填写“/”。</w:t>
      </w:r>
    </w:p>
    <w:p>
      <w:pPr>
        <w:pStyle w:val="43"/>
      </w:pPr>
    </w:p>
    <w:p>
      <w:pPr>
        <w:pStyle w:val="43"/>
      </w:pPr>
    </w:p>
    <w:p>
      <w:pPr>
        <w:pStyle w:val="46"/>
      </w:pPr>
      <w:r>
        <w:rPr>
          <w:rFonts w:hint="eastAsia"/>
        </w:rPr>
        <w:t>供应商名称：</w:t>
      </w:r>
      <w:r>
        <w:rPr>
          <w:rFonts w:hint="eastAsia" w:asciiTheme="minorEastAsia" w:hAnsiTheme="minorEastAsia" w:eastAsiaTheme="minorEastAsia" w:cstheme="minorEastAsia"/>
          <w:u w:val="single"/>
        </w:rPr>
        <w:t xml:space="preserve">            </w:t>
      </w:r>
      <w:r>
        <w:rPr>
          <w:rFonts w:hint="eastAsia"/>
        </w:rPr>
        <w:t>(盖章)</w:t>
      </w:r>
    </w:p>
    <w:p>
      <w:pPr>
        <w:pStyle w:val="46"/>
      </w:pPr>
      <w:r>
        <w:rPr>
          <w:rFonts w:hint="eastAsia"/>
        </w:rPr>
        <w:t>法定代表人/单位负责人或授权代表：</w:t>
      </w:r>
      <w:r>
        <w:rPr>
          <w:rFonts w:hint="eastAsia" w:asciiTheme="minorEastAsia" w:hAnsiTheme="minorEastAsia" w:eastAsiaTheme="minorEastAsia" w:cstheme="minorEastAsia"/>
          <w:u w:val="single"/>
        </w:rPr>
        <w:t xml:space="preserve">            </w:t>
      </w:r>
      <w:r>
        <w:rPr>
          <w:rFonts w:hint="eastAsia"/>
        </w:rPr>
        <w:t>(签字或盖章)</w:t>
      </w:r>
    </w:p>
    <w:p>
      <w:pPr>
        <w:pStyle w:val="46"/>
        <w:rPr>
          <w:u w:val="single"/>
        </w:rPr>
      </w:pPr>
      <w:r>
        <w:rPr>
          <w:rFonts w:hint="eastAsia"/>
        </w:rPr>
        <w:t>磋商日期：</w:t>
      </w:r>
      <w:r>
        <w:rPr>
          <w:rFonts w:hint="eastAsia" w:asciiTheme="minorEastAsia" w:hAnsiTheme="minorEastAsia" w:eastAsiaTheme="minorEastAsia" w:cstheme="minorEastAsia"/>
          <w:u w:val="single"/>
        </w:rPr>
        <w:t xml:space="preserve">            </w:t>
      </w:r>
    </w:p>
    <w:bookmarkEnd w:id="336"/>
    <w:bookmarkEnd w:id="337"/>
    <w:p>
      <w:pPr>
        <w:pStyle w:val="44"/>
        <w:numPr>
          <w:ilvl w:val="0"/>
          <w:numId w:val="17"/>
        </w:numPr>
        <w:spacing w:before="120" w:after="120"/>
        <w:ind w:firstLine="0"/>
      </w:pPr>
      <w:bookmarkStart w:id="338" w:name="_Toc30749"/>
      <w:bookmarkStart w:id="339" w:name="_Toc28539"/>
      <w:bookmarkStart w:id="340" w:name="_Toc18315"/>
      <w:r>
        <w:rPr>
          <w:rFonts w:hint="eastAsia"/>
        </w:rPr>
        <w:t>履约能力及相关证明</w:t>
      </w:r>
      <w:bookmarkEnd w:id="338"/>
      <w:bookmarkEnd w:id="339"/>
      <w:bookmarkEnd w:id="340"/>
    </w:p>
    <w:p>
      <w:pPr>
        <w:pStyle w:val="47"/>
        <w:ind w:firstLine="482"/>
      </w:pPr>
      <w:r>
        <w:rPr>
          <w:rFonts w:hint="eastAsia"/>
        </w:rPr>
        <w:t>注：格式自拟。</w:t>
      </w:r>
    </w:p>
    <w:p>
      <w:pPr>
        <w:pStyle w:val="43"/>
      </w:pPr>
    </w:p>
    <w:p>
      <w:pPr>
        <w:pStyle w:val="43"/>
      </w:pPr>
    </w:p>
    <w:p>
      <w:pPr>
        <w:pStyle w:val="43"/>
      </w:pPr>
    </w:p>
    <w:p>
      <w:pPr>
        <w:pStyle w:val="43"/>
      </w:pPr>
    </w:p>
    <w:p>
      <w:pPr>
        <w:pStyle w:val="43"/>
      </w:pPr>
    </w:p>
    <w:bookmarkEnd w:id="326"/>
    <w:p>
      <w:pPr>
        <w:pStyle w:val="43"/>
      </w:pPr>
      <w:bookmarkStart w:id="341" w:name="_Toc19240"/>
      <w:r>
        <w:rPr>
          <w:rFonts w:hint="eastAsia"/>
        </w:rPr>
        <w:br w:type="page"/>
      </w:r>
      <w:bookmarkEnd w:id="341"/>
    </w:p>
    <w:p>
      <w:pPr>
        <w:pStyle w:val="44"/>
        <w:numPr>
          <w:ilvl w:val="0"/>
          <w:numId w:val="17"/>
        </w:numPr>
        <w:spacing w:before="120" w:after="120"/>
        <w:ind w:firstLine="0"/>
      </w:pPr>
      <w:bookmarkStart w:id="342" w:name="_Toc3052"/>
      <w:bookmarkStart w:id="343" w:name="_Toc3666"/>
      <w:bookmarkStart w:id="344" w:name="_Toc32188"/>
      <w:bookmarkStart w:id="345" w:name="_Toc881"/>
      <w:bookmarkStart w:id="346" w:name="_Toc18724"/>
      <w:r>
        <w:rPr>
          <w:rFonts w:hint="eastAsia"/>
        </w:rPr>
        <w:t>招标代理服务费承诺函</w:t>
      </w:r>
      <w:bookmarkEnd w:id="342"/>
      <w:bookmarkEnd w:id="343"/>
      <w:bookmarkEnd w:id="344"/>
    </w:p>
    <w:p>
      <w:pPr>
        <w:pStyle w:val="43"/>
      </w:pPr>
      <w:r>
        <w:rPr>
          <w:rFonts w:hint="eastAsia"/>
        </w:rPr>
        <w:t>四川乾新招投标代理有限公司：</w:t>
      </w:r>
    </w:p>
    <w:p>
      <w:pPr>
        <w:pStyle w:val="46"/>
        <w:rPr>
          <w:b/>
          <w:bCs/>
        </w:rPr>
      </w:pPr>
      <w:r>
        <w:rPr>
          <w:rFonts w:hint="eastAsia"/>
        </w:rPr>
        <w:t>我单位在贵公司代理的</w:t>
      </w:r>
      <w:r>
        <w:rPr>
          <w:rFonts w:hint="eastAsia"/>
          <w:u w:val="single"/>
        </w:rPr>
        <w:t xml:space="preserve">                        </w:t>
      </w:r>
      <w:r>
        <w:rPr>
          <w:rFonts w:hint="eastAsia"/>
        </w:rPr>
        <w:t>项目(项目编号：</w:t>
      </w:r>
      <w:r>
        <w:rPr>
          <w:rFonts w:hint="eastAsia"/>
          <w:u w:val="single"/>
        </w:rPr>
        <w:t xml:space="preserve">           </w:t>
      </w:r>
      <w:r>
        <w:rPr>
          <w:rFonts w:hint="eastAsia"/>
        </w:rPr>
        <w:t>)竞争性磋商中若获成交，我们保证在收到成交通知后2个工作日内按要求，以支票、银行汇票、电汇、现金或经贵公司认可的一种方式，向贵公司即四川乾新招投标代理有限公司指定的银行账号，按照磋商</w:t>
      </w:r>
      <w:r>
        <w:rPr>
          <w:rFonts w:hint="eastAsia"/>
          <w:lang w:val="zh-CN"/>
        </w:rPr>
        <w:t>文件中招标代理</w:t>
      </w:r>
      <w:r>
        <w:rPr>
          <w:rFonts w:hint="eastAsia"/>
        </w:rPr>
        <w:t>服务费收取标准一次性支付合同全额的招标代理服务费。</w:t>
      </w:r>
      <w:r>
        <w:rPr>
          <w:rFonts w:hint="eastAsia"/>
          <w:b/>
          <w:bCs/>
        </w:rPr>
        <w:t>如因我单位自身原因造成取消成交资格或自愿放弃成交资格的，我单位支付的招标代理服务费不予退还，由此造成的损失由我单位自行承担。</w:t>
      </w:r>
    </w:p>
    <w:p>
      <w:pPr>
        <w:pStyle w:val="46"/>
      </w:pPr>
    </w:p>
    <w:p>
      <w:pPr>
        <w:pStyle w:val="46"/>
      </w:pPr>
    </w:p>
    <w:p>
      <w:pPr>
        <w:pStyle w:val="46"/>
      </w:pPr>
      <w:r>
        <w:rPr>
          <w:rFonts w:hint="eastAsia"/>
        </w:rPr>
        <w:t>特此承诺。</w:t>
      </w:r>
    </w:p>
    <w:p>
      <w:pPr>
        <w:pStyle w:val="43"/>
      </w:pPr>
    </w:p>
    <w:p>
      <w:pPr>
        <w:pStyle w:val="43"/>
      </w:pP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rPr>
        <w:t>(盖章)</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电  话：</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传  真：</w:t>
      </w:r>
      <w:r>
        <w:rPr>
          <w:rFonts w:hint="eastAsia" w:asciiTheme="minorEastAsia" w:hAnsiTheme="minorEastAsia" w:eastAsiaTheme="minorEastAsia" w:cstheme="minorEastAsia"/>
          <w:bCs/>
          <w:u w:val="single"/>
        </w:rPr>
        <w:t xml:space="preserve">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邮  编：</w:t>
      </w:r>
      <w:r>
        <w:rPr>
          <w:rFonts w:hint="eastAsia" w:asciiTheme="minorEastAsia" w:hAnsiTheme="minorEastAsia" w:eastAsiaTheme="minorEastAsia" w:cstheme="minorEastAsia"/>
          <w:bCs/>
          <w:u w:val="single"/>
        </w:rPr>
        <w:t xml:space="preserve">                </w:t>
      </w:r>
    </w:p>
    <w:p>
      <w:pPr>
        <w:ind w:firstLine="480" w:firstLineChars="200"/>
      </w:pPr>
      <w:r>
        <w:rPr>
          <w:rFonts w:hint="eastAsia"/>
        </w:rPr>
        <w:t>法定</w:t>
      </w:r>
      <w:r>
        <w:rPr>
          <w:rFonts w:hint="eastAsia" w:asciiTheme="minorEastAsia" w:hAnsiTheme="minorEastAsia" w:eastAsiaTheme="minorEastAsia" w:cstheme="minorEastAsia"/>
        </w:rPr>
        <w:t>代表人</w:t>
      </w:r>
      <w:r>
        <w:rPr>
          <w:rFonts w:hint="eastAsia"/>
        </w:rPr>
        <w:t>/单位负责人或授权代表：</w:t>
      </w:r>
      <w:r>
        <w:rPr>
          <w:rFonts w:hint="eastAsia" w:asciiTheme="minorEastAsia" w:hAnsiTheme="minorEastAsia" w:eastAsiaTheme="minorEastAsia" w:cstheme="minorEastAsia"/>
          <w:bCs/>
          <w:u w:val="single"/>
        </w:rPr>
        <w:t xml:space="preserve">               </w:t>
      </w:r>
      <w:r>
        <w:rPr>
          <w:rFonts w:hint="eastAsia"/>
        </w:rPr>
        <w:t>(签字或盖章)</w:t>
      </w:r>
    </w:p>
    <w:p>
      <w:pPr>
        <w:ind w:firstLine="480" w:firstLineChars="20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承诺日期：</w:t>
      </w:r>
      <w:r>
        <w:rPr>
          <w:rFonts w:hint="eastAsia" w:asciiTheme="minorEastAsia" w:hAnsiTheme="minorEastAsia" w:eastAsiaTheme="minorEastAsia" w:cstheme="minorEastAsia"/>
          <w:bCs/>
          <w:u w:val="single"/>
        </w:rPr>
        <w:t xml:space="preserve">                </w:t>
      </w:r>
    </w:p>
    <w:p>
      <w:pPr>
        <w:rPr>
          <w:rFonts w:asciiTheme="minorEastAsia" w:hAnsiTheme="minorEastAsia" w:eastAsiaTheme="minorEastAsia" w:cstheme="minorEastAsia"/>
          <w:bCs/>
          <w:u w:val="single"/>
        </w:rPr>
      </w:pPr>
      <w:r>
        <w:rPr>
          <w:rFonts w:hint="eastAsia" w:asciiTheme="minorEastAsia" w:hAnsiTheme="minorEastAsia" w:eastAsiaTheme="minorEastAsia" w:cstheme="minorEastAsia"/>
          <w:bCs/>
          <w:u w:val="single"/>
        </w:rPr>
        <w:br w:type="page"/>
      </w:r>
    </w:p>
    <w:p>
      <w:pPr>
        <w:pStyle w:val="44"/>
        <w:numPr>
          <w:ilvl w:val="0"/>
          <w:numId w:val="17"/>
        </w:numPr>
        <w:spacing w:before="120" w:after="120"/>
        <w:ind w:firstLine="0"/>
      </w:pPr>
      <w:bookmarkStart w:id="347" w:name="_Toc25030"/>
      <w:bookmarkStart w:id="348" w:name="_Toc22960"/>
      <w:bookmarkStart w:id="349" w:name="_Toc10668"/>
      <w:r>
        <w:rPr>
          <w:rFonts w:hint="eastAsia"/>
        </w:rPr>
        <w:t>报价表</w:t>
      </w:r>
      <w:bookmarkEnd w:id="347"/>
      <w:bookmarkEnd w:id="348"/>
      <w:bookmarkEnd w:id="349"/>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28"/>
        </w:rPr>
        <w:t>第</w:t>
      </w:r>
      <w:r>
        <w:rPr>
          <w:rFonts w:hint="eastAsia" w:asciiTheme="minorEastAsia" w:hAnsiTheme="minorEastAsia" w:eastAsiaTheme="minorEastAsia" w:cstheme="minorEastAsia"/>
          <w:sz w:val="32"/>
          <w:szCs w:val="28"/>
          <w:u w:val="single"/>
        </w:rPr>
        <w:t xml:space="preserve"> N </w:t>
      </w:r>
      <w:r>
        <w:rPr>
          <w:rFonts w:hint="eastAsia" w:asciiTheme="minorEastAsia" w:hAnsiTheme="minorEastAsia" w:eastAsiaTheme="minorEastAsia" w:cstheme="minorEastAsia"/>
          <w:sz w:val="32"/>
          <w:szCs w:val="28"/>
        </w:rPr>
        <w:t>轮报价/最后报价(</w:t>
      </w:r>
      <w:r>
        <w:rPr>
          <w:rFonts w:hint="eastAsia" w:asciiTheme="minorEastAsia" w:hAnsiTheme="minorEastAsia" w:eastAsiaTheme="minorEastAsia" w:cstheme="minorEastAsia"/>
          <w:b/>
          <w:sz w:val="32"/>
          <w:szCs w:val="28"/>
        </w:rPr>
        <w:t>根据磋商实际情况选择</w:t>
      </w:r>
      <w:r>
        <w:rPr>
          <w:rFonts w:hint="eastAsia" w:asciiTheme="minorEastAsia" w:hAnsiTheme="minorEastAsia" w:eastAsiaTheme="minorEastAsia" w:cstheme="minorEastAsia"/>
          <w:sz w:val="32"/>
          <w:szCs w:val="28"/>
        </w:rPr>
        <w:t>)</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u w:val="single"/>
        </w:rPr>
        <w:t xml:space="preserve">                        </w:t>
      </w:r>
    </w:p>
    <w:p>
      <w:pPr>
        <w:jc w:val="both"/>
        <w:rPr>
          <w:rFonts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p>
    <w:tbl>
      <w:tblPr>
        <w:tblStyle w:val="25"/>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87"/>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88" w:type="dxa"/>
            <w:vAlign w:val="center"/>
          </w:tcPr>
          <w:p>
            <w:pPr>
              <w:widowControl w:val="0"/>
              <w:wordWrap w:val="0"/>
              <w:topLinePunct/>
              <w:adjustRightInd w:val="0"/>
              <w:snapToGrid w:val="0"/>
              <w:spacing w:line="360" w:lineRule="exact"/>
              <w:jc w:val="center"/>
              <w:rPr>
                <w:rFonts w:hint="eastAsia" w:hAnsi="宋体" w:eastAsia="宋体" w:cs="宋体"/>
                <w:b/>
                <w:bCs w:val="0"/>
                <w:color w:val="auto"/>
                <w:sz w:val="21"/>
                <w:szCs w:val="21"/>
                <w:highlight w:val="none"/>
                <w:lang w:eastAsia="zh-CN"/>
              </w:rPr>
            </w:pPr>
            <w:r>
              <w:rPr>
                <w:rFonts w:hint="eastAsia" w:hAnsi="宋体" w:cs="宋体"/>
                <w:b/>
                <w:bCs w:val="0"/>
                <w:color w:val="auto"/>
                <w:sz w:val="21"/>
                <w:szCs w:val="21"/>
                <w:highlight w:val="none"/>
                <w:lang w:val="en-US" w:eastAsia="zh-CN"/>
              </w:rPr>
              <w:t>序号</w:t>
            </w:r>
          </w:p>
        </w:tc>
        <w:tc>
          <w:tcPr>
            <w:tcW w:w="4287" w:type="dxa"/>
            <w:vAlign w:val="center"/>
          </w:tcPr>
          <w:p>
            <w:pPr>
              <w:widowControl w:val="0"/>
              <w:wordWrap w:val="0"/>
              <w:topLinePunct/>
              <w:adjustRightInd w:val="0"/>
              <w:snapToGrid w:val="0"/>
              <w:spacing w:line="360" w:lineRule="exact"/>
              <w:ind w:firstLine="0" w:firstLineChars="0"/>
              <w:jc w:val="center"/>
              <w:rPr>
                <w:rFonts w:hint="eastAsia" w:hAnsi="宋体" w:cs="宋体"/>
                <w:b/>
                <w:bCs w:val="0"/>
                <w:color w:val="auto"/>
                <w:sz w:val="21"/>
                <w:szCs w:val="21"/>
                <w:highlight w:val="none"/>
              </w:rPr>
            </w:pPr>
            <w:r>
              <w:rPr>
                <w:rFonts w:hint="eastAsia" w:hAnsi="宋体" w:cs="宋体"/>
                <w:b/>
                <w:bCs w:val="0"/>
                <w:color w:val="auto"/>
                <w:sz w:val="21"/>
                <w:szCs w:val="21"/>
                <w:highlight w:val="none"/>
              </w:rPr>
              <w:t>服务内容</w:t>
            </w:r>
          </w:p>
        </w:tc>
        <w:tc>
          <w:tcPr>
            <w:tcW w:w="4481" w:type="dxa"/>
            <w:vAlign w:val="center"/>
          </w:tcPr>
          <w:p>
            <w:pPr>
              <w:widowControl w:val="0"/>
              <w:wordWrap w:val="0"/>
              <w:topLinePunct/>
              <w:adjustRightInd w:val="0"/>
              <w:snapToGrid w:val="0"/>
              <w:spacing w:line="360" w:lineRule="exact"/>
              <w:jc w:val="center"/>
              <w:rPr>
                <w:rFonts w:hint="default"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履约时间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88" w:type="dxa"/>
            <w:vAlign w:val="center"/>
          </w:tcPr>
          <w:p>
            <w:pPr>
              <w:widowControl w:val="0"/>
              <w:wordWrap w:val="0"/>
              <w:topLinePunct/>
              <w:adjustRightInd w:val="0"/>
              <w:snapToGrid w:val="0"/>
              <w:spacing w:line="360" w:lineRule="auto"/>
              <w:jc w:val="center"/>
              <w:rPr>
                <w:rFonts w:hint="eastAsia"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4287" w:type="dxa"/>
            <w:vAlign w:val="center"/>
          </w:tcPr>
          <w:p>
            <w:pPr>
              <w:widowControl w:val="0"/>
              <w:wordWrap w:val="0"/>
              <w:topLinePunct/>
              <w:adjustRightInd w:val="0"/>
              <w:snapToGrid w:val="0"/>
              <w:spacing w:line="360" w:lineRule="auto"/>
              <w:ind w:firstLine="0" w:firstLineChars="0"/>
              <w:jc w:val="center"/>
              <w:rPr>
                <w:rFonts w:hint="eastAsia" w:hAnsi="宋体" w:cs="宋体"/>
                <w:bCs/>
                <w:color w:val="auto"/>
                <w:sz w:val="21"/>
                <w:szCs w:val="21"/>
                <w:highlight w:val="none"/>
              </w:rPr>
            </w:pPr>
          </w:p>
        </w:tc>
        <w:tc>
          <w:tcPr>
            <w:tcW w:w="4481" w:type="dxa"/>
            <w:vAlign w:val="center"/>
          </w:tcPr>
          <w:p>
            <w:pPr>
              <w:widowControl w:val="0"/>
              <w:wordWrap w:val="0"/>
              <w:topLinePunct/>
              <w:adjustRightInd w:val="0"/>
              <w:snapToGrid w:val="0"/>
              <w:spacing w:line="360" w:lineRule="auto"/>
              <w:jc w:val="center"/>
              <w:rPr>
                <w:rFonts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restart"/>
            <w:vAlign w:val="center"/>
          </w:tcPr>
          <w:p>
            <w:pPr>
              <w:widowControl w:val="0"/>
              <w:wordWrap w:val="0"/>
              <w:topLinePunct/>
              <w:adjustRightInd w:val="0"/>
              <w:snapToGrid w:val="0"/>
              <w:spacing w:line="360" w:lineRule="exact"/>
              <w:jc w:val="center"/>
              <w:rPr>
                <w:rFonts w:hAnsi="宋体" w:cs="宋体"/>
                <w:color w:val="auto"/>
                <w:sz w:val="21"/>
                <w:szCs w:val="21"/>
                <w:highlight w:val="none"/>
              </w:rPr>
            </w:pPr>
            <w:r>
              <w:rPr>
                <w:rFonts w:hint="eastAsia" w:hAnsi="宋体" w:cs="宋体"/>
                <w:bCs/>
                <w:color w:val="auto"/>
                <w:sz w:val="21"/>
                <w:szCs w:val="21"/>
                <w:highlight w:val="none"/>
              </w:rPr>
              <w:t>报价(</w:t>
            </w:r>
            <w:r>
              <w:rPr>
                <w:rFonts w:hint="eastAsia" w:cs="宋体"/>
                <w:bCs/>
                <w:color w:val="auto"/>
                <w:sz w:val="21"/>
                <w:szCs w:val="21"/>
                <w:highlight w:val="none"/>
                <w:lang w:val="en-US" w:eastAsia="zh-CN"/>
              </w:rPr>
              <w:t>%</w:t>
            </w:r>
            <w:r>
              <w:rPr>
                <w:rFonts w:hint="eastAsia" w:hAnsi="宋体" w:cs="宋体"/>
                <w:bCs/>
                <w:color w:val="auto"/>
                <w:sz w:val="21"/>
                <w:szCs w:val="21"/>
                <w:highlight w:val="none"/>
              </w:rPr>
              <w:t>)</w:t>
            </w:r>
          </w:p>
        </w:tc>
        <w:tc>
          <w:tcPr>
            <w:tcW w:w="8768" w:type="dxa"/>
            <w:gridSpan w:val="2"/>
            <w:vAlign w:val="center"/>
          </w:tcPr>
          <w:p>
            <w:pPr>
              <w:widowControl w:val="0"/>
              <w:wordWrap w:val="0"/>
              <w:topLinePunct/>
              <w:adjustRightInd w:val="0"/>
              <w:snapToGrid w:val="0"/>
              <w:spacing w:line="360" w:lineRule="exact"/>
              <w:rPr>
                <w:rFonts w:hAnsi="宋体" w:cs="宋体"/>
                <w:color w:val="auto"/>
                <w:sz w:val="21"/>
                <w:szCs w:val="21"/>
                <w:highlight w:val="none"/>
              </w:rPr>
            </w:pPr>
            <w:r>
              <w:rPr>
                <w:rFonts w:hint="eastAsia" w:hAnsi="宋体" w:cs="宋体"/>
                <w:color w:val="auto"/>
                <w:sz w:val="21"/>
                <w:szCs w:val="21"/>
                <w:highlight w:val="none"/>
              </w:rPr>
              <w:t>固定</w:t>
            </w:r>
            <w:r>
              <w:rPr>
                <w:rFonts w:hint="eastAsia" w:hAnsi="宋体" w:cs="宋体"/>
                <w:color w:val="auto"/>
                <w:sz w:val="21"/>
                <w:szCs w:val="21"/>
                <w:highlight w:val="none"/>
                <w:lang w:val="en-US" w:eastAsia="zh-CN"/>
              </w:rPr>
              <w:t>上浮率</w:t>
            </w:r>
            <w:r>
              <w:rPr>
                <w:rFonts w:hint="eastAsia" w:hAnsi="宋体" w:cs="宋体"/>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continue"/>
            <w:vAlign w:val="center"/>
          </w:tcPr>
          <w:p>
            <w:pPr>
              <w:widowControl w:val="0"/>
              <w:wordWrap w:val="0"/>
              <w:topLinePunct/>
              <w:adjustRightInd w:val="0"/>
              <w:snapToGrid w:val="0"/>
              <w:spacing w:line="360" w:lineRule="auto"/>
              <w:rPr>
                <w:color w:val="auto"/>
                <w:highlight w:val="none"/>
              </w:rPr>
            </w:pPr>
          </w:p>
        </w:tc>
        <w:tc>
          <w:tcPr>
            <w:tcW w:w="8768" w:type="dxa"/>
            <w:gridSpan w:val="2"/>
            <w:vAlign w:val="center"/>
          </w:tcPr>
          <w:p>
            <w:pPr>
              <w:widowControl w:val="0"/>
              <w:wordWrap w:val="0"/>
              <w:topLinePunct/>
              <w:adjustRightInd w:val="0"/>
              <w:snapToGrid w:val="0"/>
              <w:spacing w:line="360" w:lineRule="exact"/>
              <w:rPr>
                <w:rFonts w:hAnsi="宋体" w:cs="宋体"/>
                <w:color w:val="auto"/>
                <w:sz w:val="21"/>
                <w:szCs w:val="21"/>
                <w:highlight w:val="none"/>
              </w:rPr>
            </w:pPr>
            <w:r>
              <w:rPr>
                <w:rFonts w:hint="eastAsia" w:hAnsi="宋体" w:cs="宋体"/>
                <w:color w:val="auto"/>
                <w:sz w:val="21"/>
                <w:szCs w:val="21"/>
                <w:highlight w:val="none"/>
              </w:rPr>
              <w:t>固定</w:t>
            </w:r>
            <w:r>
              <w:rPr>
                <w:rFonts w:hint="eastAsia" w:hAnsi="宋体" w:cs="宋体"/>
                <w:color w:val="auto"/>
                <w:sz w:val="21"/>
                <w:szCs w:val="21"/>
                <w:highlight w:val="none"/>
                <w:lang w:val="en-US" w:eastAsia="zh-CN"/>
              </w:rPr>
              <w:t>上浮率</w:t>
            </w:r>
            <w:r>
              <w:rPr>
                <w:rFonts w:hint="eastAsia" w:hAnsi="宋体" w:cs="宋体"/>
                <w:color w:val="auto"/>
                <w:sz w:val="21"/>
                <w:szCs w:val="21"/>
                <w:highlight w:val="none"/>
              </w:rPr>
              <w:t>大写：</w:t>
            </w:r>
          </w:p>
        </w:tc>
      </w:tr>
    </w:tbl>
    <w:p>
      <w:pPr>
        <w:pStyle w:val="47"/>
        <w:ind w:firstLine="482"/>
      </w:pPr>
      <w:r>
        <w:rPr>
          <w:rFonts w:hint="eastAsia"/>
        </w:rPr>
        <w:t>注：</w:t>
      </w:r>
      <w:r>
        <w:rPr>
          <w:rFonts w:hint="eastAsia"/>
          <w:lang w:val="zh-CN"/>
        </w:rPr>
        <w:t>报价应为完成本竞争性磋商文件中所要求的</w:t>
      </w:r>
      <w:r>
        <w:rPr>
          <w:rFonts w:hint="eastAsia"/>
        </w:rPr>
        <w:t>服务</w:t>
      </w:r>
      <w:r>
        <w:rPr>
          <w:rFonts w:hint="eastAsia"/>
          <w:lang w:val="zh-CN"/>
        </w:rPr>
        <w:t>所应包括内容的所有价格，</w:t>
      </w:r>
      <w:r>
        <w:rPr>
          <w:rFonts w:hint="eastAsia" w:asciiTheme="minorEastAsia" w:hAnsiTheme="minorEastAsia" w:eastAsiaTheme="minorEastAsia" w:cstheme="minorEastAsia"/>
        </w:rPr>
        <w:t>包括但不限于劳务、差旅、设备投入、成果、培训、风险、税金等所需的一切费用,采购人无需另行支付其他任何费用</w:t>
      </w:r>
      <w:r>
        <w:rPr>
          <w:rFonts w:hint="eastAsia"/>
          <w:lang w:val="zh-CN"/>
        </w:rPr>
        <w:t>。</w:t>
      </w:r>
    </w:p>
    <w:p>
      <w:pPr>
        <w:tabs>
          <w:tab w:val="left" w:pos="540"/>
          <w:tab w:val="left" w:pos="900"/>
          <w:tab w:val="clear" w:pos="0"/>
        </w:tabs>
        <w:rPr>
          <w:rFonts w:asciiTheme="minorEastAsia" w:hAnsiTheme="minorEastAsia" w:eastAsiaTheme="minorEastAsia" w:cstheme="minorEastAsia"/>
        </w:rPr>
      </w:pPr>
    </w:p>
    <w:p>
      <w:pPr>
        <w:tabs>
          <w:tab w:val="left" w:pos="540"/>
          <w:tab w:val="left" w:pos="900"/>
          <w:tab w:val="clear" w:pos="0"/>
        </w:tabs>
        <w:rPr>
          <w:rFonts w:asciiTheme="minorEastAsia" w:hAnsiTheme="minorEastAsia" w:eastAsiaTheme="minorEastAsia" w:cstheme="minorEastAsia"/>
        </w:rPr>
      </w:pPr>
    </w:p>
    <w:p>
      <w:pPr>
        <w:pStyle w:val="46"/>
        <w:rPr>
          <w:u w:val="single"/>
        </w:rPr>
      </w:pPr>
      <w:r>
        <w:rPr>
          <w:rFonts w:hint="eastAsia"/>
        </w:rPr>
        <w:t>供应商名称：</w:t>
      </w:r>
      <w:r>
        <w:rPr>
          <w:rFonts w:hint="eastAsia"/>
          <w:u w:val="single"/>
        </w:rPr>
        <w:t xml:space="preserve">                      </w:t>
      </w:r>
    </w:p>
    <w:p>
      <w:pPr>
        <w:pStyle w:val="46"/>
      </w:pPr>
      <w:r>
        <w:rPr>
          <w:rFonts w:hint="eastAsia"/>
        </w:rPr>
        <w:t>法定代表人/单位负责人或授权代表：</w:t>
      </w:r>
      <w:r>
        <w:rPr>
          <w:rFonts w:hint="eastAsia"/>
          <w:u w:val="single"/>
        </w:rPr>
        <w:t xml:space="preserve">                  </w:t>
      </w:r>
      <w:r>
        <w:rPr>
          <w:rFonts w:hint="eastAsia"/>
        </w:rPr>
        <w:t>(签名并捺印)</w:t>
      </w:r>
    </w:p>
    <w:p>
      <w:pPr>
        <w:pStyle w:val="46"/>
      </w:pPr>
      <w:r>
        <w:rPr>
          <w:rFonts w:hint="eastAsia"/>
        </w:rPr>
        <w:t>报价日期：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3"/>
      </w:pPr>
      <w:r>
        <w:rPr>
          <w:rFonts w:hint="eastAsia"/>
        </w:rPr>
        <w:t xml:space="preserve">                </w:t>
      </w:r>
    </w:p>
    <w:p>
      <w:pPr>
        <w:pStyle w:val="43"/>
      </w:pPr>
    </w:p>
    <w:bookmarkEnd w:id="345"/>
    <w:bookmarkEnd w:id="346"/>
    <w:p>
      <w:pPr>
        <w:pStyle w:val="48"/>
        <w:spacing w:before="120" w:after="120"/>
      </w:pPr>
      <w:bookmarkStart w:id="350" w:name="_Toc24888"/>
      <w:r>
        <w:rPr>
          <w:rFonts w:hint="eastAsia"/>
        </w:rPr>
        <w:br w:type="page"/>
      </w:r>
      <w:bookmarkEnd w:id="350"/>
      <w:bookmarkStart w:id="351" w:name="_Toc18196"/>
      <w:bookmarkStart w:id="352" w:name="_Toc4432"/>
      <w:bookmarkStart w:id="353" w:name="_Toc22998"/>
      <w:bookmarkStart w:id="354" w:name="_Toc26345"/>
      <w:r>
        <w:rPr>
          <w:rFonts w:hint="eastAsia"/>
        </w:rPr>
        <w:t>资格性审查</w:t>
      </w:r>
      <w:bookmarkEnd w:id="351"/>
      <w:r>
        <w:rPr>
          <w:rFonts w:hint="eastAsia"/>
        </w:rPr>
        <w:t>内容</w:t>
      </w:r>
      <w:bookmarkEnd w:id="352"/>
      <w:bookmarkEnd w:id="353"/>
      <w:bookmarkEnd w:id="354"/>
    </w:p>
    <w:p>
      <w:pPr>
        <w:pStyle w:val="50"/>
        <w:numPr>
          <w:ilvl w:val="1"/>
          <w:numId w:val="20"/>
        </w:numPr>
        <w:spacing w:line="520" w:lineRule="exact"/>
        <w:ind w:firstLine="482"/>
        <w:rPr>
          <w:b/>
          <w:bCs/>
        </w:rPr>
      </w:pPr>
      <w:bookmarkStart w:id="355" w:name="_Toc141"/>
      <w:bookmarkStart w:id="356" w:name="_Toc10631"/>
      <w:bookmarkStart w:id="357" w:name="_Toc20678"/>
      <w:bookmarkStart w:id="358" w:name="_Toc32482"/>
      <w:r>
        <w:rPr>
          <w:rFonts w:hint="eastAsia"/>
          <w:b/>
          <w:bCs/>
        </w:rPr>
        <w:t>供应商应当提供的资格证明材料及其他类似效力要求的相关证明材料</w:t>
      </w:r>
    </w:p>
    <w:bookmarkEnd w:id="355"/>
    <w:bookmarkEnd w:id="356"/>
    <w:bookmarkEnd w:id="357"/>
    <w:p>
      <w:pPr>
        <w:pStyle w:val="33"/>
        <w:numPr>
          <w:ilvl w:val="1"/>
          <w:numId w:val="21"/>
        </w:numPr>
        <w:spacing w:line="520" w:lineRule="exact"/>
        <w:ind w:firstLine="482"/>
        <w:rPr>
          <w:b/>
          <w:bCs/>
        </w:rPr>
      </w:pPr>
      <w:r>
        <w:rPr>
          <w:rFonts w:hint="eastAsia"/>
          <w:b/>
          <w:bCs/>
        </w:rPr>
        <w:t>供应商具有独立承担民事责任的能力的证明材料；</w:t>
      </w:r>
    </w:p>
    <w:p>
      <w:pPr>
        <w:pStyle w:val="46"/>
        <w:spacing w:line="520" w:lineRule="exact"/>
      </w:pPr>
      <w:r>
        <w:rPr>
          <w:rFonts w:hint="eastAsia"/>
        </w:rPr>
        <w:t>供应商：①若为</w:t>
      </w:r>
      <w:r>
        <w:rPr>
          <w:rFonts w:hint="eastAsia"/>
          <w:b/>
          <w:bCs/>
        </w:rPr>
        <w:t>企业法人</w:t>
      </w:r>
      <w:r>
        <w:rPr>
          <w:rFonts w:hint="eastAsia"/>
        </w:rPr>
        <w:t>：提供“营业执照”副本复印件；未换证的提供“营业执照副本、税务登记证副本、组织机构代码证副本”复印件；②若为</w:t>
      </w:r>
      <w:r>
        <w:rPr>
          <w:rFonts w:hint="eastAsia"/>
          <w:b/>
          <w:bCs/>
        </w:rPr>
        <w:t>事业法人</w:t>
      </w:r>
      <w:r>
        <w:rPr>
          <w:rFonts w:hint="eastAsia"/>
        </w:rPr>
        <w:t>：提供“统一社会信用代码法人登记证书”复印件；未换证的提交“事业法人登记证书、组织机构代码证”复印件；③若为</w:t>
      </w:r>
      <w:r>
        <w:rPr>
          <w:rFonts w:hint="eastAsia"/>
          <w:b/>
          <w:bCs/>
        </w:rPr>
        <w:t>其他组织</w:t>
      </w:r>
      <w:r>
        <w:rPr>
          <w:rFonts w:hint="eastAsia"/>
        </w:rPr>
        <w:t>：提供“对应主管部门颁发的准许执业证明文件或营业执照副本”复印件；④若为</w:t>
      </w:r>
      <w:r>
        <w:rPr>
          <w:rFonts w:hint="eastAsia"/>
          <w:b/>
          <w:bCs/>
        </w:rPr>
        <w:t>自然人</w:t>
      </w:r>
      <w:r>
        <w:rPr>
          <w:rFonts w:hint="eastAsia"/>
        </w:rPr>
        <w:t>：提供“身份证明材料”。</w:t>
      </w:r>
    </w:p>
    <w:p>
      <w:pPr>
        <w:pStyle w:val="47"/>
        <w:spacing w:line="520" w:lineRule="exact"/>
        <w:ind w:firstLine="482"/>
      </w:pPr>
      <w:r>
        <w:rPr>
          <w:rFonts w:hint="eastAsia"/>
        </w:rPr>
        <w:t>注：1.以上证明材料应满足此条要求①发证机关有年检要求的，应按规定通过年检；②在有效期内；③复印件加盖供应商公章；</w:t>
      </w:r>
    </w:p>
    <w:p>
      <w:pPr>
        <w:pStyle w:val="47"/>
        <w:spacing w:line="520" w:lineRule="exact"/>
        <w:ind w:firstLine="482"/>
      </w:pPr>
      <w:r>
        <w:rPr>
          <w:rFonts w:hint="eastAsia"/>
        </w:rPr>
        <w:t>2.企业若已更换为三证合一的则提供营业执照副本复印件，事业单位提供事业单位法人证书复印件，其他组织提供执业许可证或营业执照等证明文件复印件，自然人提供身份证明均具备此条同等效力；</w:t>
      </w:r>
    </w:p>
    <w:p>
      <w:pPr>
        <w:pStyle w:val="47"/>
        <w:spacing w:line="520" w:lineRule="exact"/>
        <w:ind w:firstLine="482"/>
      </w:pPr>
      <w:r>
        <w:rPr>
          <w:rFonts w:hint="eastAsia"/>
        </w:rPr>
        <w:t>3.</w:t>
      </w:r>
      <w:r>
        <w:t>根据国务院办公厅关于加快推进“多证合一”改革的指导意见</w:t>
      </w:r>
      <w:r>
        <w:rPr>
          <w:rFonts w:hint="eastAsia"/>
        </w:rPr>
        <w:t>(</w:t>
      </w:r>
      <w:r>
        <w:t>国办发</w:t>
      </w:r>
      <w:r>
        <w:rPr>
          <w:rFonts w:hint="eastAsia"/>
        </w:rPr>
        <w:t>〔</w:t>
      </w:r>
      <w:r>
        <w:t>2017</w:t>
      </w:r>
      <w:r>
        <w:rPr>
          <w:rFonts w:hint="eastAsia"/>
        </w:rPr>
        <w:t>〕</w:t>
      </w:r>
      <w:r>
        <w:t>41号</w:t>
      </w:r>
      <w:r>
        <w:rPr>
          <w:rFonts w:hint="eastAsia"/>
        </w:rPr>
        <w:t>)</w:t>
      </w:r>
      <w:r>
        <w:t>等政策要求，若资格要求涉及的登记、备案等有关事项和各类证照已实行多证合一</w:t>
      </w:r>
      <w:r>
        <w:rPr>
          <w:rFonts w:hint="eastAsia"/>
        </w:rPr>
        <w:t>的，提供多证合一证照副本复印件</w:t>
      </w:r>
      <w:r>
        <w:t>。</w:t>
      </w:r>
    </w:p>
    <w:p>
      <w:pPr>
        <w:pStyle w:val="33"/>
        <w:numPr>
          <w:ilvl w:val="1"/>
          <w:numId w:val="21"/>
        </w:numPr>
        <w:spacing w:line="520" w:lineRule="exact"/>
        <w:ind w:firstLine="482"/>
        <w:rPr>
          <w:b/>
          <w:bCs/>
        </w:rPr>
      </w:pPr>
      <w:r>
        <w:rPr>
          <w:rFonts w:hint="eastAsia"/>
          <w:b/>
          <w:bCs/>
        </w:rPr>
        <w:t>供应商具有良好的商业信誉和健全的财务会计制度的证明材料；</w:t>
      </w:r>
    </w:p>
    <w:p>
      <w:pPr>
        <w:pStyle w:val="36"/>
        <w:numPr>
          <w:ilvl w:val="2"/>
          <w:numId w:val="21"/>
        </w:numPr>
        <w:spacing w:line="520" w:lineRule="exact"/>
        <w:ind w:firstLine="480"/>
      </w:pPr>
      <w:r>
        <w:rPr>
          <w:rFonts w:hint="eastAsia"/>
        </w:rPr>
        <w:t>供应商具有良好商业信誉的证明材料；</w:t>
      </w:r>
    </w:p>
    <w:p>
      <w:pPr>
        <w:pStyle w:val="46"/>
        <w:spacing w:line="520" w:lineRule="exact"/>
      </w:pPr>
      <w:r>
        <w:rPr>
          <w:rFonts w:hint="eastAsia"/>
        </w:rPr>
        <w:t>提供具有良好的商业信誉的承诺函。</w:t>
      </w:r>
    </w:p>
    <w:p>
      <w:pPr>
        <w:pStyle w:val="46"/>
        <w:spacing w:line="520" w:lineRule="exact"/>
        <w:ind w:firstLine="482"/>
        <w:rPr>
          <w:b/>
          <w:bCs/>
        </w:rPr>
      </w:pPr>
      <w:r>
        <w:rPr>
          <w:rFonts w:hint="eastAsia"/>
          <w:b/>
          <w:bCs/>
        </w:rPr>
        <w:t>注：</w:t>
      </w:r>
      <w:r>
        <w:rPr>
          <w:rFonts w:hint="eastAsia" w:cs="宋体" w:asciiTheme="minorEastAsia" w:hAnsiTheme="minorEastAsia" w:eastAsiaTheme="minorEastAsia"/>
          <w:b/>
          <w:bCs/>
        </w:rPr>
        <w:t>承诺函</w:t>
      </w:r>
      <w:r>
        <w:rPr>
          <w:rFonts w:hint="eastAsia"/>
          <w:b/>
        </w:rPr>
        <w:t>格式自拟，或参照《承诺及声明函》的格式提供</w:t>
      </w:r>
      <w:r>
        <w:rPr>
          <w:rFonts w:hint="eastAsia"/>
          <w:b/>
          <w:bCs/>
        </w:rPr>
        <w:t>。</w:t>
      </w:r>
    </w:p>
    <w:p>
      <w:pPr>
        <w:pStyle w:val="46"/>
        <w:spacing w:line="520" w:lineRule="exact"/>
      </w:pPr>
      <w:r>
        <w:rPr>
          <w:rFonts w:hint="eastAsia"/>
        </w:rPr>
        <w:t>2.供应商具有健全的财务会计制度的证明材料；</w:t>
      </w:r>
    </w:p>
    <w:p>
      <w:pPr>
        <w:pStyle w:val="46"/>
        <w:spacing w:line="520" w:lineRule="exact"/>
      </w:pPr>
      <w:r>
        <w:rPr>
          <w:rFonts w:hint="eastAsia"/>
        </w:rPr>
        <w:t>(1)供应商提供2022年度经过会计师事务所审计的财务报告复印件(经审计的有效财务报告应包括报告及报告中所附的完整内容，并由注册会计师签名、盖章以及会计师事务所盖章)；</w:t>
      </w:r>
    </w:p>
    <w:p>
      <w:pPr>
        <w:pStyle w:val="46"/>
        <w:spacing w:line="520" w:lineRule="exact"/>
      </w:pPr>
      <w:r>
        <w:rPr>
          <w:rFonts w:hint="eastAsia"/>
        </w:rPr>
        <w:t>(2)供应商提供2022年度供应商内部的财务报表复印件(至少包含资产负债表)；</w:t>
      </w:r>
    </w:p>
    <w:p>
      <w:pPr>
        <w:pStyle w:val="46"/>
        <w:spacing w:line="520" w:lineRule="exact"/>
      </w:pPr>
      <w:r>
        <w:rPr>
          <w:rFonts w:hint="eastAsia"/>
        </w:rPr>
        <w:t>(3)供应商提供响应文件递交截止日前一年内银行为其出具的资信证明复印件；</w:t>
      </w:r>
    </w:p>
    <w:p>
      <w:pPr>
        <w:pStyle w:val="46"/>
        <w:spacing w:line="520" w:lineRule="exact"/>
      </w:pPr>
      <w:r>
        <w:rPr>
          <w:rFonts w:hint="eastAsia"/>
        </w:rPr>
        <w:t>(4)供应商注册时间截至响应文件递交截止日不足一年的，可提供公司章程复印件；</w:t>
      </w:r>
    </w:p>
    <w:p>
      <w:pPr>
        <w:pStyle w:val="46"/>
        <w:spacing w:line="520" w:lineRule="exact"/>
      </w:pPr>
      <w:r>
        <w:rPr>
          <w:rFonts w:hint="eastAsia"/>
        </w:rPr>
        <w:t>(5)供应商提供具有健全的财务会计制度的承诺函。</w:t>
      </w:r>
    </w:p>
    <w:p>
      <w:pPr>
        <w:pStyle w:val="47"/>
        <w:spacing w:line="520" w:lineRule="exact"/>
        <w:ind w:firstLine="482"/>
      </w:pPr>
      <w:r>
        <w:rPr>
          <w:rFonts w:hint="eastAsia"/>
          <w:bCs/>
        </w:rPr>
        <w:t>注：①具有健全的财务会计制度的证明材料中第(1)-(5)项具有同等的效力，供应商可根据自身实际情况选择提供其中任意一项。②</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1"/>
        </w:numPr>
        <w:spacing w:line="520" w:lineRule="exact"/>
        <w:ind w:firstLine="482"/>
        <w:rPr>
          <w:b/>
          <w:bCs/>
        </w:rPr>
      </w:pPr>
      <w:r>
        <w:rPr>
          <w:rFonts w:hint="eastAsia"/>
          <w:b/>
          <w:bCs/>
        </w:rPr>
        <w:t>供应商具有履行合同所必需的设备和专业技术能力证明材料；</w:t>
      </w:r>
    </w:p>
    <w:p>
      <w:pPr>
        <w:pStyle w:val="36"/>
        <w:numPr>
          <w:ilvl w:val="2"/>
          <w:numId w:val="0"/>
        </w:numPr>
        <w:spacing w:line="520" w:lineRule="exact"/>
        <w:ind w:left="480" w:leftChars="200"/>
      </w:pPr>
      <w:r>
        <w:rPr>
          <w:rFonts w:hint="eastAsia"/>
        </w:rPr>
        <w:t>提供具有履行合同所必需的设备和专业技术能力的承诺函。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1"/>
        </w:numPr>
        <w:spacing w:line="520" w:lineRule="exact"/>
        <w:ind w:firstLine="482"/>
        <w:rPr>
          <w:b/>
          <w:bCs/>
        </w:rPr>
      </w:pPr>
      <w:r>
        <w:rPr>
          <w:rFonts w:hint="eastAsia"/>
          <w:b/>
          <w:bCs/>
        </w:rPr>
        <w:t>供应商有依法缴纳税收和社会保障资金的良好记录的证明材料；</w:t>
      </w:r>
    </w:p>
    <w:p>
      <w:pPr>
        <w:pStyle w:val="36"/>
        <w:numPr>
          <w:ilvl w:val="2"/>
          <w:numId w:val="0"/>
        </w:numPr>
        <w:spacing w:line="520" w:lineRule="exact"/>
        <w:ind w:left="480" w:leftChars="200"/>
      </w:pPr>
      <w:r>
        <w:rPr>
          <w:rFonts w:hint="eastAsia"/>
        </w:rPr>
        <w:t>提供有</w:t>
      </w:r>
      <w:r>
        <w:rPr>
          <w:rFonts w:hint="eastAsia"/>
          <w:lang w:val="zh-CN"/>
        </w:rPr>
        <w:t>依法缴纳税收和社会保障资金的良好记录</w:t>
      </w:r>
      <w:r>
        <w:rPr>
          <w:rFonts w:hint="eastAsia"/>
        </w:rPr>
        <w:t>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numPr>
          <w:ilvl w:val="1"/>
          <w:numId w:val="21"/>
        </w:numPr>
        <w:spacing w:line="520" w:lineRule="exact"/>
        <w:ind w:firstLine="482"/>
        <w:rPr>
          <w:b/>
          <w:bCs/>
        </w:rPr>
      </w:pPr>
      <w:r>
        <w:rPr>
          <w:rFonts w:hint="eastAsia"/>
          <w:b/>
          <w:bCs/>
        </w:rPr>
        <w:t>供应商参加采购活动前三年内，在经营活动中没有重大违法记录的证明材料；</w:t>
      </w:r>
    </w:p>
    <w:p>
      <w:pPr>
        <w:pStyle w:val="46"/>
        <w:spacing w:line="520" w:lineRule="exact"/>
      </w:pPr>
      <w:r>
        <w:rPr>
          <w:rFonts w:hint="eastAsia"/>
        </w:rPr>
        <w:t>提供参加本次采购活动前三年内，在经营活动中没有重大违法记录的书面声明(成立不足三年的，从成立之日起计算)。</w:t>
      </w:r>
    </w:p>
    <w:p>
      <w:pPr>
        <w:pStyle w:val="47"/>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adjustRightInd/>
        <w:snapToGrid/>
        <w:spacing w:line="520" w:lineRule="exact"/>
        <w:ind w:firstLine="482"/>
        <w:rPr>
          <w:b/>
          <w:bCs/>
        </w:rPr>
      </w:pPr>
      <w:r>
        <w:rPr>
          <w:rFonts w:hint="eastAsia"/>
          <w:b/>
          <w:bCs/>
        </w:rPr>
        <w:t>供应商</w:t>
      </w:r>
      <w:r>
        <w:rPr>
          <w:rFonts w:hint="eastAsia"/>
          <w:b/>
          <w:bCs/>
          <w:lang w:val="zh-CN"/>
        </w:rPr>
        <w:t>及其现任法定代表人、主要负责人不得具有行贿犯罪记录</w:t>
      </w:r>
      <w:r>
        <w:rPr>
          <w:rFonts w:hint="eastAsia"/>
          <w:b/>
          <w:bCs/>
        </w:rPr>
        <w:t>的证明材料</w:t>
      </w:r>
      <w:r>
        <w:rPr>
          <w:rFonts w:hint="eastAsia"/>
          <w:b/>
          <w:bCs/>
          <w:lang w:val="zh-CN"/>
        </w:rPr>
        <w:t>；</w:t>
      </w:r>
    </w:p>
    <w:p>
      <w:pPr>
        <w:pStyle w:val="47"/>
        <w:spacing w:line="520" w:lineRule="exact"/>
        <w:jc w:val="both"/>
        <w:rPr>
          <w:b w:val="0"/>
          <w:bCs/>
        </w:rPr>
      </w:pPr>
      <w:r>
        <w:rPr>
          <w:rFonts w:hint="eastAsia"/>
          <w:b w:val="0"/>
          <w:bCs/>
        </w:rPr>
        <w:t>1.在响应文件中作出供应商及其现任法定代表人(姓名和身份证号码)、主要负责人(姓名和身份证号码)10年内(</w:t>
      </w:r>
      <w:r>
        <w:rPr>
          <w:rFonts w:hint="eastAsia"/>
          <w:b w:val="0"/>
          <w:bCs/>
          <w:lang w:val="zh-CN"/>
        </w:rPr>
        <w:t>若</w:t>
      </w:r>
      <w:r>
        <w:rPr>
          <w:rFonts w:hint="eastAsia"/>
          <w:b w:val="0"/>
          <w:bCs/>
        </w:rPr>
        <w:t>供应商</w:t>
      </w:r>
      <w:r>
        <w:rPr>
          <w:rFonts w:hint="eastAsia"/>
          <w:b w:val="0"/>
          <w:bCs/>
          <w:lang w:val="zh-CN"/>
        </w:rPr>
        <w:t>成立不足10年的，</w:t>
      </w:r>
      <w:r>
        <w:rPr>
          <w:rFonts w:hint="eastAsia"/>
          <w:b w:val="0"/>
          <w:bCs/>
        </w:rPr>
        <w:t>承诺期限为</w:t>
      </w:r>
      <w:r>
        <w:rPr>
          <w:rFonts w:hint="eastAsia"/>
          <w:b w:val="0"/>
          <w:bCs/>
          <w:lang w:val="zh-CN"/>
        </w:rPr>
        <w:t>成立之日起</w:t>
      </w:r>
      <w:r>
        <w:rPr>
          <w:rFonts w:hint="eastAsia"/>
          <w:b w:val="0"/>
          <w:bCs/>
        </w:rPr>
        <w:t>至今)无行贿犯罪记录的承诺；</w:t>
      </w:r>
    </w:p>
    <w:p>
      <w:pPr>
        <w:pStyle w:val="47"/>
        <w:spacing w:line="520" w:lineRule="exact"/>
        <w:jc w:val="both"/>
        <w:rPr>
          <w:b w:val="0"/>
          <w:bCs/>
          <w:lang w:val="zh-CN"/>
        </w:rPr>
      </w:pPr>
      <w:r>
        <w:rPr>
          <w:rFonts w:hint="eastAsia"/>
          <w:b w:val="0"/>
          <w:bCs/>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lang w:val="zh-CN"/>
        </w:rPr>
        <w:t>。</w:t>
      </w:r>
    </w:p>
    <w:p>
      <w:pPr>
        <w:pStyle w:val="63"/>
        <w:numPr>
          <w:ilvl w:val="3"/>
          <w:numId w:val="0"/>
        </w:numPr>
        <w:spacing w:line="520" w:lineRule="exact"/>
        <w:ind w:firstLine="482" w:firstLineChars="200"/>
      </w:pPr>
      <w:r>
        <w:rPr>
          <w:rFonts w:hint="eastAsia"/>
          <w:b/>
          <w:bCs/>
        </w:rPr>
        <w:t>注：①供应商采用提供承诺函方式响应的，其内容必须符合上述第1款的要求，否则将视为无效承诺；②如供应商未提供有效承诺函，且未</w:t>
      </w:r>
      <w:r>
        <w:rPr>
          <w:rFonts w:hint="eastAsia"/>
          <w:b/>
        </w:rPr>
        <w:t>在响应文件中书面载明</w:t>
      </w:r>
      <w:r>
        <w:rPr>
          <w:rFonts w:hint="eastAsia"/>
          <w:b/>
          <w:bCs/>
        </w:rPr>
        <w:t>其“现任法定代表人”(姓名和身份证号码)、“主要负责人”(姓名和身份证号码)信息的，将被视为无效响应。</w:t>
      </w:r>
    </w:p>
    <w:p>
      <w:pPr>
        <w:pStyle w:val="33"/>
        <w:spacing w:line="520" w:lineRule="exact"/>
        <w:ind w:firstLine="482"/>
        <w:rPr>
          <w:b/>
          <w:bCs/>
        </w:rPr>
      </w:pPr>
      <w:r>
        <w:rPr>
          <w:rFonts w:hint="eastAsia"/>
          <w:b/>
          <w:bCs/>
        </w:rPr>
        <w:t>法定代表人/单位负责人授权书原件；</w:t>
      </w:r>
    </w:p>
    <w:p>
      <w:pPr>
        <w:pStyle w:val="47"/>
        <w:spacing w:line="520" w:lineRule="exact"/>
        <w:ind w:firstLine="482"/>
      </w:pPr>
      <w:r>
        <w:rPr>
          <w:rFonts w:hint="eastAsia"/>
        </w:rPr>
        <w:t>注：①附法定代表人/单位负责人和被授权人身份证正反面复印件；②法定代表人/单位负责人亲自参与磋商时不需要提供。</w:t>
      </w:r>
    </w:p>
    <w:p>
      <w:pPr>
        <w:pStyle w:val="33"/>
        <w:spacing w:line="520" w:lineRule="exact"/>
        <w:ind w:firstLine="482"/>
        <w:rPr>
          <w:b/>
          <w:bCs/>
        </w:rPr>
      </w:pPr>
      <w:r>
        <w:rPr>
          <w:rFonts w:hint="eastAsia"/>
          <w:b/>
          <w:bCs/>
        </w:rPr>
        <w:t>法定代表人/单位负责人证明书；</w:t>
      </w:r>
    </w:p>
    <w:p>
      <w:pPr>
        <w:pStyle w:val="47"/>
        <w:spacing w:line="520" w:lineRule="exact"/>
        <w:ind w:firstLine="482"/>
      </w:pPr>
      <w:r>
        <w:rPr>
          <w:rFonts w:hint="eastAsia"/>
        </w:rPr>
        <w:t>注：①附法定代表人/单位负责人身份证正反面复印件；②法定代表人/单位负责人亲自参加磋商时提供本证明书。</w:t>
      </w:r>
    </w:p>
    <w:p>
      <w:pPr>
        <w:pStyle w:val="33"/>
        <w:spacing w:line="520" w:lineRule="exact"/>
        <w:ind w:firstLine="482"/>
        <w:rPr>
          <w:b/>
          <w:bCs/>
        </w:rPr>
      </w:pPr>
      <w:r>
        <w:rPr>
          <w:rFonts w:hint="eastAsia"/>
          <w:b/>
          <w:bCs/>
        </w:rPr>
        <w:t>法律、</w:t>
      </w:r>
      <w:r>
        <w:fldChar w:fldCharType="begin"/>
      </w:r>
      <w:r>
        <w:instrText xml:space="preserve"> HYPERLINK "http://www.lawtime.cn/info/sifakaoshi/xingzhengfa/" \t "_blank" </w:instrText>
      </w:r>
      <w:r>
        <w:fldChar w:fldCharType="separate"/>
      </w:r>
      <w:r>
        <w:rPr>
          <w:rFonts w:hint="eastAsia"/>
          <w:b/>
          <w:bCs/>
        </w:rPr>
        <w:t>行政法</w:t>
      </w:r>
      <w:r>
        <w:rPr>
          <w:rFonts w:hint="eastAsia"/>
          <w:b/>
          <w:bCs/>
        </w:rPr>
        <w:fldChar w:fldCharType="end"/>
      </w:r>
      <w:r>
        <w:rPr>
          <w:rFonts w:hint="eastAsia"/>
          <w:b/>
          <w:bCs/>
        </w:rPr>
        <w:t>规规定的其他条件的证明材料；</w:t>
      </w:r>
    </w:p>
    <w:p>
      <w:pPr>
        <w:pStyle w:val="46"/>
        <w:spacing w:line="520" w:lineRule="exact"/>
        <w:rPr>
          <w:rFonts w:hint="eastAsia"/>
        </w:rPr>
      </w:pPr>
      <w:r>
        <w:rPr>
          <w:rFonts w:hint="eastAsia"/>
        </w:rPr>
        <w:t>提供符合法律、</w:t>
      </w:r>
      <w:r>
        <w:fldChar w:fldCharType="begin"/>
      </w:r>
      <w:r>
        <w:instrText xml:space="preserve"> HYPERLINK "http://www.lawtime.cn/info/sifakaoshi/xingzhengfa/" \t "_blank" </w:instrText>
      </w:r>
      <w:r>
        <w:fldChar w:fldCharType="separate"/>
      </w:r>
      <w:r>
        <w:rPr>
          <w:rFonts w:hint="eastAsia"/>
        </w:rPr>
        <w:t>行政法</w:t>
      </w:r>
      <w:r>
        <w:rPr>
          <w:rFonts w:hint="eastAsia"/>
        </w:rPr>
        <w:fldChar w:fldCharType="end"/>
      </w:r>
      <w:r>
        <w:rPr>
          <w:rFonts w:hint="eastAsia"/>
        </w:rPr>
        <w:t>规规定的其他条件的承诺函。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33"/>
        <w:spacing w:line="520" w:lineRule="exact"/>
        <w:ind w:firstLine="482"/>
        <w:rPr>
          <w:b/>
          <w:bCs/>
        </w:rPr>
      </w:pPr>
      <w:r>
        <w:rPr>
          <w:rFonts w:hint="eastAsia"/>
          <w:b/>
          <w:bCs/>
        </w:rPr>
        <w:t>根据采购项目的特殊要求，规定供应商的特定条件的证明材料；</w:t>
      </w:r>
    </w:p>
    <w:p>
      <w:pPr>
        <w:pStyle w:val="43"/>
        <w:spacing w:line="520" w:lineRule="exact"/>
        <w:ind w:firstLine="480" w:firstLineChars="200"/>
        <w:rPr>
          <w:rFonts w:hint="eastAsia" w:cs="宋体"/>
          <w:lang w:val="en-US" w:eastAsia="zh-CN"/>
        </w:rPr>
      </w:pPr>
      <w:r>
        <w:rPr>
          <w:rFonts w:hint="eastAsia" w:cs="宋体"/>
          <w:lang w:val="en-US" w:eastAsia="zh-CN"/>
        </w:rPr>
        <w:t>1.供应商提供中华人民共和国境内依法设立的商业银行、农村信用合作社、农村合作银行等吸收公众存款的同城银行业金融机构相关证明材料。</w:t>
      </w:r>
    </w:p>
    <w:p>
      <w:pPr>
        <w:pStyle w:val="43"/>
        <w:spacing w:line="520" w:lineRule="exact"/>
        <w:ind w:firstLine="480" w:firstLineChars="200"/>
        <w:rPr>
          <w:rFonts w:hint="eastAsia" w:cs="宋体"/>
          <w:lang w:val="en-US" w:eastAsia="zh-CN"/>
        </w:rPr>
      </w:pPr>
      <w:r>
        <w:rPr>
          <w:rFonts w:hint="eastAsia" w:cs="宋体"/>
          <w:lang w:val="en-US" w:eastAsia="zh-CN"/>
        </w:rPr>
        <w:t>2.2022年度在当地(项目所在地成都市)人民银行分支机构综合评价等级为B等及以上</w:t>
      </w:r>
      <w:r>
        <w:rPr>
          <w:rFonts w:hint="eastAsia" w:cs="宋体"/>
          <w:color w:val="auto"/>
          <w:highlight w:val="none"/>
          <w:lang w:val="en-US" w:eastAsia="zh-CN"/>
        </w:rPr>
        <w:t>证明材料复印件</w:t>
      </w:r>
      <w:r>
        <w:rPr>
          <w:rFonts w:hint="eastAsia" w:cs="宋体"/>
          <w:lang w:val="en-US" w:eastAsia="zh-CN"/>
        </w:rPr>
        <w:t>。</w:t>
      </w:r>
    </w:p>
    <w:p>
      <w:pPr>
        <w:pStyle w:val="43"/>
        <w:spacing w:line="520" w:lineRule="exact"/>
        <w:ind w:firstLine="480" w:firstLineChars="200"/>
        <w:rPr>
          <w:rFonts w:hint="eastAsia" w:cs="宋体"/>
          <w:lang w:val="en-US" w:eastAsia="zh-CN"/>
        </w:rPr>
      </w:pPr>
      <w:r>
        <w:rPr>
          <w:rFonts w:hint="eastAsia" w:cs="宋体"/>
          <w:lang w:val="en-US" w:eastAsia="zh-CN"/>
        </w:rPr>
        <w:t>3.提供财务稳健，资本充足率、不良贷款率、拨备覆盖率、流动性覆盖率、流动性比例等指标达到监管标准的承诺函。</w:t>
      </w:r>
    </w:p>
    <w:p>
      <w:pPr>
        <w:pStyle w:val="43"/>
        <w:spacing w:line="520" w:lineRule="exact"/>
        <w:ind w:firstLine="480" w:firstLineChars="200"/>
        <w:rPr>
          <w:rFonts w:hint="eastAsia" w:cs="宋体"/>
          <w:lang w:val="en-US" w:eastAsia="zh-CN"/>
        </w:rPr>
      </w:pPr>
      <w:r>
        <w:rPr>
          <w:rFonts w:hint="eastAsia" w:cs="宋体"/>
          <w:lang w:val="en-US" w:eastAsia="zh-CN"/>
        </w:rPr>
        <w:t>4.提供内部管理机制健全，具有较强的风险控制能力，近3年内未发生金融风险及重大违约事件的承诺函。</w:t>
      </w:r>
    </w:p>
    <w:p>
      <w:pPr>
        <w:pStyle w:val="43"/>
        <w:spacing w:line="520" w:lineRule="exact"/>
        <w:ind w:firstLine="480" w:firstLineChars="200"/>
        <w:rPr>
          <w:rFonts w:hint="eastAsia" w:cs="宋体"/>
          <w:lang w:val="en-US" w:eastAsia="zh-CN"/>
        </w:rPr>
      </w:pPr>
      <w:r>
        <w:rPr>
          <w:rFonts w:hint="eastAsia" w:cs="宋体"/>
          <w:lang w:val="en-US" w:eastAsia="zh-CN"/>
        </w:rPr>
        <w:t>5.一家银行仅允许一个分支机构报名参与本项目。</w:t>
      </w:r>
    </w:p>
    <w:p>
      <w:pPr>
        <w:pStyle w:val="46"/>
        <w:rPr>
          <w:rFonts w:hint="eastAsia"/>
        </w:rPr>
      </w:pPr>
      <w:r>
        <w:rPr>
          <w:rFonts w:hint="eastAsia"/>
          <w:lang w:val="en-US" w:eastAsia="zh-CN"/>
        </w:rPr>
        <w:t>6.</w:t>
      </w:r>
      <w:r>
        <w:rPr>
          <w:rFonts w:hint="eastAsia"/>
        </w:rPr>
        <w:t>提供未与其他供应商组成联合体参与本次采购活动的承诺函。</w:t>
      </w:r>
    </w:p>
    <w:p>
      <w:pPr>
        <w:pStyle w:val="47"/>
        <w:spacing w:line="520" w:lineRule="exact"/>
        <w:ind w:firstLine="482"/>
      </w:pPr>
      <w:r>
        <w:rPr>
          <w:rFonts w:hint="eastAsia"/>
        </w:rPr>
        <w:t>注：</w:t>
      </w:r>
      <w:r>
        <w:rPr>
          <w:rFonts w:hint="eastAsia" w:cs="宋体" w:asciiTheme="minorEastAsia" w:hAnsiTheme="minorEastAsia" w:eastAsiaTheme="minorEastAsia"/>
          <w:bCs/>
        </w:rPr>
        <w:t>承诺函</w:t>
      </w:r>
      <w:r>
        <w:rPr>
          <w:rFonts w:hint="eastAsia"/>
        </w:rPr>
        <w:t>格式自拟，或参照《承诺及声明函》的格式提供。</w:t>
      </w:r>
    </w:p>
    <w:p>
      <w:pPr>
        <w:pStyle w:val="47"/>
        <w:spacing w:line="520" w:lineRule="exact"/>
        <w:ind w:firstLine="482"/>
      </w:pPr>
      <w:r>
        <w:rPr>
          <w:rFonts w:hint="eastAsia"/>
        </w:rPr>
        <w:t>说明：①供应商提供的以上资格证明材料及其他类似效力要求的相关证明材料均应加盖供应商公章，否则资格审查将视为未通过。本项目资格审查仅限于本章涉及的所有内容，若供应商未按照以上要求提供齐全，其资格审查作未通过处理。</w:t>
      </w:r>
    </w:p>
    <w:p>
      <w:pPr>
        <w:pStyle w:val="47"/>
        <w:spacing w:line="520" w:lineRule="exact"/>
        <w:ind w:firstLine="482"/>
      </w:pPr>
      <w:r>
        <w:rPr>
          <w:rFonts w:hint="eastAsia"/>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pPr>
        <w:pStyle w:val="47"/>
        <w:spacing w:line="520" w:lineRule="exact"/>
        <w:ind w:firstLine="482"/>
      </w:pPr>
      <w:r>
        <w:rPr>
          <w:rFonts w:hint="eastAsia"/>
        </w:rPr>
        <w:t>③重大违法记录中的较大数额罚款的具体金额标准及范围是：根据</w:t>
      </w:r>
      <w:bookmarkStart w:id="359" w:name="sendNo"/>
      <w:r>
        <w:rPr>
          <w:rFonts w:hint="eastAsia"/>
        </w:rPr>
        <w:t>财库〔2022〕3 号</w:t>
      </w:r>
      <w:bookmarkEnd w:id="359"/>
      <w:r>
        <w:rPr>
          <w:rFonts w:hint="eastAsia"/>
        </w:rPr>
        <w:t>文件关于“较大数额罚款”认定为200万元以上的罚款，法律、行政法规以及国务院有关部门明确规定相关领域“较大数额罚款”标准高于200万元的，从其规定。</w:t>
      </w:r>
    </w:p>
    <w:p>
      <w:pPr>
        <w:pStyle w:val="47"/>
        <w:spacing w:line="520" w:lineRule="exact"/>
        <w:ind w:firstLine="482"/>
      </w:pPr>
      <w:r>
        <w:rPr>
          <w:rFonts w:hint="eastAsia"/>
        </w:rPr>
        <w:t>④供应商应对其所提供的资格证明材料来源的合法性、真实性承担法律责任。</w:t>
      </w:r>
    </w:p>
    <w:p>
      <w:pPr>
        <w:pStyle w:val="47"/>
        <w:spacing w:line="520" w:lineRule="exact"/>
        <w:ind w:firstLine="482"/>
      </w:pPr>
      <w:r>
        <w:rPr>
          <w:rFonts w:hint="eastAsia"/>
        </w:rPr>
        <w:fldChar w:fldCharType="begin"/>
      </w:r>
      <w:r>
        <w:rPr>
          <w:rFonts w:hint="eastAsia"/>
        </w:rPr>
        <w:instrText xml:space="preserve"> = 5 \* GB3 \* MERGEFORMAT </w:instrText>
      </w:r>
      <w:r>
        <w:rPr>
          <w:rFonts w:hint="eastAsia"/>
        </w:rPr>
        <w:fldChar w:fldCharType="separate"/>
      </w:r>
      <w:r>
        <w:rPr>
          <w:rFonts w:hint="eastAsia"/>
        </w:rPr>
        <w:t>⑤</w:t>
      </w:r>
      <w:r>
        <w:rPr>
          <w:rFonts w:hint="eastAsia"/>
        </w:rPr>
        <w:fldChar w:fldCharType="end"/>
      </w:r>
      <w:r>
        <w:rPr>
          <w:rFonts w:hint="eastAsia"/>
        </w:rPr>
        <w:t>以上承诺及声明函可参照第三章响应文件格式“承诺及声明函”格式或自拟格式填写均有效。</w:t>
      </w:r>
    </w:p>
    <w:p>
      <w:pPr>
        <w:pStyle w:val="47"/>
        <w:spacing w:line="520" w:lineRule="exact"/>
        <w:ind w:firstLine="482"/>
      </w:pPr>
      <w:r>
        <w:rPr>
          <w:rFonts w:hint="eastAsia"/>
        </w:rPr>
        <w:fldChar w:fldCharType="begin"/>
      </w:r>
      <w:r>
        <w:rPr>
          <w:rFonts w:hint="eastAsia"/>
        </w:rPr>
        <w:instrText xml:space="preserve"> = 6 \* GB3 \* MERGEFORMAT </w:instrText>
      </w:r>
      <w:r>
        <w:rPr>
          <w:rFonts w:hint="eastAsia"/>
        </w:rPr>
        <w:fldChar w:fldCharType="separate"/>
      </w:r>
      <w:r>
        <w:rPr>
          <w:rFonts w:hint="eastAsia"/>
        </w:rPr>
        <w:t>⑥</w:t>
      </w:r>
      <w:r>
        <w:rPr>
          <w:rFonts w:hint="eastAsia"/>
        </w:rPr>
        <w:fldChar w:fldCharType="end"/>
      </w:r>
      <w:r>
        <w:rPr>
          <w:rFonts w:hint="eastAsia"/>
        </w:rPr>
        <w:t>本章要求提供的相关证明材料应当结合采购项目具体情况和供应商的组织机构性质确定，不得一概而论。</w:t>
      </w:r>
    </w:p>
    <w:bookmarkEnd w:id="358"/>
    <w:p>
      <w:pPr>
        <w:spacing w:line="520" w:lineRule="exact"/>
      </w:pPr>
      <w:r>
        <w:rPr>
          <w:rFonts w:hint="eastAsia" w:asciiTheme="minorEastAsia" w:hAnsiTheme="minorEastAsia" w:eastAsiaTheme="minorEastAsia" w:cstheme="minorEastAsia"/>
          <w:sz w:val="36"/>
          <w:szCs w:val="36"/>
        </w:rPr>
        <w:br w:type="page"/>
      </w:r>
    </w:p>
    <w:p>
      <w:pPr>
        <w:pStyle w:val="48"/>
        <w:numPr>
          <w:ilvl w:val="0"/>
          <w:numId w:val="20"/>
        </w:numPr>
        <w:spacing w:before="120" w:after="120"/>
      </w:pPr>
      <w:bookmarkStart w:id="360" w:name="_Toc4664"/>
      <w:bookmarkStart w:id="361" w:name="_Toc30303"/>
      <w:r>
        <w:rPr>
          <w:rFonts w:hint="eastAsia" w:asciiTheme="minorEastAsia" w:hAnsiTheme="minorEastAsia" w:eastAsiaTheme="minorEastAsia" w:cstheme="minorEastAsia"/>
          <w:szCs w:val="36"/>
        </w:rPr>
        <w:t>采购项目技术、服务、合同内容条款及商务要求</w:t>
      </w:r>
      <w:bookmarkEnd w:id="360"/>
      <w:bookmarkEnd w:id="361"/>
    </w:p>
    <w:p>
      <w:pPr>
        <w:pStyle w:val="35"/>
        <w:bidi w:val="0"/>
        <w:rPr>
          <w:rFonts w:hint="eastAsia"/>
          <w:color w:val="auto"/>
          <w:highlight w:val="none"/>
        </w:rPr>
      </w:pPr>
      <w:bookmarkStart w:id="362" w:name="_Toc31066"/>
      <w:bookmarkStart w:id="363" w:name="_Toc23410"/>
      <w:bookmarkStart w:id="364" w:name="_Toc18478"/>
      <w:bookmarkStart w:id="365" w:name="_Toc27313"/>
      <w:bookmarkStart w:id="366" w:name="_Toc24953"/>
      <w:bookmarkStart w:id="367" w:name="_Toc32286_WPSOffice_Level2"/>
      <w:bookmarkStart w:id="368" w:name="_Toc27469"/>
      <w:bookmarkStart w:id="369" w:name="_Toc28932"/>
      <w:bookmarkStart w:id="370" w:name="_Toc1684"/>
      <w:bookmarkStart w:id="371" w:name="_Toc319440192"/>
      <w:bookmarkStart w:id="372" w:name="_Toc23360"/>
      <w:bookmarkStart w:id="373" w:name="_Toc308084648"/>
      <w:bookmarkStart w:id="374" w:name="_Toc217446099"/>
      <w:bookmarkStart w:id="375" w:name="_Toc29864"/>
      <w:bookmarkStart w:id="376" w:name="_Toc217446060"/>
      <w:bookmarkStart w:id="377" w:name="_Toc307564899"/>
      <w:bookmarkStart w:id="378" w:name="_Toc1541"/>
      <w:bookmarkStart w:id="379" w:name="_Toc309897566"/>
      <w:bookmarkStart w:id="380" w:name="_Toc1839"/>
      <w:bookmarkStart w:id="381" w:name="_Toc12025"/>
      <w:bookmarkStart w:id="382" w:name="_Toc307501157"/>
      <w:bookmarkStart w:id="383" w:name="_Toc327196343"/>
      <w:bookmarkStart w:id="384" w:name="_Toc32159"/>
      <w:bookmarkStart w:id="385" w:name="_Toc319439948"/>
      <w:bookmarkStart w:id="386" w:name="_Toc308188201"/>
      <w:r>
        <w:rPr>
          <w:rFonts w:hint="eastAsia"/>
          <w:color w:val="auto"/>
          <w:highlight w:val="none"/>
          <w:lang w:val="en-US" w:eastAsia="zh-CN"/>
        </w:rPr>
        <w:t>项目概况</w:t>
      </w:r>
      <w:bookmarkEnd w:id="362"/>
      <w:bookmarkEnd w:id="363"/>
      <w:bookmarkEnd w:id="364"/>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lang w:val="en-US" w:eastAsia="zh-CN"/>
        </w:rPr>
        <w:t>市财政局、人行成都分行营管部、市审计局关于印发&lt;成都市市本级预算单位银行账户管理办法&gt;是通知</w:t>
      </w:r>
      <w:r>
        <w:rPr>
          <w:rFonts w:hint="eastAsia" w:ascii="宋体" w:hAnsi="宋体" w:eastAsia="宋体" w:cs="宋体"/>
          <w:color w:val="auto"/>
          <w:sz w:val="24"/>
          <w:szCs w:val="24"/>
          <w:highlight w:val="none"/>
          <w:lang w:eastAsia="zh-CN"/>
        </w:rPr>
        <w:t>》等文件精神，本项目拟</w:t>
      </w:r>
      <w:r>
        <w:rPr>
          <w:rFonts w:hint="eastAsia" w:ascii="宋体" w:hAnsi="宋体" w:eastAsia="宋体" w:cs="宋体"/>
          <w:color w:val="auto"/>
          <w:sz w:val="24"/>
          <w:szCs w:val="24"/>
          <w:highlight w:val="none"/>
          <w:lang w:val="en-US" w:eastAsia="zh-CN"/>
        </w:rPr>
        <w:t>选取一家</w:t>
      </w:r>
      <w:r>
        <w:rPr>
          <w:rFonts w:hint="eastAsia" w:ascii="宋体" w:hAnsi="宋体" w:eastAsia="宋体" w:cs="宋体"/>
          <w:color w:val="auto"/>
          <w:sz w:val="24"/>
          <w:szCs w:val="24"/>
          <w:highlight w:val="none"/>
          <w:lang w:eastAsia="zh-CN"/>
        </w:rPr>
        <w:t>食堂专用存款</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lang w:eastAsia="zh-CN"/>
        </w:rPr>
        <w:t>银行。</w:t>
      </w:r>
    </w:p>
    <w:p>
      <w:pPr>
        <w:pStyle w:val="35"/>
        <w:bidi w:val="0"/>
        <w:rPr>
          <w:rFonts w:hint="eastAsia" w:ascii="宋体" w:hAnsi="宋体" w:eastAsia="宋体" w:cs="宋体"/>
          <w:color w:val="auto"/>
          <w:sz w:val="24"/>
          <w:szCs w:val="24"/>
          <w:highlight w:val="none"/>
          <w:lang w:val="en-US" w:eastAsia="zh-CN"/>
        </w:rPr>
      </w:pPr>
      <w:bookmarkStart w:id="387" w:name="_Toc8911"/>
      <w:bookmarkStart w:id="388" w:name="_Toc4216"/>
      <w:bookmarkStart w:id="389" w:name="_Toc17716"/>
      <w:bookmarkStart w:id="390" w:name="_Toc25039"/>
      <w:bookmarkStart w:id="391" w:name="_Toc2567_WPSOffice_Level2"/>
      <w:r>
        <w:rPr>
          <w:rFonts w:hint="eastAsia" w:ascii="宋体" w:hAnsi="宋体" w:eastAsia="宋体" w:cs="宋体"/>
          <w:color w:val="auto"/>
          <w:sz w:val="24"/>
          <w:szCs w:val="24"/>
          <w:highlight w:val="none"/>
          <w:lang w:val="en-US" w:eastAsia="zh-CN"/>
        </w:rPr>
        <w:t>采购标的</w:t>
      </w:r>
      <w:bookmarkEnd w:id="387"/>
    </w:p>
    <w:tbl>
      <w:tblPr>
        <w:tblStyle w:val="25"/>
        <w:tblW w:w="4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435"/>
        <w:gridCol w:w="1455"/>
        <w:gridCol w:w="1139"/>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序号</w:t>
            </w:r>
          </w:p>
        </w:tc>
        <w:tc>
          <w:tcPr>
            <w:tcW w:w="13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标的名称</w:t>
            </w:r>
          </w:p>
        </w:tc>
        <w:tc>
          <w:tcPr>
            <w:tcW w:w="8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计量单位</w:t>
            </w:r>
          </w:p>
        </w:tc>
        <w:tc>
          <w:tcPr>
            <w:tcW w:w="6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数量</w:t>
            </w:r>
          </w:p>
        </w:tc>
        <w:tc>
          <w:tcPr>
            <w:tcW w:w="17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1</w:t>
            </w:r>
          </w:p>
        </w:tc>
        <w:tc>
          <w:tcPr>
            <w:tcW w:w="134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食堂专用存款账户银行</w:t>
            </w:r>
            <w:r>
              <w:rPr>
                <w:rFonts w:hint="eastAsia" w:cs="宋体"/>
                <w:sz w:val="21"/>
                <w:szCs w:val="21"/>
                <w:highlight w:val="none"/>
                <w:lang w:val="en-US" w:eastAsia="zh-CN"/>
              </w:rPr>
              <w:t>服务</w:t>
            </w:r>
          </w:p>
        </w:tc>
        <w:tc>
          <w:tcPr>
            <w:tcW w:w="80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eastAsia="zh-CN"/>
              </w:rPr>
            </w:pPr>
            <w:r>
              <w:rPr>
                <w:rFonts w:hint="eastAsia" w:cs="宋体"/>
                <w:sz w:val="21"/>
                <w:szCs w:val="21"/>
                <w:highlight w:val="none"/>
                <w:lang w:val="en-US" w:eastAsia="zh-CN"/>
              </w:rPr>
              <w:t>项</w:t>
            </w:r>
          </w:p>
        </w:tc>
        <w:tc>
          <w:tcPr>
            <w:tcW w:w="63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1</w:t>
            </w:r>
          </w:p>
        </w:tc>
        <w:tc>
          <w:tcPr>
            <w:tcW w:w="1792"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sz w:val="21"/>
                <w:szCs w:val="21"/>
                <w:highlight w:val="none"/>
                <w:lang w:val="zh-CN"/>
              </w:rPr>
            </w:pPr>
            <w:r>
              <w:rPr>
                <w:rFonts w:hint="eastAsia" w:ascii="宋体" w:hAnsi="宋体" w:eastAsia="宋体" w:cs="宋体"/>
                <w:kern w:val="2"/>
                <w:sz w:val="21"/>
                <w:szCs w:val="21"/>
                <w:highlight w:val="none"/>
                <w:lang w:val="zh-CN"/>
              </w:rPr>
              <w:t>其他未列明行业</w:t>
            </w:r>
          </w:p>
        </w:tc>
      </w:tr>
    </w:tbl>
    <w:p>
      <w:pPr>
        <w:pStyle w:val="35"/>
        <w:keepNext w:val="0"/>
        <w:keepLines w:val="0"/>
        <w:pageBreakBefore w:val="0"/>
        <w:widowControl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bookmarkStart w:id="392" w:name="_Toc29841"/>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服务内容</w:t>
      </w:r>
      <w:bookmarkEnd w:id="388"/>
      <w:bookmarkEnd w:id="389"/>
      <w:bookmarkEnd w:id="392"/>
    </w:p>
    <w:bookmarkEnd w:id="390"/>
    <w:bookmarkEnd w:id="391"/>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bookmarkStart w:id="393" w:name="_Toc12968"/>
      <w:bookmarkStart w:id="394" w:name="_Toc15303"/>
      <w:bookmarkStart w:id="395" w:name="_Toc30785"/>
      <w:r>
        <w:rPr>
          <w:rFonts w:hint="eastAsia" w:ascii="宋体" w:hAnsi="宋体" w:eastAsia="宋体" w:cs="宋体"/>
          <w:color w:val="auto"/>
          <w:sz w:val="24"/>
          <w:szCs w:val="24"/>
          <w:highlight w:val="none"/>
          <w:lang w:val="zh-CN" w:eastAsia="zh-CN"/>
        </w:rPr>
        <w:t>1.供应商全力协助采购人办理食堂专用账户的开立。</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2.指定一名客户经理负责采购人与银行间的沟通，了解采购人日常业务，及时解决日常业务活动中出现的各类问题。</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3.供应商收到采购人票据等材料后，认真审核其完整性、准确性、规范性，确保及时、安全、准确办理相关业务；对于紧急业务事项应按照加急业务处理程序进行处理。</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4.供应商应对资金去向进行监督，发现可疑情况时，应及时向采购人核实。</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5.供应商定期与采购人进行账务核对，为采购人提供真实、准确、完整的对账数据，并对数据的真实性负责。</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6.供应商应确保各类结算单据及时、真实、完整传递至采购人。</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7.供应商应对账户的信息进行保密，未经采购人同意，不得向任何第三方泄露、提供，且不得擅自通过任何方式进行使用。</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zh-CN"/>
        </w:rPr>
        <w:t>对</w:t>
      </w:r>
      <w:r>
        <w:rPr>
          <w:rFonts w:hint="eastAsia" w:ascii="宋体" w:hAnsi="宋体" w:eastAsia="宋体" w:cs="宋体"/>
          <w:color w:val="auto"/>
          <w:sz w:val="24"/>
          <w:szCs w:val="24"/>
          <w:highlight w:val="none"/>
          <w:lang w:val="zh-CN" w:eastAsia="zh-CN"/>
        </w:rPr>
        <w:t>国家、省市</w:t>
      </w:r>
      <w:r>
        <w:rPr>
          <w:rFonts w:hint="eastAsia" w:ascii="宋体" w:hAnsi="宋体" w:eastAsia="宋体" w:cs="宋体"/>
          <w:color w:val="auto"/>
          <w:sz w:val="24"/>
          <w:szCs w:val="24"/>
          <w:highlight w:val="none"/>
          <w:lang w:val="zh-CN"/>
        </w:rPr>
        <w:t>出台的新政策、新动向</w:t>
      </w:r>
      <w:r>
        <w:rPr>
          <w:rFonts w:hint="eastAsia" w:ascii="宋体" w:hAnsi="宋体" w:eastAsia="宋体" w:cs="宋体"/>
          <w:color w:val="auto"/>
          <w:sz w:val="24"/>
          <w:szCs w:val="24"/>
          <w:highlight w:val="none"/>
          <w:lang w:val="zh-CN" w:eastAsia="zh-CN"/>
        </w:rPr>
        <w:t>应</w:t>
      </w:r>
      <w:r>
        <w:rPr>
          <w:rFonts w:hint="eastAsia" w:ascii="宋体" w:hAnsi="宋体" w:eastAsia="宋体" w:cs="宋体"/>
          <w:color w:val="auto"/>
          <w:sz w:val="24"/>
          <w:szCs w:val="24"/>
          <w:highlight w:val="none"/>
          <w:lang w:val="zh-CN"/>
        </w:rPr>
        <w:t>及时传达</w:t>
      </w:r>
      <w:r>
        <w:rPr>
          <w:rFonts w:hint="eastAsia" w:ascii="宋体" w:hAnsi="宋体" w:eastAsia="宋体" w:cs="宋体"/>
          <w:color w:val="auto"/>
          <w:sz w:val="24"/>
          <w:szCs w:val="24"/>
          <w:highlight w:val="none"/>
          <w:lang w:val="zh-CN" w:eastAsia="zh-CN"/>
        </w:rPr>
        <w:t>告知采购人</w:t>
      </w:r>
      <w:r>
        <w:rPr>
          <w:rFonts w:hint="eastAsia" w:ascii="宋体" w:hAnsi="宋体" w:eastAsia="宋体" w:cs="宋体"/>
          <w:color w:val="auto"/>
          <w:sz w:val="24"/>
          <w:szCs w:val="24"/>
          <w:highlight w:val="none"/>
          <w:lang w:val="zh-CN"/>
        </w:rPr>
        <w:t>。</w:t>
      </w:r>
    </w:p>
    <w:p>
      <w:pPr>
        <w:pStyle w:val="43"/>
        <w:keepNext w:val="0"/>
        <w:keepLines w:val="0"/>
        <w:pageBreakBefore w:val="0"/>
        <w:widowControl w:val="0"/>
        <w:kinsoku/>
        <w:wordWrap w:val="0"/>
        <w:overflowPunct/>
        <w:topLinePunct/>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9.供应商</w:t>
      </w:r>
      <w:r>
        <w:rPr>
          <w:rFonts w:hint="eastAsia" w:ascii="宋体" w:hAnsi="宋体" w:eastAsia="宋体" w:cs="宋体"/>
          <w:color w:val="auto"/>
          <w:sz w:val="24"/>
          <w:szCs w:val="24"/>
          <w:highlight w:val="none"/>
          <w:lang w:val="zh-CN"/>
        </w:rPr>
        <w:t>应健全内部管理机制、加强风险防控、保障存放资金安全，出现特殊重大事项或安全管理突发状况可能影响存放资金安全时应及时书面告知</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。因</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或</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工作人员的原因影响存放资金安全、造成损失的，</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应赔偿由此产生的一切损失。</w:t>
      </w:r>
    </w:p>
    <w:bookmarkEnd w:id="393"/>
    <w:bookmarkEnd w:id="394"/>
    <w:bookmarkEnd w:id="395"/>
    <w:p>
      <w:pPr>
        <w:pStyle w:val="35"/>
        <w:keepNext w:val="0"/>
        <w:keepLines w:val="0"/>
        <w:pageBreakBefore w:val="0"/>
        <w:widowControl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bookmarkStart w:id="396" w:name="_Toc5339"/>
      <w:bookmarkStart w:id="397" w:name="_Toc17693"/>
      <w:bookmarkStart w:id="398" w:name="_Toc24275"/>
      <w:bookmarkStart w:id="399" w:name="_Toc24338"/>
      <w:bookmarkStart w:id="400" w:name="_Toc9683"/>
      <w:bookmarkStart w:id="401" w:name="_Toc6974"/>
      <w:bookmarkStart w:id="402" w:name="_Toc8752_WPSOffice_Level2"/>
      <w:bookmarkStart w:id="403" w:name="_Toc12739"/>
      <w:bookmarkStart w:id="404" w:name="_Toc27497"/>
      <w:bookmarkStart w:id="405" w:name="_Toc7101"/>
      <w:r>
        <w:rPr>
          <w:rFonts w:hint="eastAsia" w:ascii="宋体" w:hAnsi="宋体" w:eastAsia="宋体" w:cs="宋体"/>
          <w:color w:val="auto"/>
          <w:sz w:val="24"/>
          <w:szCs w:val="24"/>
          <w:highlight w:val="none"/>
          <w:lang w:val="en-US" w:eastAsia="zh-CN"/>
        </w:rPr>
        <w:t>履约能力要求</w:t>
      </w:r>
      <w:bookmarkEnd w:id="396"/>
      <w:bookmarkEnd w:id="397"/>
      <w:bookmarkEnd w:id="398"/>
    </w:p>
    <w:p>
      <w:pPr>
        <w:keepNext w:val="0"/>
        <w:keepLines w:val="0"/>
        <w:pageBreakBefore w:val="0"/>
        <w:widowControl w:val="0"/>
        <w:numPr>
          <w:ilvl w:val="0"/>
          <w:numId w:val="22"/>
        </w:numPr>
        <w:tabs>
          <w:tab w:val="left" w:pos="312"/>
          <w:tab w:val="clear" w:pos="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经营状况指标</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color w:val="auto"/>
          <w:highlight w:val="none"/>
          <w:lang w:val="en-US" w:eastAsia="zh-CN"/>
        </w:rPr>
        <w:t>包含：供应商需提供总行净资产总额、资本充足率、不良贷款率、拨备覆盖率、动性覆盖率、流动性比例相关数据证明材料；</w:t>
      </w:r>
    </w:p>
    <w:p>
      <w:pPr>
        <w:keepNext w:val="0"/>
        <w:keepLines w:val="0"/>
        <w:pageBreakBefore w:val="0"/>
        <w:widowControl w:val="0"/>
        <w:numPr>
          <w:ilvl w:val="0"/>
          <w:numId w:val="22"/>
        </w:numPr>
        <w:tabs>
          <w:tab w:val="left" w:pos="312"/>
          <w:tab w:val="clear" w:pos="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贡献度</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包含：对四川省小微企业领域贷款余额合计、对四川省三农领域贷款余额合计、对四川省扶贫领域贷款余额合计、对成都市小微企业领域贷款余额合计、对成都市三农领域贷款余额合计、对成都市扶贫领域贷款余额合计</w:t>
      </w:r>
      <w:r>
        <w:rPr>
          <w:rFonts w:hint="eastAsia"/>
          <w:color w:val="auto"/>
          <w:highlight w:val="none"/>
          <w:lang w:val="en-US" w:eastAsia="zh-CN"/>
        </w:rPr>
        <w:t>相关数据证明材料；</w:t>
      </w:r>
    </w:p>
    <w:p>
      <w:pPr>
        <w:keepNext w:val="0"/>
        <w:keepLines w:val="0"/>
        <w:pageBreakBefore w:val="0"/>
        <w:widowControl w:val="0"/>
        <w:numPr>
          <w:ilvl w:val="0"/>
          <w:numId w:val="22"/>
        </w:numPr>
        <w:tabs>
          <w:tab w:val="left" w:pos="312"/>
          <w:tab w:val="clear" w:pos="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服务水平和能力</w:t>
      </w:r>
    </w:p>
    <w:p>
      <w:pPr>
        <w:keepNext w:val="0"/>
        <w:keepLines w:val="0"/>
        <w:pageBreakBefore w:val="0"/>
        <w:widowControl w:val="0"/>
        <w:numPr>
          <w:ilvl w:val="0"/>
          <w:numId w:val="0"/>
        </w:numPr>
        <w:tabs>
          <w:tab w:val="left" w:pos="312"/>
          <w:tab w:val="clear" w:pos="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根据2022年省财政对代理银行支付结算考核综合评分提供相关证明材料。</w:t>
      </w:r>
    </w:p>
    <w:p>
      <w:pPr>
        <w:pStyle w:val="47"/>
        <w:keepNext w:val="0"/>
        <w:keepLines w:val="0"/>
        <w:pageBreakBefore w:val="0"/>
        <w:widowControl w:val="0"/>
        <w:kinsoku/>
        <w:overflowPunct/>
        <w:autoSpaceDE/>
        <w:autoSpaceDN/>
        <w:bidi w:val="0"/>
        <w:spacing w:line="520" w:lineRule="exact"/>
        <w:textAlignment w:val="auto"/>
        <w:rPr>
          <w:rFonts w:hint="eastAsia"/>
          <w:color w:val="auto"/>
          <w:highlight w:val="none"/>
          <w:lang w:val="en-US" w:eastAsia="zh-CN"/>
        </w:rPr>
      </w:pPr>
      <w:r>
        <w:rPr>
          <w:rFonts w:hint="eastAsia"/>
          <w:color w:val="auto"/>
          <w:highlight w:val="none"/>
          <w:lang w:val="en-US" w:eastAsia="zh-CN"/>
        </w:rPr>
        <w:t>注：</w:t>
      </w:r>
      <w:r>
        <w:rPr>
          <w:rFonts w:hint="default"/>
          <w:color w:val="auto"/>
          <w:highlight w:val="none"/>
          <w:lang w:val="en-US" w:eastAsia="zh-CN"/>
        </w:rPr>
        <w:t>①</w:t>
      </w:r>
      <w:r>
        <w:rPr>
          <w:rFonts w:hint="eastAsia"/>
          <w:color w:val="auto"/>
          <w:highlight w:val="none"/>
          <w:lang w:val="en-US" w:eastAsia="zh-CN"/>
        </w:rPr>
        <w:t>供应商应当根据本项目实际情况提供真实、客观的证明材料。</w:t>
      </w:r>
    </w:p>
    <w:p>
      <w:pPr>
        <w:pStyle w:val="47"/>
        <w:keepNext w:val="0"/>
        <w:keepLines w:val="0"/>
        <w:pageBreakBefore w:val="0"/>
        <w:widowControl w:val="0"/>
        <w:kinsoku/>
        <w:overflowPunct/>
        <w:autoSpaceDE/>
        <w:autoSpaceDN/>
        <w:bidi w:val="0"/>
        <w:spacing w:line="520" w:lineRule="exact"/>
        <w:textAlignment w:val="auto"/>
        <w:rPr>
          <w:rFonts w:hint="eastAsia"/>
          <w:color w:val="auto"/>
          <w:highlight w:val="none"/>
          <w:lang w:val="en-US" w:eastAsia="zh-CN"/>
        </w:rPr>
      </w:pPr>
      <w:r>
        <w:rPr>
          <w:rFonts w:hint="default"/>
          <w:color w:val="auto"/>
          <w:highlight w:val="none"/>
          <w:lang w:val="en-US" w:eastAsia="zh-CN"/>
        </w:rPr>
        <w:t>②</w:t>
      </w:r>
      <w:r>
        <w:rPr>
          <w:rFonts w:hint="eastAsia"/>
          <w:color w:val="auto"/>
          <w:highlight w:val="none"/>
          <w:lang w:val="en-US" w:eastAsia="zh-CN"/>
        </w:rPr>
        <w:t>供应商应当保证所提交的所有材料的真实性，若提交虚假材料谋取成交的，将上报同级监管部门依法处理。</w:t>
      </w:r>
    </w:p>
    <w:p>
      <w:pPr>
        <w:pStyle w:val="35"/>
        <w:keepNext w:val="0"/>
        <w:keepLines w:val="0"/>
        <w:pageBreakBefore w:val="0"/>
        <w:widowControl w:val="0"/>
        <w:kinsoku/>
        <w:overflowPunct/>
        <w:autoSpaceDE/>
        <w:autoSpaceDN/>
        <w:bidi w:val="0"/>
        <w:spacing w:line="520" w:lineRule="exact"/>
        <w:textAlignment w:val="auto"/>
        <w:rPr>
          <w:rFonts w:hint="eastAsia" w:ascii="宋体" w:hAnsi="宋体" w:eastAsia="宋体" w:cs="宋体"/>
          <w:color w:val="auto"/>
          <w:sz w:val="24"/>
          <w:szCs w:val="24"/>
          <w:highlight w:val="none"/>
          <w:lang w:val="en-US" w:eastAsia="zh-CN"/>
        </w:rPr>
      </w:pPr>
      <w:bookmarkStart w:id="406" w:name="_Toc29013"/>
      <w:bookmarkStart w:id="407" w:name="_Toc13175"/>
      <w:bookmarkStart w:id="408" w:name="_Toc12076"/>
      <w:r>
        <w:rPr>
          <w:rFonts w:hint="eastAsia"/>
          <w:color w:val="auto"/>
          <w:highlight w:val="none"/>
          <w:lang w:val="en-US" w:eastAsia="zh-CN"/>
        </w:rPr>
        <w:t>★</w:t>
      </w:r>
      <w:r>
        <w:rPr>
          <w:rFonts w:hint="eastAsia" w:ascii="宋体" w:hAnsi="宋体" w:eastAsia="宋体" w:cs="宋体"/>
          <w:color w:val="auto"/>
          <w:sz w:val="24"/>
          <w:szCs w:val="24"/>
          <w:highlight w:val="none"/>
          <w:lang w:val="en-US" w:eastAsia="zh-CN"/>
        </w:rPr>
        <w:t>商务要求</w:t>
      </w:r>
      <w:bookmarkEnd w:id="406"/>
      <w:bookmarkEnd w:id="407"/>
      <w:bookmarkEnd w:id="408"/>
    </w:p>
    <w:bookmarkEnd w:id="399"/>
    <w:p>
      <w:pPr>
        <w:pStyle w:val="49"/>
        <w:keepNext w:val="0"/>
        <w:keepLines w:val="0"/>
        <w:pageBreakBefore w:val="0"/>
        <w:widowControl w:val="0"/>
        <w:kinsoku/>
        <w:overflowPunct/>
        <w:autoSpaceDE/>
        <w:autoSpaceDN/>
        <w:bidi w:val="0"/>
        <w:spacing w:line="520" w:lineRule="exact"/>
        <w:textAlignment w:val="auto"/>
        <w:rPr>
          <w:rFonts w:hint="eastAsia"/>
          <w:color w:val="auto"/>
          <w:highlight w:val="none"/>
          <w:lang w:val="en-US" w:eastAsia="zh-CN"/>
        </w:rPr>
      </w:pPr>
      <w:bookmarkStart w:id="409" w:name="_Toc16599"/>
      <w:bookmarkStart w:id="410" w:name="_Toc8510"/>
      <w:bookmarkStart w:id="411" w:name="_Toc22698"/>
      <w:r>
        <w:rPr>
          <w:rFonts w:hint="eastAsia"/>
          <w:color w:val="auto"/>
          <w:highlight w:val="none"/>
          <w:lang w:val="en-US" w:eastAsia="zh-CN"/>
        </w:rPr>
        <w:t>履约时间和地点</w:t>
      </w:r>
      <w:bookmarkEnd w:id="409"/>
      <w:bookmarkEnd w:id="410"/>
      <w:bookmarkEnd w:id="411"/>
    </w:p>
    <w:p>
      <w:pPr>
        <w:pStyle w:val="3"/>
        <w:keepNext w:val="0"/>
        <w:keepLines w:val="0"/>
        <w:pageBreakBefore w:val="0"/>
        <w:widowControl w:val="0"/>
        <w:numPr>
          <w:ilvl w:val="0"/>
          <w:numId w:val="23"/>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履约时间：本项目合同签订后，在采购人获得上级主管部门开户许可且供应商在收到采购人开户资料后的10个工作日内开通存款专户。合同期内采购人有权根据上级相关规定、供应商履约情况以及采购人的实际，注销或变更该账户。合同为长期合同，一经签订，长期有效。</w:t>
      </w:r>
    </w:p>
    <w:p>
      <w:pPr>
        <w:pStyle w:val="3"/>
        <w:keepNext w:val="0"/>
        <w:keepLines w:val="0"/>
        <w:pageBreakBefore w:val="0"/>
        <w:widowControl w:val="0"/>
        <w:numPr>
          <w:ilvl w:val="0"/>
          <w:numId w:val="23"/>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履约地点：成都市郫都区红光街道港通北三路1899号。</w:t>
      </w:r>
    </w:p>
    <w:p>
      <w:pPr>
        <w:pStyle w:val="49"/>
        <w:keepNext w:val="0"/>
        <w:keepLines w:val="0"/>
        <w:pageBreakBefore w:val="0"/>
        <w:widowControl w:val="0"/>
        <w:kinsoku/>
        <w:overflowPunct/>
        <w:autoSpaceDE/>
        <w:autoSpaceDN/>
        <w:bidi w:val="0"/>
        <w:spacing w:line="520" w:lineRule="exact"/>
        <w:textAlignment w:val="auto"/>
        <w:rPr>
          <w:rFonts w:hint="eastAsia" w:asciiTheme="minorEastAsia" w:hAnsiTheme="minorEastAsia" w:eastAsiaTheme="minorEastAsia" w:cstheme="minorEastAsia"/>
          <w:b/>
          <w:bCs/>
          <w:color w:val="auto"/>
          <w:sz w:val="24"/>
          <w:szCs w:val="24"/>
          <w:highlight w:val="none"/>
          <w:lang w:val="en-US" w:eastAsia="zh-CN"/>
        </w:rPr>
      </w:pPr>
      <w:bookmarkStart w:id="412" w:name="_Toc9443"/>
      <w:bookmarkStart w:id="413" w:name="_Toc10163"/>
      <w:bookmarkStart w:id="414" w:name="_Toc3203"/>
      <w:r>
        <w:rPr>
          <w:rFonts w:hint="eastAsia" w:asciiTheme="minorEastAsia" w:hAnsiTheme="minorEastAsia" w:eastAsiaTheme="minorEastAsia" w:cstheme="minorEastAsia"/>
          <w:b/>
          <w:bCs/>
          <w:color w:val="auto"/>
          <w:sz w:val="24"/>
          <w:szCs w:val="24"/>
          <w:highlight w:val="none"/>
          <w:lang w:val="en-US" w:eastAsia="zh-CN"/>
        </w:rPr>
        <w:t>利息及结算方式</w:t>
      </w:r>
      <w:bookmarkEnd w:id="412"/>
      <w:bookmarkEnd w:id="413"/>
      <w:bookmarkEnd w:id="414"/>
    </w:p>
    <w:p>
      <w:pPr>
        <w:pStyle w:val="3"/>
        <w:keepNext w:val="0"/>
        <w:keepLines w:val="0"/>
        <w:pageBreakBefore w:val="0"/>
        <w:widowControl w:val="0"/>
        <w:numPr>
          <w:ilvl w:val="0"/>
          <w:numId w:val="24"/>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利息=中国人民银行对商业银行规定的利息*供应商报价(资金存放综合利率上浮率)</w:t>
      </w:r>
    </w:p>
    <w:p>
      <w:pPr>
        <w:pStyle w:val="3"/>
        <w:keepNext w:val="0"/>
        <w:keepLines w:val="0"/>
        <w:pageBreakBefore w:val="0"/>
        <w:widowControl w:val="0"/>
        <w:numPr>
          <w:ilvl w:val="0"/>
          <w:numId w:val="24"/>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以中国人民银行对商业银行的利息结算方式要求为准。</w:t>
      </w:r>
    </w:p>
    <w:p>
      <w:pPr>
        <w:pStyle w:val="3"/>
        <w:keepNext w:val="0"/>
        <w:keepLines w:val="0"/>
        <w:pageBreakBefore w:val="0"/>
        <w:widowControl w:val="0"/>
        <w:numPr>
          <w:ilvl w:val="0"/>
          <w:numId w:val="24"/>
        </w:numPr>
        <w:tabs>
          <w:tab w:val="left" w:pos="420"/>
        </w:tabs>
        <w:kinsoku/>
        <w:wordWrap/>
        <w:overflowPunct/>
        <w:topLinePunct w:val="0"/>
        <w:autoSpaceDE/>
        <w:autoSpaceDN/>
        <w:bidi w:val="0"/>
        <w:adjustRightInd/>
        <w:snapToGrid/>
        <w:spacing w:line="520" w:lineRule="exact"/>
        <w:ind w:left="0" w:leftChars="0" w:firstLine="480" w:firstLineChars="200"/>
        <w:textAlignment w:val="auto"/>
        <w:outlineLvl w:val="9"/>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应商承诺免除存放资金专户的所有管理费用和服务费用，包括但不限于账户维护费、小额账户管理费、对公自助终端费、通存通兑手续费、一户通管理费、上门服务费等一切费用</w:t>
      </w:r>
      <w:r>
        <w:rPr>
          <w:rFonts w:hint="eastAsia" w:asciiTheme="minorEastAsia" w:hAnsiTheme="minorEastAsia" w:eastAsiaTheme="minorEastAsia" w:cstheme="minorEastAsia"/>
          <w:b/>
          <w:bCs w:val="0"/>
          <w:color w:val="auto"/>
          <w:sz w:val="24"/>
          <w:szCs w:val="24"/>
          <w:highlight w:val="none"/>
          <w:lang w:val="en-US" w:eastAsia="zh-CN"/>
        </w:rPr>
        <w:t>(供应商针对此项要求单独提供承诺函，格式自拟)。</w:t>
      </w:r>
    </w:p>
    <w:p>
      <w:pPr>
        <w:pStyle w:val="49"/>
        <w:keepNext w:val="0"/>
        <w:keepLines w:val="0"/>
        <w:pageBreakBefore w:val="0"/>
        <w:widowControl w:val="0"/>
        <w:kinsoku/>
        <w:overflowPunct/>
        <w:autoSpaceDE/>
        <w:autoSpaceDN/>
        <w:bidi w:val="0"/>
        <w:spacing w:line="520" w:lineRule="exact"/>
        <w:textAlignment w:val="auto"/>
        <w:rPr>
          <w:rFonts w:hint="eastAsia" w:asciiTheme="minorEastAsia" w:hAnsiTheme="minorEastAsia" w:eastAsiaTheme="minorEastAsia" w:cstheme="minorEastAsia"/>
          <w:b/>
          <w:bCs/>
          <w:color w:val="auto"/>
          <w:sz w:val="24"/>
          <w:szCs w:val="24"/>
          <w:highlight w:val="none"/>
          <w:lang w:val="en-US" w:eastAsia="zh-CN"/>
        </w:rPr>
      </w:pPr>
      <w:bookmarkStart w:id="415" w:name="_Toc31137"/>
      <w:bookmarkStart w:id="416" w:name="_Toc2569"/>
      <w:r>
        <w:rPr>
          <w:rFonts w:hint="eastAsia" w:asciiTheme="minorEastAsia" w:hAnsiTheme="minorEastAsia" w:eastAsiaTheme="minorEastAsia" w:cstheme="minorEastAsia"/>
          <w:b/>
          <w:bCs/>
          <w:color w:val="auto"/>
          <w:sz w:val="24"/>
          <w:szCs w:val="24"/>
          <w:highlight w:val="none"/>
          <w:lang w:val="en-US" w:eastAsia="zh-CN"/>
        </w:rPr>
        <w:t>其他要求</w:t>
      </w:r>
      <w:bookmarkEnd w:id="415"/>
      <w:bookmarkEnd w:id="416"/>
    </w:p>
    <w:bookmarkEnd w:id="400"/>
    <w:bookmarkEnd w:id="401"/>
    <w:bookmarkEnd w:id="402"/>
    <w:bookmarkEnd w:id="403"/>
    <w:bookmarkEnd w:id="404"/>
    <w:bookmarkEnd w:id="405"/>
    <w:p>
      <w:pPr>
        <w:pStyle w:val="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20" w:lineRule="exact"/>
        <w:ind w:leftChars="0" w:firstLine="480" w:firstLineChars="200"/>
        <w:textAlignment w:val="auto"/>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本项目成交后，若采购人未获得主管单位的开户许可，则本项目合同自动作废(本项目合同自动终止)，双方均不承担违约责任</w:t>
      </w:r>
      <w:r>
        <w:rPr>
          <w:rFonts w:hint="eastAsia" w:asciiTheme="minorEastAsia" w:hAnsiTheme="minorEastAsia" w:eastAsiaTheme="minorEastAsia" w:cstheme="minorEastAsia"/>
          <w:b/>
          <w:bCs w:val="0"/>
          <w:color w:val="auto"/>
          <w:sz w:val="24"/>
          <w:szCs w:val="24"/>
          <w:highlight w:val="none"/>
          <w:lang w:val="en-US" w:eastAsia="zh-CN"/>
        </w:rPr>
        <w:t>(供应商针对此项要求单独提供承诺函，格式自拟)。</w:t>
      </w:r>
    </w:p>
    <w:bookmarkEnd w:id="365"/>
    <w:bookmarkEnd w:id="366"/>
    <w:bookmarkEnd w:id="367"/>
    <w:p>
      <w:pPr>
        <w:pStyle w:val="47"/>
        <w:keepNext w:val="0"/>
        <w:keepLines w:val="0"/>
        <w:pageBreakBefore w:val="0"/>
        <w:widowControl w:val="0"/>
        <w:kinsoku/>
        <w:overflowPunct/>
        <w:autoSpaceDE/>
        <w:autoSpaceDN/>
        <w:bidi w:val="0"/>
        <w:spacing w:line="520" w:lineRule="exact"/>
        <w:ind w:firstLine="482"/>
        <w:textAlignment w:val="auto"/>
      </w:pPr>
      <w:r>
        <w:rPr>
          <w:rFonts w:hint="eastAsia"/>
        </w:rPr>
        <w:t>注意：本章带“★”号条款为实质性要求，供应商须根据磋商文件具体要求提供相应证明材料，若磋商文件未要求提供具体证明材料的以供应商提供的“实质性要求承诺”响应为准，否则将被视为无效响应。</w:t>
      </w:r>
    </w:p>
    <w:p>
      <w:pPr>
        <w:pStyle w:val="43"/>
      </w:pPr>
      <w:r>
        <w:rPr>
          <w:rFonts w:hint="eastAsia"/>
        </w:rPr>
        <w:br w:type="page"/>
      </w:r>
    </w:p>
    <w:bookmarkEnd w:id="368"/>
    <w:bookmarkEnd w:id="369"/>
    <w:bookmarkEnd w:id="370"/>
    <w:p>
      <w:pPr>
        <w:pStyle w:val="48"/>
        <w:spacing w:before="120" w:after="120"/>
      </w:pPr>
      <w:bookmarkStart w:id="417" w:name="_Hlt101846155"/>
      <w:bookmarkEnd w:id="417"/>
      <w:bookmarkStart w:id="418" w:name="_Toc509579145"/>
      <w:bookmarkStart w:id="419" w:name="_Toc19779"/>
      <w:bookmarkStart w:id="420" w:name="_Toc5608"/>
      <w:bookmarkStart w:id="421" w:name="_Toc41037907"/>
      <w:bookmarkStart w:id="422" w:name="_Toc12577"/>
      <w:bookmarkStart w:id="423" w:name="_Toc183582280"/>
      <w:bookmarkStart w:id="424" w:name="_Toc307564896"/>
      <w:bookmarkStart w:id="425" w:name="_Toc319439946"/>
      <w:bookmarkStart w:id="426" w:name="_Toc4553"/>
      <w:bookmarkStart w:id="427" w:name="_Toc308084645"/>
      <w:bookmarkStart w:id="428" w:name="_Toc308188198"/>
      <w:bookmarkStart w:id="429" w:name="_Toc2232"/>
      <w:bookmarkStart w:id="430" w:name="_Toc25959"/>
      <w:bookmarkStart w:id="431" w:name="_Toc208849007"/>
      <w:bookmarkStart w:id="432" w:name="_Toc217446097"/>
      <w:bookmarkStart w:id="433" w:name="_Toc26923"/>
      <w:bookmarkStart w:id="434" w:name="_Toc3881"/>
      <w:bookmarkStart w:id="435" w:name="_Toc319440188"/>
      <w:bookmarkStart w:id="436" w:name="_Toc11039"/>
      <w:bookmarkStart w:id="437" w:name="_Toc307501154"/>
      <w:bookmarkStart w:id="438" w:name="_Toc1543"/>
      <w:bookmarkStart w:id="439" w:name="_Toc483"/>
      <w:bookmarkStart w:id="440" w:name="_Toc309897563"/>
      <w:bookmarkStart w:id="441" w:name="_Toc25435"/>
      <w:bookmarkStart w:id="442" w:name="_Toc21302"/>
      <w:bookmarkStart w:id="443" w:name="_Toc327196339"/>
      <w:bookmarkStart w:id="444" w:name="_Toc183682415"/>
      <w:r>
        <w:rPr>
          <w:rFonts w:hint="eastAsia"/>
        </w:rPr>
        <w:t>磋商内容、磋商过程中可实质性变动的内容</w:t>
      </w:r>
      <w:bookmarkEnd w:id="418"/>
      <w:bookmarkEnd w:id="419"/>
      <w:bookmarkEnd w:id="420"/>
      <w:bookmarkEnd w:id="421"/>
      <w:bookmarkEnd w:id="422"/>
    </w:p>
    <w:p>
      <w:pPr>
        <w:pStyle w:val="46"/>
        <w:spacing w:line="520" w:lineRule="exact"/>
      </w:pPr>
      <w:r>
        <w:rPr>
          <w:rFonts w:hint="eastAsia"/>
        </w:rPr>
        <w:t>针对本项目采购文件第五章、第八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spacing w:line="520" w:lineRule="exact"/>
      </w:pPr>
      <w:r>
        <w:rPr>
          <w:rFonts w:hint="eastAsia"/>
        </w:rPr>
        <w:br w:type="page"/>
      </w:r>
    </w:p>
    <w:p>
      <w:pPr>
        <w:pStyle w:val="48"/>
        <w:numPr>
          <w:ilvl w:val="0"/>
          <w:numId w:val="20"/>
        </w:numPr>
        <w:spacing w:before="120" w:after="120"/>
      </w:pPr>
      <w:bookmarkStart w:id="445" w:name="_Toc23885"/>
      <w:bookmarkStart w:id="446" w:name="_Toc12716"/>
      <w:r>
        <w:rPr>
          <w:rFonts w:hint="eastAsia"/>
        </w:rPr>
        <w:t>磋商程序</w:t>
      </w:r>
      <w:bookmarkEnd w:id="445"/>
      <w:bookmarkEnd w:id="446"/>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Pr>
        <w:pStyle w:val="46"/>
        <w:spacing w:line="520" w:lineRule="exact"/>
      </w:pPr>
      <w:bookmarkStart w:id="447" w:name="_Toc28956"/>
      <w:r>
        <w:rPr>
          <w:rFonts w:hint="eastAsia"/>
        </w:rPr>
        <w:t>参照《中华人民共和国政府采购法》《中华人民共和国政府采购法实施条例》及《政府采购竞争性磋商采购方式管理暂行办法》等法律法规并结合本次采购项目的特点制定本评审程序、评审方法、评审标准。</w:t>
      </w:r>
    </w:p>
    <w:p>
      <w:pPr>
        <w:pStyle w:val="35"/>
        <w:spacing w:line="520" w:lineRule="exact"/>
        <w:ind w:firstLine="482"/>
      </w:pPr>
      <w:bookmarkStart w:id="448" w:name="_Toc31518"/>
      <w:bookmarkStart w:id="449" w:name="_Toc24832"/>
      <w:bookmarkStart w:id="450" w:name="_Toc7941"/>
      <w:r>
        <w:rPr>
          <w:rFonts w:hint="eastAsia"/>
        </w:rPr>
        <w:t>磋商小组及专家组成</w:t>
      </w:r>
      <w:bookmarkEnd w:id="448"/>
      <w:bookmarkEnd w:id="449"/>
      <w:bookmarkEnd w:id="450"/>
    </w:p>
    <w:p>
      <w:pPr>
        <w:pStyle w:val="46"/>
        <w:spacing w:line="520" w:lineRule="exact"/>
      </w:pPr>
      <w:r>
        <w:rPr>
          <w:rFonts w:hint="eastAsia"/>
        </w:rPr>
        <w:t>参照《政府采购竞争性磋商采购方式管理暂行办法》等规定，结合本次采购项目的实际情况依法组建磋商小组，负责本次采购项目的竞争性磋商和评审工作。磋商小组由采购人代表和评审专家共3人以上单数组成，达到公开招标数额标准的服务采购项目，评审委员会应当由5人以上单数组成，其中评审专家人数不得少于成员总数的2/3。采购人代表不得以评审专家的身份参加本部门或本单位采购项目的评审。采购代理机构人员不得参加本机构代理的采购项目的评审。</w:t>
      </w:r>
    </w:p>
    <w:p>
      <w:pPr>
        <w:pStyle w:val="35"/>
        <w:spacing w:line="520" w:lineRule="exact"/>
        <w:ind w:firstLine="482"/>
      </w:pPr>
      <w:bookmarkStart w:id="451" w:name="_Toc10809"/>
      <w:bookmarkStart w:id="452" w:name="_Toc15935"/>
      <w:bookmarkStart w:id="453" w:name="_Toc15700"/>
      <w:bookmarkStart w:id="454" w:name="_Toc2442"/>
      <w:bookmarkStart w:id="455" w:name="_Toc11161"/>
      <w:bookmarkStart w:id="456" w:name="_Toc6662"/>
      <w:r>
        <w:rPr>
          <w:rFonts w:hint="eastAsia"/>
        </w:rPr>
        <w:t>磋商组织</w:t>
      </w:r>
      <w:bookmarkEnd w:id="451"/>
      <w:bookmarkEnd w:id="452"/>
      <w:bookmarkEnd w:id="453"/>
      <w:bookmarkEnd w:id="454"/>
      <w:bookmarkEnd w:id="455"/>
      <w:bookmarkEnd w:id="456"/>
    </w:p>
    <w:p>
      <w:pPr>
        <w:pStyle w:val="46"/>
        <w:spacing w:line="520" w:lineRule="exact"/>
        <w:rPr>
          <w:lang w:val="zh-CN"/>
        </w:rPr>
      </w:pPr>
      <w:r>
        <w:rPr>
          <w:rFonts w:hint="eastAsia"/>
        </w:rPr>
        <w:t>(一)</w:t>
      </w:r>
      <w:r>
        <w:rPr>
          <w:rFonts w:hint="eastAsia"/>
          <w:lang w:val="zh-CN"/>
        </w:rPr>
        <w:t>磋商工作由采购代理机构组织，具体磋商事务由依法组建的磋商小组负责。</w:t>
      </w:r>
    </w:p>
    <w:p>
      <w:pPr>
        <w:pStyle w:val="46"/>
        <w:spacing w:line="520" w:lineRule="exact"/>
      </w:pPr>
      <w:r>
        <w:rPr>
          <w:rFonts w:hint="eastAsia"/>
        </w:rPr>
        <w:t>(二)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6"/>
        <w:spacing w:line="520" w:lineRule="exact"/>
      </w:pPr>
      <w:r>
        <w:rPr>
          <w:rFonts w:hint="eastAsia"/>
        </w:rPr>
        <w:t>(三)磋商文件内容违反国家有关强制性规定的，磋商小组应当停止评审并向采购人或者采购代理机构说明情况(注明法律法规依据)。</w:t>
      </w:r>
    </w:p>
    <w:p>
      <w:pPr>
        <w:pStyle w:val="46"/>
        <w:spacing w:line="520" w:lineRule="exact"/>
      </w:pPr>
      <w:r>
        <w:rPr>
          <w:rFonts w:hint="eastAsia"/>
        </w:rPr>
        <w:t>(四)磋商小组按照磋商文件规定的评审程序、评审方法和评审标准进行独立评审，并履行下列职责：</w:t>
      </w:r>
    </w:p>
    <w:p>
      <w:pPr>
        <w:pStyle w:val="46"/>
        <w:spacing w:line="520" w:lineRule="exact"/>
      </w:pPr>
      <w:r>
        <w:rPr>
          <w:rFonts w:hint="eastAsia"/>
        </w:rPr>
        <w:t>1.熟悉和理解磋商文件，确定磋商文件内容是否违反国家有关强制性规定或者磋商文件存在歧义、重大缺陷，根据需要书面要求采购人、采购代理机构对磋商文件作出解释。采购代理机构的解释不得改变磋商文件的原义或者影响公平、公正，解释事项如果涉及供应商权益的以有利于供应商的原则进行解释。</w:t>
      </w:r>
    </w:p>
    <w:p>
      <w:pPr>
        <w:pStyle w:val="46"/>
        <w:spacing w:line="520" w:lineRule="exact"/>
      </w:pPr>
      <w:r>
        <w:rPr>
          <w:rFonts w:hint="eastAsia"/>
        </w:rPr>
        <w:t>2.审查供应商响应文件是否满足磋商文件要求，并作出公正评价；</w:t>
      </w:r>
    </w:p>
    <w:p>
      <w:pPr>
        <w:pStyle w:val="46"/>
        <w:spacing w:line="520" w:lineRule="exact"/>
      </w:pPr>
      <w:r>
        <w:rPr>
          <w:rFonts w:hint="eastAsia"/>
        </w:rPr>
        <w:t>3.根据需要书面要求供应商对响应文件中含义不明确、同类问题表述不一致或者有明显文字和计算错误的内容等作出必要的澄清、说明或者更正，并给予供应商必要的反馈时间；</w:t>
      </w:r>
    </w:p>
    <w:p>
      <w:pPr>
        <w:pStyle w:val="46"/>
        <w:spacing w:line="520" w:lineRule="exact"/>
      </w:pPr>
      <w:r>
        <w:rPr>
          <w:rFonts w:hint="eastAsia"/>
        </w:rPr>
        <w:t>4.推荐成交供应商，或者受采购人委托确定成交供应商；</w:t>
      </w:r>
    </w:p>
    <w:p>
      <w:pPr>
        <w:pStyle w:val="46"/>
        <w:spacing w:line="520" w:lineRule="exact"/>
      </w:pPr>
      <w:r>
        <w:rPr>
          <w:rFonts w:hint="eastAsia"/>
        </w:rPr>
        <w:t>5.起草评审报告并进行签署；</w:t>
      </w:r>
    </w:p>
    <w:p>
      <w:pPr>
        <w:pStyle w:val="46"/>
        <w:spacing w:line="520" w:lineRule="exact"/>
      </w:pPr>
      <w:r>
        <w:rPr>
          <w:rFonts w:hint="eastAsia"/>
        </w:rPr>
        <w:t>6.向采购人、采购代理机构或者其他监督部门报告非法干预评审工作的行为；</w:t>
      </w:r>
    </w:p>
    <w:p>
      <w:pPr>
        <w:pStyle w:val="46"/>
        <w:spacing w:line="520" w:lineRule="exact"/>
      </w:pPr>
      <w:r>
        <w:rPr>
          <w:rFonts w:hint="eastAsia"/>
        </w:rPr>
        <w:t>7.法律、法规和规章规定的其他职责。</w:t>
      </w:r>
    </w:p>
    <w:p>
      <w:pPr>
        <w:pStyle w:val="35"/>
        <w:spacing w:line="520" w:lineRule="exact"/>
        <w:ind w:firstLine="482"/>
      </w:pPr>
      <w:bookmarkStart w:id="457" w:name="_Toc17376"/>
      <w:bookmarkStart w:id="458" w:name="_Toc25873"/>
      <w:bookmarkStart w:id="459" w:name="_Toc30112"/>
      <w:bookmarkStart w:id="460" w:name="_Toc2704"/>
      <w:bookmarkStart w:id="461" w:name="_Toc19418"/>
      <w:bookmarkStart w:id="462" w:name="_Toc10940"/>
      <w:r>
        <w:rPr>
          <w:rFonts w:hint="eastAsia"/>
        </w:rPr>
        <w:t>评审程序</w:t>
      </w:r>
      <w:bookmarkEnd w:id="457"/>
      <w:bookmarkEnd w:id="458"/>
      <w:bookmarkEnd w:id="459"/>
      <w:bookmarkEnd w:id="460"/>
      <w:bookmarkEnd w:id="461"/>
      <w:bookmarkEnd w:id="462"/>
    </w:p>
    <w:p>
      <w:pPr>
        <w:pStyle w:val="49"/>
        <w:spacing w:line="520" w:lineRule="exact"/>
        <w:ind w:firstLine="482"/>
      </w:pPr>
      <w:bookmarkStart w:id="463" w:name="_Toc3958"/>
      <w:bookmarkStart w:id="464" w:name="_Toc2499"/>
      <w:bookmarkStart w:id="465" w:name="_Toc24712"/>
      <w:bookmarkStart w:id="466" w:name="_Toc27588"/>
      <w:bookmarkStart w:id="467" w:name="_Toc5706"/>
      <w:bookmarkStart w:id="468" w:name="_Toc12774"/>
      <w:r>
        <w:rPr>
          <w:rFonts w:hint="eastAsia"/>
        </w:rPr>
        <w:t>供应商资格审查</w:t>
      </w:r>
      <w:bookmarkEnd w:id="463"/>
      <w:bookmarkEnd w:id="464"/>
      <w:bookmarkEnd w:id="465"/>
      <w:bookmarkEnd w:id="466"/>
      <w:bookmarkEnd w:id="467"/>
      <w:bookmarkEnd w:id="468"/>
    </w:p>
    <w:p>
      <w:pPr>
        <w:pStyle w:val="63"/>
        <w:spacing w:line="520" w:lineRule="exact"/>
        <w:ind w:firstLine="480"/>
        <w:rPr>
          <w:lang w:val="zh-CN"/>
        </w:rPr>
      </w:pPr>
      <w:r>
        <w:rPr>
          <w:rFonts w:hint="eastAsia"/>
          <w:lang w:val="zh-CN"/>
        </w:rPr>
        <w:t>在</w:t>
      </w:r>
      <w:r>
        <w:rPr>
          <w:rFonts w:hint="eastAsia"/>
        </w:rPr>
        <w:t>开启时间</w:t>
      </w:r>
      <w:r>
        <w:rPr>
          <w:rFonts w:hint="eastAsia"/>
          <w:lang w:val="zh-CN"/>
        </w:rPr>
        <w:t>后，采购代理机构组织磋商小组对递交响应文件的供应商进行资格审查，确定参加磋商的供应商名单。</w:t>
      </w:r>
    </w:p>
    <w:p>
      <w:pPr>
        <w:pStyle w:val="63"/>
        <w:spacing w:line="520" w:lineRule="exact"/>
        <w:ind w:firstLine="480"/>
        <w:rPr>
          <w:lang w:val="zh-CN"/>
        </w:rPr>
      </w:pPr>
      <w:r>
        <w:rPr>
          <w:rFonts w:hint="eastAsia"/>
          <w:lang w:val="zh-CN"/>
        </w:rPr>
        <w:t>确定参加磋商的供应商数量采用合格制，即磋商小组对各供应商资格审查后，凡符合本竞争性磋商文件规定资格条件的，均进入参加磋商的供应商名单。</w:t>
      </w:r>
    </w:p>
    <w:p>
      <w:pPr>
        <w:pStyle w:val="63"/>
        <w:spacing w:line="520" w:lineRule="exact"/>
        <w:ind w:firstLine="480"/>
        <w:rPr>
          <w:lang w:val="zh-CN"/>
        </w:rPr>
      </w:pPr>
      <w:r>
        <w:rPr>
          <w:rFonts w:hint="eastAsia"/>
          <w:lang w:val="zh-CN"/>
        </w:rPr>
        <w:t>评审委员会资格审查结束后，应当向采购人、采购代理机构出具资格审查报告，确定参加磋商的供应商名单，并说明未通过资格审查的供应商未通过的原因。</w:t>
      </w:r>
    </w:p>
    <w:p>
      <w:pPr>
        <w:pStyle w:val="63"/>
        <w:spacing w:line="520" w:lineRule="exact"/>
        <w:ind w:firstLine="480"/>
        <w:rPr>
          <w:lang w:val="zh-CN"/>
        </w:rPr>
      </w:pPr>
      <w:r>
        <w:rPr>
          <w:rFonts w:hint="eastAsia"/>
          <w:lang w:val="zh-CN"/>
        </w:rPr>
        <w:t>资格审查报告应当由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63"/>
        <w:spacing w:line="520" w:lineRule="exact"/>
        <w:ind w:firstLine="480"/>
        <w:rPr>
          <w:lang w:val="zh-CN"/>
        </w:rPr>
      </w:pPr>
      <w:r>
        <w:rPr>
          <w:rFonts w:hint="eastAsia"/>
          <w:lang w:val="zh-CN"/>
        </w:rPr>
        <w:t>评审委员会出具资格审查报告后，采购人、采购代理机构应当将通过资格审查和未通过资格审查的供应商名单向所有递交响应文件的供应商当场宣布，并告知未通过资格审查的供应商未通过资格审查的原因，但涉及商业秘密的除外。</w:t>
      </w:r>
      <w:r>
        <w:rPr>
          <w:rFonts w:hint="eastAsia"/>
        </w:rPr>
        <w:t>同时在磋商结果公示中向社会公开。</w:t>
      </w:r>
    </w:p>
    <w:p>
      <w:pPr>
        <w:pStyle w:val="49"/>
        <w:spacing w:line="520" w:lineRule="exact"/>
        <w:ind w:firstLine="482"/>
      </w:pPr>
      <w:bookmarkStart w:id="469" w:name="_Toc13835"/>
      <w:bookmarkStart w:id="470" w:name="_Toc28386"/>
      <w:bookmarkStart w:id="471" w:name="_Toc26427"/>
      <w:bookmarkStart w:id="472" w:name="_Toc11643"/>
      <w:bookmarkStart w:id="473" w:name="_Toc17799"/>
      <w:bookmarkStart w:id="474" w:name="_Toc2214"/>
      <w:r>
        <w:rPr>
          <w:rFonts w:hint="eastAsia"/>
        </w:rPr>
        <w:t>磋商</w:t>
      </w:r>
      <w:bookmarkEnd w:id="469"/>
      <w:bookmarkEnd w:id="470"/>
      <w:bookmarkEnd w:id="471"/>
      <w:bookmarkEnd w:id="472"/>
      <w:bookmarkEnd w:id="473"/>
      <w:bookmarkEnd w:id="474"/>
    </w:p>
    <w:p>
      <w:pPr>
        <w:pStyle w:val="63"/>
        <w:spacing w:line="520" w:lineRule="exact"/>
        <w:ind w:firstLine="480"/>
      </w:pPr>
      <w:r>
        <w:rPr>
          <w:rFonts w:hint="eastAsia"/>
        </w:rPr>
        <w:t>供应商资格审查结束后，采购人、采购代理机构应当组织评审委员会按照磋商文件的规定与通过资格审查的供应商分别进行磋商。磋商顺序以现场抽签的方式确定。磋商过程中，磋商小组可以根据磋商情况调整磋商轮次。每轮磋商开始前，磋商小组应根据磋商文件的规定，并结合各供应商的响应文件拟定磋商内容。</w:t>
      </w:r>
    </w:p>
    <w:p>
      <w:pPr>
        <w:pStyle w:val="63"/>
        <w:spacing w:line="520" w:lineRule="exact"/>
        <w:ind w:firstLine="480"/>
        <w:rPr>
          <w:lang w:val="zh-CN"/>
        </w:rPr>
      </w:pPr>
      <w:r>
        <w:t>磋商过程中，</w:t>
      </w:r>
      <w:r>
        <w:rPr>
          <w:lang w:val="zh-CN"/>
        </w:rPr>
        <w:t>磋商小组对响应文件的有效性、完整性和响应程度进行审查，审查中发现供应商响应文件属于下列情况之一的，应按照无效响应文件处理：</w:t>
      </w:r>
    </w:p>
    <w:p>
      <w:pPr>
        <w:pStyle w:val="64"/>
        <w:spacing w:line="520" w:lineRule="exact"/>
        <w:ind w:firstLine="480"/>
        <w:rPr>
          <w:lang w:val="zh-CN"/>
        </w:rPr>
      </w:pPr>
      <w:r>
        <w:rPr>
          <w:lang w:val="zh-CN"/>
        </w:rPr>
        <w:t>响应文件的语言、计量单位、</w:t>
      </w:r>
      <w:r>
        <w:rPr>
          <w:rFonts w:hint="eastAsia"/>
          <w:lang w:val="zh-CN"/>
        </w:rPr>
        <w:t>知识产权、磋商有效期</w:t>
      </w:r>
      <w:r>
        <w:rPr>
          <w:lang w:val="zh-CN"/>
        </w:rPr>
        <w:t>等不符合</w:t>
      </w:r>
      <w:r>
        <w:rPr>
          <w:rFonts w:hint="eastAsia"/>
          <w:lang w:val="zh-CN"/>
        </w:rPr>
        <w:t>磋商文件</w:t>
      </w:r>
      <w:r>
        <w:rPr>
          <w:lang w:val="zh-CN"/>
        </w:rPr>
        <w:t>的规定，影响磋商小组评判的；</w:t>
      </w:r>
    </w:p>
    <w:p>
      <w:pPr>
        <w:pStyle w:val="63"/>
        <w:spacing w:line="520" w:lineRule="exact"/>
        <w:ind w:firstLine="480"/>
        <w:rPr>
          <w:lang w:val="zh-CN"/>
        </w:rPr>
      </w:pPr>
      <w:r>
        <w:rPr>
          <w:lang w:val="zh-CN"/>
        </w:rPr>
        <w:t>但磋商小组对响应文件签署、盖章等进行审查过程中，有下列情形的，磋商小组应当评定为不影响整个响应文件有效性和采购活动公平竞争，并通过响应文件的有效性审查：</w:t>
      </w:r>
    </w:p>
    <w:p>
      <w:pPr>
        <w:pStyle w:val="64"/>
        <w:spacing w:line="520" w:lineRule="exact"/>
        <w:ind w:firstLine="480"/>
        <w:rPr>
          <w:lang w:val="zh-CN"/>
        </w:rPr>
      </w:pPr>
      <w:r>
        <w:rPr>
          <w:lang w:val="zh-CN"/>
        </w:rPr>
        <w:t>响应文件未按照</w:t>
      </w:r>
      <w:r>
        <w:rPr>
          <w:rFonts w:hint="eastAsia"/>
          <w:lang w:val="zh-CN"/>
        </w:rPr>
        <w:t>磋商文件</w:t>
      </w:r>
      <w:r>
        <w:rPr>
          <w:lang w:val="zh-CN"/>
        </w:rPr>
        <w:t>要求进行分装或者统装的；</w:t>
      </w:r>
    </w:p>
    <w:p>
      <w:pPr>
        <w:pStyle w:val="64"/>
        <w:spacing w:line="520" w:lineRule="exact"/>
        <w:ind w:firstLine="480"/>
        <w:rPr>
          <w:lang w:val="zh-CN"/>
        </w:rPr>
      </w:pPr>
      <w:r>
        <w:rPr>
          <w:lang w:val="zh-CN"/>
        </w:rPr>
        <w:t>响应文件存在个别地方</w:t>
      </w:r>
      <w:r>
        <w:rPr>
          <w:rFonts w:hint="eastAsia"/>
          <w:lang w:val="zh-CN"/>
        </w:rPr>
        <w:t>(</w:t>
      </w:r>
      <w:r>
        <w:rPr>
          <w:lang w:val="zh-CN"/>
        </w:rPr>
        <w:t>总数不能超过2个</w:t>
      </w:r>
      <w:r>
        <w:rPr>
          <w:rFonts w:hint="eastAsia"/>
          <w:lang w:val="zh-CN"/>
        </w:rPr>
        <w:t>)</w:t>
      </w:r>
      <w:r>
        <w:rPr>
          <w:lang w:val="zh-CN"/>
        </w:rPr>
        <w:t>没有法定代表人/单位负责人签字，但有法定代表人/单位负责人的私人印章或者有效授权代理人签字的；</w:t>
      </w:r>
    </w:p>
    <w:p>
      <w:pPr>
        <w:pStyle w:val="64"/>
        <w:spacing w:line="520" w:lineRule="exact"/>
        <w:ind w:firstLine="480"/>
        <w:rPr>
          <w:lang w:val="zh-CN"/>
        </w:rPr>
      </w:pPr>
      <w:r>
        <w:rPr>
          <w:lang w:val="zh-CN"/>
        </w:rPr>
        <w:t>响应文件除</w:t>
      </w:r>
      <w:r>
        <w:rPr>
          <w:rFonts w:hint="eastAsia"/>
          <w:lang w:val="zh-CN"/>
        </w:rPr>
        <w:t>磋商文件</w:t>
      </w:r>
      <w:r>
        <w:rPr>
          <w:lang w:val="zh-CN"/>
        </w:rPr>
        <w:t>明确要求加盖单位(法人)公章的以外，其他地方以相关专用章加盖的；</w:t>
      </w:r>
    </w:p>
    <w:p>
      <w:pPr>
        <w:pStyle w:val="64"/>
        <w:spacing w:line="520" w:lineRule="exact"/>
        <w:ind w:firstLine="480"/>
        <w:rPr>
          <w:lang w:val="zh-CN"/>
        </w:rPr>
      </w:pPr>
      <w:r>
        <w:rPr>
          <w:lang w:val="zh-CN"/>
        </w:rPr>
        <w:t>以骑缝章的形式代替响应文件内容逐页盖章的</w:t>
      </w:r>
      <w:r>
        <w:rPr>
          <w:rFonts w:hint="eastAsia"/>
          <w:lang w:val="zh-CN"/>
        </w:rPr>
        <w:t>(</w:t>
      </w:r>
      <w:r>
        <w:rPr>
          <w:lang w:val="zh-CN"/>
        </w:rPr>
        <w:t>但是骑缝章模糊不清，印章名称无法辨认的除外</w:t>
      </w:r>
      <w:r>
        <w:rPr>
          <w:rFonts w:hint="eastAsia"/>
          <w:lang w:val="zh-CN"/>
        </w:rPr>
        <w:t>)</w:t>
      </w:r>
      <w:r>
        <w:rPr>
          <w:lang w:val="zh-CN"/>
        </w:rPr>
        <w:t>。</w:t>
      </w:r>
    </w:p>
    <w:p>
      <w:pPr>
        <w:pStyle w:val="46"/>
        <w:spacing w:line="520" w:lineRule="exact"/>
      </w:pPr>
      <w:r>
        <w:rPr>
          <w:lang w:val="zh-CN"/>
        </w:rPr>
        <w:t>磋商小组对所有响应文件的有效性、完整性和响应程度进行审查后，向采购代理机构出具有效性、完整性和响应程度审查</w:t>
      </w:r>
      <w:r>
        <w:rPr>
          <w:rFonts w:hint="eastAsia"/>
        </w:rPr>
        <w:t>意见</w:t>
      </w:r>
      <w:r>
        <w:rPr>
          <w:lang w:val="zh-CN"/>
        </w:rPr>
        <w:t>，确定继续磋商的供应商名单。没有通过有效性、完整性和响应程度审查的供应商，磋商小组应在有效性、完整性和响应程度审查</w:t>
      </w:r>
      <w:r>
        <w:rPr>
          <w:rFonts w:hint="eastAsia"/>
        </w:rPr>
        <w:t>意见</w:t>
      </w:r>
      <w:r>
        <w:rPr>
          <w:lang w:val="zh-CN"/>
        </w:rPr>
        <w:t>中说明原因。</w:t>
      </w:r>
    </w:p>
    <w:p>
      <w:pPr>
        <w:pStyle w:val="63"/>
        <w:spacing w:line="520" w:lineRule="exact"/>
        <w:ind w:firstLine="480"/>
      </w:pPr>
      <w:r>
        <w:rPr>
          <w:rFonts w:hint="eastAsia"/>
        </w:rPr>
        <w:t>本项目可能实质性变动的内容：采购需求中的技术、服务要求以及合同草案条款。</w:t>
      </w:r>
    </w:p>
    <w:p>
      <w:pPr>
        <w:pStyle w:val="63"/>
        <w:spacing w:line="520" w:lineRule="exact"/>
        <w:ind w:firstLine="480"/>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63"/>
        <w:spacing w:line="520" w:lineRule="exact"/>
        <w:ind w:firstLine="480"/>
      </w:pPr>
      <w:r>
        <w:rPr>
          <w:rFonts w:hint="eastAsia"/>
        </w:rPr>
        <w:t>对磋商文件作出的实质性变动是磋商文件的有效组成部分，评审委员会应当将变动的内容书面通知所有参加磋商的供应商，做好书面记录。</w:t>
      </w:r>
    </w:p>
    <w:p>
      <w:pPr>
        <w:pStyle w:val="63"/>
        <w:spacing w:line="520" w:lineRule="exact"/>
        <w:ind w:firstLine="480"/>
      </w:pPr>
      <w:r>
        <w:rPr>
          <w:rFonts w:hint="eastAsia"/>
        </w:rPr>
        <w:t>评审委员会变动磋商文件的，应当要求供应商就变动的部分重新提交响应文件，并给予供应商重新提交响应文件的合理时间。供应商变更其响应文件，应当以有利于满足磋商文件要求为原则，不得变更为不利于满足磋商文件规定，否则，其响应文件作为无效处理。</w:t>
      </w:r>
    </w:p>
    <w:p>
      <w:pPr>
        <w:pStyle w:val="63"/>
        <w:spacing w:line="520" w:lineRule="exact"/>
        <w:ind w:firstLine="480"/>
      </w:pPr>
      <w:r>
        <w:rPr>
          <w:rFonts w:hint="eastAsia"/>
        </w:rPr>
        <w:t>磋商过程中，磋商的任何一方不得透露与磋商有关的其他供应商的技术资料、价格和其他信息。</w:t>
      </w:r>
    </w:p>
    <w:p>
      <w:pPr>
        <w:pStyle w:val="63"/>
        <w:spacing w:line="520" w:lineRule="exact"/>
        <w:ind w:firstLine="480"/>
      </w:pPr>
      <w:r>
        <w:rPr>
          <w:rFonts w:hint="eastAsia"/>
        </w:rPr>
        <w:t>磋商过程中，供应商可以根据磋商情况变更其响应文件，并将变更内容形成书面材料送评审委员会。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供应商响应文件中已经提供授权书、身份证明的，可以不再提供。</w:t>
      </w:r>
    </w:p>
    <w:p>
      <w:pPr>
        <w:pStyle w:val="63"/>
        <w:spacing w:line="520" w:lineRule="exact"/>
        <w:ind w:firstLine="480"/>
      </w:pPr>
      <w:r>
        <w:rPr>
          <w:rFonts w:hint="eastAsia"/>
        </w:rPr>
        <w:t>供应商重新提交响应文件的，响应文件应当按照前款规定签字确认或者加盖公章，否则无效。</w:t>
      </w:r>
    </w:p>
    <w:p>
      <w:pPr>
        <w:pStyle w:val="63"/>
        <w:spacing w:line="520" w:lineRule="exact"/>
        <w:ind w:firstLine="480"/>
      </w:pPr>
      <w:r>
        <w:rPr>
          <w:rFonts w:hint="eastAsia"/>
        </w:rPr>
        <w:t>评审委员会经与供应商磋商和对供应商响应文件审查后，供应商响应文件未实质性响应磋商文件的，评审委员会应当对其响应文件按无效处理，并书面告知供应商，说明理由。</w:t>
      </w:r>
    </w:p>
    <w:p>
      <w:pPr>
        <w:pStyle w:val="63"/>
        <w:spacing w:line="520" w:lineRule="exact"/>
        <w:ind w:firstLine="480"/>
      </w:pPr>
      <w:r>
        <w:rPr>
          <w:rFonts w:hint="eastAsia"/>
        </w:rPr>
        <w:t>磋商过程中，评审专家应当遵守评审工作纪律，不得泄露评审情况和评审中获悉的商业秘密。磋商小组在评审过程中发现供应商有行贿、提供虚假材料或者串通等违法行为的，应当及时向相关部门报告。</w:t>
      </w:r>
    </w:p>
    <w:p>
      <w:pPr>
        <w:pStyle w:val="49"/>
        <w:spacing w:line="520" w:lineRule="exact"/>
        <w:ind w:firstLine="482"/>
      </w:pPr>
      <w:bookmarkStart w:id="475" w:name="_Toc29996"/>
      <w:bookmarkStart w:id="476" w:name="_Toc5408"/>
      <w:bookmarkStart w:id="477" w:name="_Toc29690"/>
      <w:bookmarkStart w:id="478" w:name="_Toc24251"/>
      <w:bookmarkStart w:id="479" w:name="_Toc24555"/>
      <w:bookmarkStart w:id="480" w:name="_Toc2047"/>
      <w:r>
        <w:rPr>
          <w:rFonts w:hint="eastAsia"/>
        </w:rPr>
        <w:t>采购活动终止</w:t>
      </w:r>
      <w:bookmarkEnd w:id="475"/>
      <w:bookmarkEnd w:id="476"/>
      <w:bookmarkEnd w:id="477"/>
      <w:bookmarkEnd w:id="478"/>
      <w:bookmarkEnd w:id="479"/>
      <w:bookmarkEnd w:id="480"/>
    </w:p>
    <w:p>
      <w:pPr>
        <w:pStyle w:val="46"/>
        <w:spacing w:line="520" w:lineRule="exact"/>
      </w:pPr>
      <w:r>
        <w:rPr>
          <w:rFonts w:hint="eastAsia"/>
        </w:rPr>
        <w:t>出现下列情形之一的，采购人或者采购代理机构应当终止竞争性磋商采购活动，发布项目终止公告并说明原因，重新开展采购活动：</w:t>
      </w:r>
    </w:p>
    <w:p>
      <w:pPr>
        <w:pStyle w:val="63"/>
        <w:spacing w:line="520" w:lineRule="exact"/>
        <w:ind w:firstLine="480"/>
      </w:pPr>
      <w:r>
        <w:rPr>
          <w:rFonts w:hint="eastAsia"/>
        </w:rPr>
        <w:t>因情况变化，不再符合规定的竞争性磋商采购方式适用情形的；</w:t>
      </w:r>
    </w:p>
    <w:p>
      <w:pPr>
        <w:pStyle w:val="63"/>
        <w:spacing w:line="520" w:lineRule="exact"/>
        <w:ind w:firstLine="480"/>
      </w:pPr>
      <w:r>
        <w:rPr>
          <w:rFonts w:hint="eastAsia"/>
        </w:rPr>
        <w:t>出现影响采购公正的违法、违规行为的；</w:t>
      </w:r>
    </w:p>
    <w:p>
      <w:pPr>
        <w:pStyle w:val="63"/>
        <w:spacing w:line="520" w:lineRule="exact"/>
        <w:ind w:firstLine="480"/>
      </w:pPr>
      <w:r>
        <w:rPr>
          <w:rFonts w:hint="eastAsia"/>
        </w:rPr>
        <w:t>其他无法继续开展磋商或者无法成交的情形。</w:t>
      </w:r>
    </w:p>
    <w:p>
      <w:pPr>
        <w:pStyle w:val="47"/>
        <w:spacing w:line="520" w:lineRule="exact"/>
        <w:ind w:firstLine="482"/>
      </w:pPr>
      <w:r>
        <w:rPr>
          <w:rFonts w:hint="eastAsia"/>
        </w:rPr>
        <w:t>注：终止后，采购代理机构应在</w:t>
      </w:r>
      <w:r>
        <w:rPr>
          <w:rFonts w:hint="eastAsia"/>
          <w:lang w:eastAsia="zh-CN"/>
        </w:rPr>
        <w:t>“中国招标投标公共服务平台”</w:t>
      </w:r>
      <w:r>
        <w:rPr>
          <w:rFonts w:hint="eastAsia"/>
        </w:rPr>
        <w:t>公告，并公告终止的情形。</w:t>
      </w:r>
    </w:p>
    <w:p>
      <w:pPr>
        <w:pStyle w:val="49"/>
        <w:spacing w:line="520" w:lineRule="exact"/>
        <w:ind w:firstLine="482"/>
      </w:pPr>
      <w:bookmarkStart w:id="481" w:name="_Toc4613"/>
      <w:bookmarkStart w:id="482" w:name="_Toc11252"/>
      <w:bookmarkStart w:id="483" w:name="_Toc3450"/>
      <w:bookmarkStart w:id="484" w:name="_Toc32123"/>
      <w:bookmarkStart w:id="485" w:name="_Toc31944"/>
      <w:bookmarkStart w:id="486" w:name="_Toc20224"/>
      <w:r>
        <w:rPr>
          <w:rFonts w:hint="eastAsia"/>
        </w:rPr>
        <w:t>报价</w:t>
      </w:r>
      <w:bookmarkEnd w:id="481"/>
      <w:bookmarkEnd w:id="482"/>
      <w:bookmarkEnd w:id="483"/>
      <w:bookmarkEnd w:id="484"/>
      <w:bookmarkEnd w:id="485"/>
      <w:bookmarkEnd w:id="486"/>
    </w:p>
    <w:p>
      <w:pPr>
        <w:pStyle w:val="63"/>
        <w:spacing w:line="520" w:lineRule="exact"/>
        <w:ind w:firstLine="480"/>
      </w:pPr>
      <w:r>
        <w:rPr>
          <w:rFonts w:hint="eastAsia"/>
        </w:rPr>
        <w:t>磋商文件能够详细列明采购标的的技术、服务要求的，磋商结束后，磋商小组应当要求所有实质性响应的供应商在规定时间内提交最后报价(格式由采购代理机构现场提供)，提交最后报价的供应商不得少于3家。已提交响应文件的供应商，在提交最后报价之前，可以根据磋商情况退出磋商。</w:t>
      </w:r>
    </w:p>
    <w:p>
      <w:pPr>
        <w:pStyle w:val="63"/>
        <w:spacing w:line="520" w:lineRule="exact"/>
        <w:ind w:firstLine="480"/>
      </w:pPr>
      <w:r>
        <w:rPr>
          <w:rFonts w:hint="eastAsia"/>
        </w:rPr>
        <w:t>供应商进行现场报价，应当在评审室外填写报价单，密封递交采购人、采购代理机构工作人员，由采购人、采购代理机构工作人员收齐后集中递交评审委员会。采购人、采购代理机构工作人员不能拆封供应商报价单。</w:t>
      </w:r>
    </w:p>
    <w:p>
      <w:pPr>
        <w:pStyle w:val="63"/>
        <w:spacing w:line="520" w:lineRule="exact"/>
        <w:ind w:firstLine="480"/>
      </w:pPr>
      <w:r>
        <w:rPr>
          <w:rFonts w:hint="eastAsia"/>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pStyle w:val="63"/>
        <w:spacing w:line="520" w:lineRule="exact"/>
        <w:ind w:firstLine="480"/>
      </w:pPr>
      <w:r>
        <w:rPr>
          <w:rFonts w:hint="eastAsia"/>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63"/>
        <w:spacing w:line="520" w:lineRule="exact"/>
        <w:ind w:firstLine="480"/>
      </w:pPr>
      <w:r>
        <w:rPr>
          <w:rFonts w:hint="eastAsia"/>
        </w:rPr>
        <w:t>最后报价中的算术错误将按以下方法修正：响应文件大写金额和小写金额不一致的，以大写金额为准，但大写金额文字存在错误的，应当先对大写金额的文字错误进行澄清、说明或者更正，再行修正；</w:t>
      </w:r>
    </w:p>
    <w:p>
      <w:pPr>
        <w:pStyle w:val="46"/>
        <w:spacing w:line="520" w:lineRule="exact"/>
      </w:pPr>
      <w:r>
        <w:rPr>
          <w:rFonts w:hint="eastAsia"/>
        </w:rPr>
        <w:t>总价金额与按单价汇总金额不一致的，以单价金额计算结果为准，但单价或者单价汇总金额存在数字或者文字错误的，应当先对数字或者文字错误进行澄清、说明或者更正，再行修正；</w:t>
      </w:r>
    </w:p>
    <w:p>
      <w:pPr>
        <w:pStyle w:val="46"/>
        <w:spacing w:line="520" w:lineRule="exact"/>
      </w:pPr>
      <w:r>
        <w:rPr>
          <w:rFonts w:hint="eastAsia"/>
        </w:rPr>
        <w:t>单价金额小数点或者百分比有明显错位的，以总价为准，修正单价。</w:t>
      </w:r>
    </w:p>
    <w:p>
      <w:pPr>
        <w:pStyle w:val="46"/>
        <w:spacing w:line="520" w:lineRule="exact"/>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49"/>
        <w:spacing w:line="520" w:lineRule="exact"/>
        <w:ind w:firstLine="482"/>
      </w:pPr>
      <w:bookmarkStart w:id="487" w:name="_Toc15902"/>
      <w:bookmarkStart w:id="488" w:name="_Toc20156"/>
      <w:bookmarkStart w:id="489" w:name="_Toc24441"/>
      <w:bookmarkStart w:id="490" w:name="_Toc13441"/>
      <w:bookmarkStart w:id="491" w:name="_Toc8686"/>
      <w:bookmarkStart w:id="492" w:name="_Toc4368"/>
      <w:r>
        <w:rPr>
          <w:rFonts w:hint="eastAsia"/>
        </w:rPr>
        <w:t>评审方法</w:t>
      </w:r>
      <w:bookmarkEnd w:id="487"/>
      <w:bookmarkEnd w:id="488"/>
      <w:bookmarkEnd w:id="489"/>
      <w:bookmarkEnd w:id="490"/>
      <w:bookmarkEnd w:id="491"/>
      <w:bookmarkEnd w:id="492"/>
    </w:p>
    <w:p>
      <w:pPr>
        <w:pStyle w:val="46"/>
        <w:spacing w:line="520" w:lineRule="exact"/>
      </w:pPr>
      <w:r>
        <w:rPr>
          <w:rFonts w:hint="eastAsia"/>
        </w:rPr>
        <w:t>本项目采用综合评分法</w:t>
      </w:r>
    </w:p>
    <w:p>
      <w:pPr>
        <w:pStyle w:val="63"/>
        <w:numPr>
          <w:ilvl w:val="3"/>
          <w:numId w:val="0"/>
        </w:numPr>
        <w:spacing w:line="520" w:lineRule="exact"/>
        <w:ind w:firstLine="480" w:firstLineChars="200"/>
      </w:pPr>
      <w:r>
        <w:rPr>
          <w:rFonts w:hint="eastAsia"/>
        </w:rPr>
        <w:t>经磋商确定最终采购需求和提交最后报价的供应商后，由磋商小组采用综合评分法对提交最后报价的供应商的响应文件和最后报价进行综合评分。磋商文件中没有规定的评审标准不得作为评审依据。</w:t>
      </w:r>
    </w:p>
    <w:p>
      <w:pPr>
        <w:pStyle w:val="49"/>
        <w:spacing w:line="520" w:lineRule="exact"/>
        <w:ind w:firstLine="482"/>
      </w:pPr>
      <w:bookmarkStart w:id="493" w:name="_Toc29323"/>
      <w:bookmarkStart w:id="494" w:name="_Toc4427"/>
      <w:bookmarkStart w:id="495" w:name="_Toc2399"/>
      <w:bookmarkStart w:id="496" w:name="_Toc27734"/>
      <w:bookmarkStart w:id="497" w:name="_Toc28947"/>
      <w:bookmarkStart w:id="498" w:name="_Toc21694"/>
      <w:r>
        <w:rPr>
          <w:rFonts w:hint="eastAsia"/>
        </w:rPr>
        <w:t>评审标准</w:t>
      </w:r>
      <w:bookmarkEnd w:id="493"/>
      <w:bookmarkEnd w:id="494"/>
      <w:bookmarkEnd w:id="495"/>
      <w:bookmarkEnd w:id="496"/>
      <w:bookmarkEnd w:id="497"/>
      <w:bookmarkEnd w:id="498"/>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34"/>
        <w:gridCol w:w="1035"/>
        <w:gridCol w:w="1742"/>
        <w:gridCol w:w="491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214"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bookmarkStart w:id="499" w:name="_Toc11411"/>
            <w:bookmarkStart w:id="500" w:name="_Toc26569"/>
            <w:bookmarkStart w:id="501" w:name="_Toc10537"/>
            <w:bookmarkStart w:id="502" w:name="_Toc7651"/>
            <w:bookmarkStart w:id="503" w:name="_Toc10215"/>
            <w:r>
              <w:rPr>
                <w:rFonts w:hint="eastAsia" w:ascii="宋体" w:hAnsi="宋体" w:eastAsia="宋体" w:cs="宋体"/>
                <w:b/>
                <w:bCs/>
                <w:color w:val="auto"/>
                <w:sz w:val="21"/>
                <w:szCs w:val="21"/>
                <w:highlight w:val="none"/>
              </w:rPr>
              <w:t>序号</w:t>
            </w:r>
          </w:p>
        </w:tc>
        <w:tc>
          <w:tcPr>
            <w:tcW w:w="889" w:type="pct"/>
            <w:gridSpan w:val="2"/>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评分因素及</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875" w:type="pct"/>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2467"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53"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4"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通用指标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60分</w:t>
            </w:r>
            <w:r>
              <w:rPr>
                <w:rFonts w:hint="eastAsia" w:ascii="宋体" w:hAnsi="宋体" w:eastAsia="宋体" w:cs="宋体"/>
                <w:color w:val="auto"/>
                <w:sz w:val="21"/>
                <w:szCs w:val="21"/>
                <w:highlight w:val="none"/>
                <w:lang w:eastAsia="zh-CN"/>
              </w:rPr>
              <w:t>)</w:t>
            </w:r>
          </w:p>
        </w:tc>
        <w:tc>
          <w:tcPr>
            <w:tcW w:w="519"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经营状况指标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30分</w:t>
            </w:r>
            <w:r>
              <w:rPr>
                <w:rFonts w:hint="eastAsia" w:ascii="宋体" w:hAnsi="宋体" w:eastAsia="宋体" w:cs="宋体"/>
                <w:color w:val="auto"/>
                <w:sz w:val="21"/>
                <w:szCs w:val="21"/>
                <w:highlight w:val="none"/>
                <w:lang w:eastAsia="zh-CN"/>
              </w:rPr>
              <w:t>)</w:t>
            </w:r>
          </w:p>
        </w:tc>
        <w:tc>
          <w:tcPr>
            <w:tcW w:w="875" w:type="pct"/>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总行</w:t>
            </w:r>
            <w:r>
              <w:rPr>
                <w:rFonts w:hint="eastAsia" w:ascii="宋体" w:hAnsi="宋体" w:eastAsia="宋体" w:cs="宋体"/>
                <w:color w:val="auto"/>
                <w:sz w:val="21"/>
                <w:szCs w:val="21"/>
                <w:highlight w:val="none"/>
              </w:rPr>
              <w:t>净资产总额</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顺向指标，参选银行指标得分＝参选银行指标权重×该项指标分值。其中，参选银行指标权重＝{参选银行指标-MIN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}÷{MAX(所有参与银行该项指标)-MIN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53"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年度参与银行总行年报报告并加盖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tcBorders>
              <w:bottom w:val="single" w:color="auto" w:sz="4" w:space="0"/>
            </w:tcBorders>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资本充足率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不良贷款率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逆向指标，参选银行指标得分＝参选银行指标权重×该项指标分值。其中，参选银行指标权重＝{参选银行指标-MAX</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所有参与银行该项指标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}÷{MIN(所有参与银行该项指标)-MAX</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所有参与银行该项指标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拨备覆盖率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顺向指标，参选银行指标得分＝参选银行指标权重×该项指标分值。其中，参选银行指标权重＝{参选银行指标-MIN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}÷{MAX(所有参与银行该项指标)-MIN</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asci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流动性覆盖率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流动性比例</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贡献度</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30分</w:t>
            </w:r>
            <w:r>
              <w:rPr>
                <w:rFonts w:hint="eastAsia" w:ascii="宋体" w:hAnsi="宋体" w:eastAsia="宋体" w:cs="宋体"/>
                <w:color w:val="auto"/>
                <w:sz w:val="21"/>
                <w:szCs w:val="21"/>
                <w:highlight w:val="none"/>
                <w:lang w:eastAsia="zh-CN"/>
              </w:rPr>
              <w:t>)</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对四川省小微企业领域贷款余额合计(6分)</w:t>
            </w:r>
          </w:p>
        </w:tc>
        <w:tc>
          <w:tcPr>
            <w:tcW w:w="246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顺向指标，参选银行指标得分＝参选银行指标权重×该项指标分值。其中，参选银行指标权重＝{参选银行指标-MIN</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}÷{MAX(所有参与银行该项指标)-MIN</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所有参与银行该项指标</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2022年</w:t>
            </w:r>
            <w:r>
              <w:rPr>
                <w:rFonts w:hint="eastAsia" w:ascii="宋体" w:hAnsi="宋体" w:eastAsia="宋体" w:cs="宋体"/>
                <w:color w:val="auto"/>
                <w:sz w:val="21"/>
                <w:szCs w:val="21"/>
                <w:highlight w:val="none"/>
              </w:rPr>
              <w:t>相关证明材料并加盖单位鲜章。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对四川省三农领域贷款余额合计(6分)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对四川省扶贫领域贷款余额合计(6分)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对成都市小微企业领域贷款余额合计(4分)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对成都市三农领域贷款余额合计(4分)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36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519"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对成都市扶贫领域贷款余额合计(4分)</w:t>
            </w:r>
          </w:p>
        </w:tc>
        <w:tc>
          <w:tcPr>
            <w:tcW w:w="2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rPr>
            </w:pPr>
          </w:p>
        </w:tc>
        <w:tc>
          <w:tcPr>
            <w:tcW w:w="55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14" w:type="pct"/>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89" w:type="pct"/>
            <w:gridSpan w:val="2"/>
            <w:vMerge w:val="restar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自选指标</w:t>
            </w:r>
          </w:p>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40分</w:t>
            </w:r>
            <w:r>
              <w:rPr>
                <w:rFonts w:hint="eastAsia" w:ascii="宋体" w:hAnsi="宋体" w:eastAsia="宋体" w:cs="宋体"/>
                <w:color w:val="auto"/>
                <w:sz w:val="21"/>
                <w:szCs w:val="21"/>
                <w:highlight w:val="none"/>
                <w:lang w:eastAsia="zh-CN"/>
              </w:rPr>
              <w:t>)</w:t>
            </w: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服务水平和能力(10分)</w:t>
            </w:r>
          </w:p>
        </w:tc>
        <w:tc>
          <w:tcPr>
            <w:tcW w:w="24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年省财政对代理银行支付结算考核综合评分。总分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分，参与银行综合评比最好</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得分最高</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分，从第二名开始依次递降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分，递降至0分为止。未到平均分不得分</w:t>
            </w:r>
            <w:r>
              <w:rPr>
                <w:rFonts w:hint="eastAsia" w:cs="宋体"/>
                <w:color w:val="auto"/>
                <w:sz w:val="21"/>
                <w:szCs w:val="21"/>
                <w:highlight w:val="none"/>
                <w:lang w:eastAsia="zh-CN"/>
              </w:rPr>
              <w:t>。</w:t>
            </w:r>
          </w:p>
        </w:tc>
        <w:tc>
          <w:tcPr>
            <w:tcW w:w="553"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提供相关证明材料并加盖单位鲜章。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4" w:type="pct"/>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89" w:type="pct"/>
            <w:gridSpan w:val="2"/>
            <w:vMerge w:val="continue"/>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rPr>
            </w:pPr>
          </w:p>
        </w:tc>
        <w:tc>
          <w:tcPr>
            <w:tcW w:w="87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利率水平</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30分</w:t>
            </w:r>
            <w:r>
              <w:rPr>
                <w:rFonts w:hint="eastAsia" w:cs="宋体"/>
                <w:i w:val="0"/>
                <w:color w:val="auto"/>
                <w:kern w:val="0"/>
                <w:sz w:val="21"/>
                <w:szCs w:val="21"/>
                <w:highlight w:val="none"/>
                <w:u w:val="none"/>
                <w:lang w:val="en-US" w:eastAsia="zh-CN" w:bidi="ar"/>
              </w:rPr>
              <w:t>)</w:t>
            </w:r>
          </w:p>
        </w:tc>
        <w:tc>
          <w:tcPr>
            <w:tcW w:w="246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满足磋商文件要求且最后报价</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固定</w:t>
            </w:r>
            <w:r>
              <w:rPr>
                <w:rFonts w:hint="eastAsia" w:ascii="宋体" w:hAnsi="宋体" w:eastAsia="宋体" w:cs="宋体"/>
                <w:i w:val="0"/>
                <w:color w:val="auto"/>
                <w:kern w:val="2"/>
                <w:sz w:val="21"/>
                <w:szCs w:val="21"/>
                <w:highlight w:val="none"/>
                <w:u w:val="none"/>
                <w:lang w:val="en-US" w:eastAsia="zh-CN" w:bidi="ar"/>
              </w:rPr>
              <w:t>利率上浮率</w:t>
            </w:r>
            <w:r>
              <w:rPr>
                <w:rFonts w:hint="eastAsia"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最高</w:t>
            </w:r>
            <w:r>
              <w:rPr>
                <w:rFonts w:hint="eastAsia" w:ascii="宋体" w:hAnsi="宋体" w:eastAsia="宋体" w:cs="宋体"/>
                <w:color w:val="auto"/>
                <w:kern w:val="2"/>
                <w:sz w:val="21"/>
                <w:szCs w:val="21"/>
                <w:highlight w:val="none"/>
                <w:lang w:val="en-US" w:eastAsia="zh-CN" w:bidi="ar-SA"/>
              </w:rPr>
              <w:t>的为评审基准价，其价格分为满分。其他供应商的价格分统一按照下列公式计算：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报价得分=(最后报价/评审基准价)×30%×100；</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lang w:val="en-US" w:eastAsia="zh-CN" w:bidi="ar-SA"/>
              </w:rPr>
              <w:t>注：评标过程中，不得去掉报价中的最高报价和最低报价。</w:t>
            </w:r>
          </w:p>
        </w:tc>
        <w:tc>
          <w:tcPr>
            <w:tcW w:w="553" w:type="pct"/>
            <w:noWrap w:val="0"/>
            <w:vAlign w:val="center"/>
          </w:tcPr>
          <w:p>
            <w:pPr>
              <w:pStyle w:val="14"/>
              <w:keepNext w:val="0"/>
              <w:keepLines w:val="0"/>
              <w:pageBreakBefore w:val="0"/>
              <w:widowControl w:val="0"/>
              <w:tabs>
                <w:tab w:val="left" w:pos="600"/>
                <w:tab w:val="clear" w:pos="0"/>
              </w:tabs>
              <w:kinsoku/>
              <w:wordWrap/>
              <w:overflowPunct/>
              <w:topLinePunct w:val="0"/>
              <w:autoSpaceDE/>
              <w:autoSpaceDN/>
              <w:bidi w:val="0"/>
              <w:adjustRightInd/>
              <w:snapToGrid/>
              <w:spacing w:line="360" w:lineRule="exact"/>
              <w:ind w:firstLine="0" w:firstLineChars="0"/>
              <w:jc w:val="center"/>
              <w:outlineLvl w:val="9"/>
              <w:rPr>
                <w:rFonts w:hint="eastAsia" w:ascii="宋体" w:hAnsi="宋体" w:eastAsia="宋体" w:cs="宋体"/>
                <w:color w:val="auto"/>
                <w:sz w:val="21"/>
                <w:szCs w:val="21"/>
                <w:highlight w:val="none"/>
                <w:lang w:val="en-US" w:eastAsia="zh-CN"/>
              </w:rPr>
            </w:pPr>
          </w:p>
        </w:tc>
      </w:tr>
    </w:tbl>
    <w:p>
      <w:pPr>
        <w:pStyle w:val="49"/>
        <w:spacing w:line="520" w:lineRule="exact"/>
        <w:ind w:firstLine="482"/>
      </w:pPr>
      <w:bookmarkStart w:id="504" w:name="_Toc25023"/>
      <w:r>
        <w:rPr>
          <w:rFonts w:hint="eastAsia"/>
        </w:rPr>
        <w:t>复核</w:t>
      </w:r>
      <w:bookmarkEnd w:id="499"/>
      <w:bookmarkEnd w:id="500"/>
      <w:bookmarkEnd w:id="501"/>
      <w:bookmarkEnd w:id="502"/>
      <w:bookmarkEnd w:id="503"/>
      <w:bookmarkEnd w:id="504"/>
    </w:p>
    <w:p>
      <w:pPr>
        <w:pStyle w:val="63"/>
        <w:spacing w:line="520" w:lineRule="exact"/>
        <w:ind w:firstLine="480"/>
      </w:pPr>
      <w:r>
        <w:rPr>
          <w:rFonts w:hint="eastAsia"/>
        </w:rPr>
        <w:t>评审结果汇总完成后，评审委员会拟出具评审报告前，采购组织单位应当组织2名以上的本单位工作人员，在采购现场监督人员的监督之下，依据有关的法律制度和磋商文件对评审结果进行复核，出具复核报告。存在下列情形之一的，应当根据情况要求磋商小组现场修改磋商结果或者重新评审：</w:t>
      </w:r>
    </w:p>
    <w:p>
      <w:pPr>
        <w:pStyle w:val="64"/>
        <w:spacing w:line="520" w:lineRule="exact"/>
        <w:ind w:firstLine="480"/>
      </w:pPr>
      <w:r>
        <w:rPr>
          <w:rFonts w:hint="eastAsia"/>
        </w:rPr>
        <w:t>资格性审查认定错误的；</w:t>
      </w:r>
    </w:p>
    <w:p>
      <w:pPr>
        <w:pStyle w:val="64"/>
        <w:spacing w:line="520" w:lineRule="exact"/>
        <w:ind w:firstLine="480"/>
      </w:pPr>
      <w:r>
        <w:rPr>
          <w:rFonts w:hint="eastAsia"/>
        </w:rPr>
        <w:t>分值汇总计算错误的；</w:t>
      </w:r>
    </w:p>
    <w:p>
      <w:pPr>
        <w:pStyle w:val="64"/>
        <w:spacing w:line="520" w:lineRule="exact"/>
        <w:ind w:firstLine="480"/>
      </w:pPr>
      <w:r>
        <w:rPr>
          <w:rFonts w:hint="eastAsia"/>
        </w:rPr>
        <w:t>分项评分超出评分标准范围的；</w:t>
      </w:r>
    </w:p>
    <w:p>
      <w:pPr>
        <w:pStyle w:val="64"/>
        <w:spacing w:line="520" w:lineRule="exact"/>
        <w:ind w:firstLine="480"/>
      </w:pPr>
      <w:r>
        <w:rPr>
          <w:rFonts w:hint="eastAsia"/>
        </w:rPr>
        <w:t>客观评分不一致的；</w:t>
      </w:r>
    </w:p>
    <w:p>
      <w:pPr>
        <w:pStyle w:val="64"/>
        <w:spacing w:line="520" w:lineRule="exact"/>
        <w:ind w:firstLine="480"/>
      </w:pPr>
      <w:r>
        <w:rPr>
          <w:rFonts w:hint="eastAsia"/>
        </w:rPr>
        <w:t>经磋商小组一致认定评分畸高、畸低的。</w:t>
      </w:r>
    </w:p>
    <w:p>
      <w:pPr>
        <w:pStyle w:val="63"/>
        <w:spacing w:line="520" w:lineRule="exact"/>
        <w:ind w:firstLine="480"/>
      </w:pPr>
      <w:r>
        <w:rPr>
          <w:rFonts w:hint="eastAsia"/>
        </w:rPr>
        <w:t>采购代理机构复核过程中，磋商小组不得离开评审现场。</w:t>
      </w:r>
    </w:p>
    <w:p>
      <w:pPr>
        <w:pStyle w:val="63"/>
        <w:spacing w:line="520" w:lineRule="exact"/>
        <w:ind w:firstLine="480"/>
      </w:pPr>
      <w:r>
        <w:rPr>
          <w:rFonts w:hint="eastAsia"/>
        </w:rPr>
        <w:t>存在本条上述规定情形的，由磋商小组自主决定是否采纳采购代理机构的书面建议，并承担独立评审责任。磋商小组采纳采购代理机构书面建议的，应当按照规定现场修改磋商结果或者重新评审，并在评审报告中详细记载有关事宜；不采纳采购代理机构书面建议的，应当书面说明理由。采购代理机构书面建议未被磋商小组采纳的，应当按照规定程序要求继续组织实施采购活动，不得擅自中止采购活动。</w:t>
      </w:r>
    </w:p>
    <w:p>
      <w:pPr>
        <w:pStyle w:val="63"/>
        <w:spacing w:line="520" w:lineRule="exact"/>
        <w:ind w:firstLine="480"/>
      </w:pPr>
      <w:r>
        <w:rPr>
          <w:rFonts w:hint="eastAsia"/>
        </w:rPr>
        <w:t>有下列情形之一的，不得修改磋商结果或者重新评审：</w:t>
      </w:r>
    </w:p>
    <w:p>
      <w:pPr>
        <w:pStyle w:val="64"/>
        <w:spacing w:line="520" w:lineRule="exact"/>
        <w:ind w:firstLine="480"/>
      </w:pPr>
      <w:r>
        <w:rPr>
          <w:rFonts w:hint="eastAsia"/>
        </w:rPr>
        <w:t>磋商小组已经出具评审报告并且离开评审现场的；</w:t>
      </w:r>
    </w:p>
    <w:p>
      <w:pPr>
        <w:pStyle w:val="64"/>
        <w:spacing w:line="520" w:lineRule="exact"/>
        <w:ind w:firstLine="480"/>
      </w:pPr>
      <w:r>
        <w:rPr>
          <w:rFonts w:hint="eastAsia"/>
        </w:rPr>
        <w:t>采购代理机构现场复核时，复核工作人员数量不足的；</w:t>
      </w:r>
    </w:p>
    <w:p>
      <w:pPr>
        <w:pStyle w:val="64"/>
        <w:spacing w:line="520" w:lineRule="exact"/>
        <w:ind w:firstLine="480"/>
      </w:pPr>
      <w:r>
        <w:rPr>
          <w:rFonts w:hint="eastAsia"/>
        </w:rPr>
        <w:t>采购代理机构现场复核时，没有采购监督人员现场监督的；</w:t>
      </w:r>
    </w:p>
    <w:p>
      <w:pPr>
        <w:pStyle w:val="64"/>
        <w:spacing w:line="520" w:lineRule="exact"/>
        <w:ind w:firstLine="480"/>
      </w:pPr>
      <w:r>
        <w:rPr>
          <w:rFonts w:hint="eastAsia"/>
        </w:rPr>
        <w:t>采购代理机构现场复核内容超出规定范围的；</w:t>
      </w:r>
    </w:p>
    <w:p>
      <w:pPr>
        <w:pStyle w:val="64"/>
        <w:spacing w:line="520" w:lineRule="exact"/>
        <w:ind w:firstLine="480"/>
      </w:pPr>
      <w:r>
        <w:rPr>
          <w:rFonts w:hint="eastAsia"/>
        </w:rPr>
        <w:t>采购代理机构未提供书面建议的。</w:t>
      </w:r>
    </w:p>
    <w:p>
      <w:pPr>
        <w:pStyle w:val="49"/>
        <w:spacing w:line="520" w:lineRule="exact"/>
        <w:ind w:firstLine="482"/>
      </w:pPr>
      <w:bookmarkStart w:id="505" w:name="_Toc4617"/>
      <w:bookmarkStart w:id="506" w:name="_Toc28645"/>
      <w:bookmarkStart w:id="507" w:name="_Toc21500"/>
      <w:bookmarkStart w:id="508" w:name="_Toc1400"/>
      <w:bookmarkStart w:id="509" w:name="_Toc6026"/>
      <w:bookmarkStart w:id="510" w:name="_Toc8064"/>
      <w:r>
        <w:rPr>
          <w:rFonts w:hint="eastAsia"/>
        </w:rPr>
        <w:t>评审报告</w:t>
      </w:r>
      <w:bookmarkEnd w:id="505"/>
      <w:bookmarkEnd w:id="506"/>
      <w:bookmarkEnd w:id="507"/>
      <w:bookmarkEnd w:id="508"/>
      <w:bookmarkEnd w:id="509"/>
      <w:bookmarkEnd w:id="510"/>
    </w:p>
    <w:p>
      <w:pPr>
        <w:pStyle w:val="63"/>
        <w:spacing w:line="520" w:lineRule="exact"/>
        <w:ind w:firstLine="480"/>
      </w:pPr>
      <w:r>
        <w:rPr>
          <w:rFonts w:hint="eastAsia"/>
        </w:rPr>
        <w:t>磋商小组应当根据综合评分情况，按照评审得分由高到低顺序推荐3名以上成交候选供应商，并编写评审报告。评审得分相同的，按照最后报价由低到高的顺序推荐成交候选供应商。评审得分且最后报价相同的，按照技术指标优劣顺序推荐成交候选供应商。评审得分且最后报价相同的，按照技术指标优劣顺序得分均相同，且企业性质相同的并列，由采购人自主采取公平、择优的方式选择成交候选供应商。</w:t>
      </w:r>
    </w:p>
    <w:p>
      <w:pPr>
        <w:pStyle w:val="63"/>
        <w:spacing w:line="520" w:lineRule="exact"/>
        <w:ind w:firstLine="480"/>
      </w:pPr>
      <w:r>
        <w:rPr>
          <w:rFonts w:hint="eastAsia"/>
        </w:rPr>
        <w:t>出具评审报告。评审委员会推荐成交候选供应商后，应当向采购组织单位出具评审报告。评审报告应当包括下列内容：</w:t>
      </w:r>
    </w:p>
    <w:p>
      <w:pPr>
        <w:pStyle w:val="64"/>
        <w:spacing w:line="520" w:lineRule="exact"/>
        <w:ind w:firstLine="480"/>
      </w:pPr>
      <w:r>
        <w:rPr>
          <w:rFonts w:hint="eastAsia"/>
        </w:rPr>
        <w:t>邀请供应商参加采购活动的具体方式和相关情况、以及参加采购活动的供应商名单；</w:t>
      </w:r>
    </w:p>
    <w:p>
      <w:pPr>
        <w:pStyle w:val="64"/>
        <w:spacing w:line="520" w:lineRule="exact"/>
        <w:ind w:firstLine="480"/>
      </w:pPr>
      <w:r>
        <w:rPr>
          <w:rFonts w:hint="eastAsia"/>
        </w:rPr>
        <w:t>响应文件开启日期和地点；</w:t>
      </w:r>
    </w:p>
    <w:p>
      <w:pPr>
        <w:pStyle w:val="64"/>
        <w:spacing w:line="520" w:lineRule="exact"/>
        <w:ind w:firstLine="480"/>
      </w:pPr>
      <w:r>
        <w:rPr>
          <w:rFonts w:hint="eastAsia"/>
        </w:rPr>
        <w:t>获取磋商文件的供应商名单和磋商小组成员名单；</w:t>
      </w:r>
    </w:p>
    <w:p>
      <w:pPr>
        <w:pStyle w:val="64"/>
        <w:spacing w:line="520" w:lineRule="exact"/>
        <w:ind w:firstLine="480"/>
      </w:pPr>
      <w:r>
        <w:rPr>
          <w:rFonts w:hint="eastAsia"/>
        </w:rPr>
        <w:t>参加报价的供应商名单及报价情况和未参加报价的供应商名单及原因；</w:t>
      </w:r>
    </w:p>
    <w:p>
      <w:pPr>
        <w:pStyle w:val="64"/>
        <w:spacing w:line="520" w:lineRule="exact"/>
        <w:ind w:firstLine="480"/>
      </w:pPr>
      <w:r>
        <w:rPr>
          <w:rFonts w:hint="eastAsia"/>
        </w:rPr>
        <w:t>磋商文件规定的采购项目实质性要求及变动磋商文件实质性内容的有关资料及记录；</w:t>
      </w:r>
    </w:p>
    <w:p>
      <w:pPr>
        <w:pStyle w:val="64"/>
        <w:spacing w:line="520" w:lineRule="exact"/>
        <w:ind w:firstLine="480"/>
      </w:pPr>
      <w:r>
        <w:rPr>
          <w:rFonts w:hint="eastAsia"/>
        </w:rPr>
        <w:t>供应商响应文件响应磋商文件实质性要求情况及供应商变动响应文件有关资料及记录；</w:t>
      </w:r>
    </w:p>
    <w:p>
      <w:pPr>
        <w:pStyle w:val="64"/>
        <w:spacing w:line="520" w:lineRule="exact"/>
        <w:ind w:firstLine="480"/>
      </w:pPr>
      <w:r>
        <w:rPr>
          <w:rFonts w:hint="eastAsia"/>
        </w:rPr>
        <w:t>评审情况记录和说明，包括对供应商的资格审查情况、供应商响应文件评审情况、磋商情况、报价情况等；</w:t>
      </w:r>
    </w:p>
    <w:p>
      <w:pPr>
        <w:pStyle w:val="64"/>
        <w:spacing w:line="520" w:lineRule="exact"/>
        <w:ind w:firstLine="480"/>
      </w:pPr>
      <w:r>
        <w:rPr>
          <w:rFonts w:hint="eastAsia"/>
        </w:rPr>
        <w:t>提出的成交候选供应商的排序名单及理由。</w:t>
      </w:r>
    </w:p>
    <w:p>
      <w:pPr>
        <w:pStyle w:val="63"/>
        <w:spacing w:line="520" w:lineRule="exact"/>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3"/>
        <w:spacing w:line="520" w:lineRule="exact"/>
        <w:ind w:firstLine="480"/>
      </w:pPr>
      <w:r>
        <w:rPr>
          <w:rFonts w:hint="eastAsia"/>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43"/>
      </w:pPr>
    </w:p>
    <w:p>
      <w:pPr>
        <w:pStyle w:val="48"/>
        <w:numPr>
          <w:ilvl w:val="0"/>
          <w:numId w:val="20"/>
        </w:numPr>
        <w:spacing w:before="120" w:after="120"/>
      </w:pPr>
      <w:r>
        <w:rPr>
          <w:rFonts w:hint="eastAsia"/>
        </w:rPr>
        <w:br w:type="page"/>
      </w:r>
      <w:bookmarkEnd w:id="447"/>
      <w:bookmarkStart w:id="511" w:name="_Toc29012"/>
      <w:bookmarkStart w:id="512" w:name="_Toc7547"/>
      <w:bookmarkStart w:id="513" w:name="_Toc18908"/>
      <w:bookmarkStart w:id="514" w:name="_Toc13264"/>
      <w:bookmarkStart w:id="515" w:name="_Toc229"/>
      <w:bookmarkStart w:id="516" w:name="_Toc27415"/>
      <w:r>
        <w:rPr>
          <w:rFonts w:hint="eastAsia"/>
        </w:rPr>
        <w:t>采购合同</w:t>
      </w:r>
      <w:bookmarkEnd w:id="511"/>
      <w:bookmarkEnd w:id="512"/>
      <w:bookmarkEnd w:id="513"/>
      <w:bookmarkEnd w:id="514"/>
      <w:bookmarkEnd w:id="515"/>
      <w:bookmarkEnd w:id="516"/>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成都市技师学院食堂专用存款账户银行采购项目合同文本主要条款</w:t>
      </w:r>
    </w:p>
    <w:p>
      <w:pPr>
        <w:pStyle w:val="69"/>
        <w:keepNext w:val="0"/>
        <w:keepLines w:val="0"/>
        <w:pageBreakBefore w:val="0"/>
        <w:widowControl w:val="0"/>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69"/>
        <w:keepNext w:val="0"/>
        <w:keepLines w:val="0"/>
        <w:pageBreakBefore w:val="0"/>
        <w:widowControl w:val="0"/>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000000"/>
          <w:sz w:val="24"/>
          <w:szCs w:val="24"/>
        </w:rPr>
        <w:t>重要说明：</w:t>
      </w:r>
      <w:r>
        <w:rPr>
          <w:rFonts w:hint="eastAsia" w:ascii="宋体" w:hAnsi="宋体" w:eastAsia="宋体" w:cs="宋体"/>
          <w:b/>
          <w:bCs/>
          <w:color w:val="000000"/>
          <w:sz w:val="24"/>
          <w:szCs w:val="24"/>
          <w:lang w:val="en-US" w:eastAsia="zh-CN"/>
        </w:rPr>
        <w:t>采购人、供应商</w:t>
      </w:r>
      <w:r>
        <w:rPr>
          <w:rFonts w:hint="eastAsia" w:ascii="宋体" w:hAnsi="宋体" w:eastAsia="宋体" w:cs="宋体"/>
          <w:b/>
          <w:bCs/>
          <w:color w:val="000000"/>
          <w:sz w:val="24"/>
          <w:szCs w:val="24"/>
        </w:rPr>
        <w:t>在签订</w:t>
      </w:r>
      <w:r>
        <w:rPr>
          <w:rFonts w:hint="eastAsia" w:ascii="宋体" w:hAnsi="宋体" w:eastAsia="宋体" w:cs="宋体"/>
          <w:b/>
          <w:bCs/>
          <w:color w:val="000000"/>
          <w:sz w:val="24"/>
          <w:szCs w:val="24"/>
          <w:lang w:val="en-US" w:eastAsia="zh-CN"/>
        </w:rPr>
        <w:t>正式</w:t>
      </w:r>
      <w:r>
        <w:rPr>
          <w:rFonts w:hint="eastAsia" w:ascii="宋体" w:hAnsi="宋体" w:eastAsia="宋体" w:cs="宋体"/>
          <w:b/>
          <w:bCs/>
          <w:color w:val="000000"/>
          <w:sz w:val="24"/>
          <w:szCs w:val="24"/>
        </w:rPr>
        <w:t>合同前</w:t>
      </w:r>
      <w:r>
        <w:rPr>
          <w:rFonts w:hint="eastAsia" w:ascii="宋体" w:hAnsi="宋体" w:eastAsia="宋体" w:cs="宋体"/>
          <w:b/>
          <w:bCs/>
          <w:color w:val="000000"/>
          <w:sz w:val="24"/>
          <w:szCs w:val="24"/>
          <w:lang w:val="en-US" w:eastAsia="zh-CN"/>
        </w:rPr>
        <w:t>应</w:t>
      </w:r>
      <w:r>
        <w:rPr>
          <w:rFonts w:hint="eastAsia" w:ascii="宋体" w:hAnsi="宋体" w:eastAsia="宋体" w:cs="宋体"/>
          <w:b/>
          <w:bCs/>
          <w:color w:val="000000"/>
          <w:sz w:val="24"/>
          <w:szCs w:val="24"/>
        </w:rPr>
        <w:t>依据</w:t>
      </w:r>
      <w:r>
        <w:rPr>
          <w:rFonts w:hint="eastAsia" w:ascii="宋体" w:hAnsi="宋体" w:eastAsia="宋体" w:cs="宋体"/>
          <w:b/>
          <w:bCs/>
          <w:color w:val="000000"/>
          <w:sz w:val="24"/>
          <w:szCs w:val="24"/>
          <w:lang w:val="en-US" w:eastAsia="zh-CN"/>
        </w:rPr>
        <w:t>本项目的磋商文件、响应文件、项目的澄清文件等</w:t>
      </w:r>
      <w:r>
        <w:rPr>
          <w:rFonts w:hint="eastAsia" w:ascii="宋体" w:hAnsi="宋体" w:eastAsia="宋体" w:cs="宋体"/>
          <w:b/>
          <w:bCs/>
          <w:color w:val="000000"/>
          <w:sz w:val="24"/>
          <w:szCs w:val="24"/>
        </w:rPr>
        <w:t>对以下合同内容进行</w:t>
      </w:r>
      <w:r>
        <w:rPr>
          <w:rFonts w:hint="eastAsia" w:ascii="宋体" w:hAnsi="宋体" w:eastAsia="宋体" w:cs="宋体"/>
          <w:b/>
          <w:bCs/>
          <w:color w:val="000000"/>
          <w:sz w:val="24"/>
          <w:szCs w:val="24"/>
          <w:lang w:val="en-US" w:eastAsia="zh-CN"/>
        </w:rPr>
        <w:t>修正和完善</w:t>
      </w:r>
      <w:r>
        <w:rPr>
          <w:rFonts w:hint="eastAsia" w:ascii="宋体" w:hAnsi="宋体" w:eastAsia="宋体" w:cs="宋体"/>
          <w:b/>
          <w:bCs/>
          <w:color w:val="000000"/>
          <w:sz w:val="24"/>
          <w:szCs w:val="24"/>
        </w:rPr>
        <w:t>。</w:t>
      </w:r>
      <w:r>
        <w:rPr>
          <w:rFonts w:hint="eastAsia" w:ascii="宋体" w:hAnsi="宋体" w:eastAsia="宋体" w:cs="宋体"/>
          <w:b/>
          <w:bCs/>
          <w:color w:val="auto"/>
          <w:sz w:val="24"/>
          <w:szCs w:val="24"/>
          <w:highlight w:val="none"/>
          <w:lang w:val="en-US" w:eastAsia="zh-CN"/>
        </w:rPr>
        <w:t>)</w:t>
      </w:r>
    </w:p>
    <w:p>
      <w:pPr>
        <w:pStyle w:val="69"/>
        <w:keepNext w:val="0"/>
        <w:keepLines w:val="0"/>
        <w:pageBreakBefore w:val="0"/>
        <w:widowControl w:val="0"/>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合同编号：</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签订地点：</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签订时间：</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甲方(采购人)：成都市技师学院</w:t>
      </w:r>
    </w:p>
    <w:p>
      <w:pPr>
        <w:pStyle w:val="43"/>
        <w:keepNext w:val="0"/>
        <w:keepLines w:val="0"/>
        <w:pageBreakBefore w:val="0"/>
        <w:widowControl w:val="0"/>
        <w:kinsoku/>
        <w:wordWrap w:val="0"/>
        <w:overflowPunct/>
        <w:topLinePunct/>
        <w:autoSpaceDE/>
        <w:autoSpaceDN/>
        <w:bidi w:val="0"/>
        <w:adjustRightInd w:val="0"/>
        <w:snapToGrid w:val="0"/>
        <w:spacing w:line="520" w:lineRule="exact"/>
        <w:ind w:leftChars="0" w:firstLine="480" w:firstLineChars="200"/>
        <w:jc w:val="both"/>
        <w:textAlignment w:val="auto"/>
        <w:outlineLvl w:val="9"/>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 xml:space="preserve">乙方(供应商)：    </w:t>
      </w:r>
    </w:p>
    <w:p>
      <w:pPr>
        <w:keepNext w:val="0"/>
        <w:keepLines w:val="0"/>
        <w:pageBreakBefore w:val="0"/>
        <w:widowControl w:val="0"/>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根据《中华人民共和国民法典》《市财政局、人行成都分行营管部、市审计局关于印发&lt;成都市市本级预算单位银行账户管理办法&gt;是通知》及</w:t>
      </w:r>
      <w:r>
        <w:rPr>
          <w:rFonts w:hint="eastAsia" w:ascii="宋体" w:hAnsi="宋体" w:eastAsia="宋体" w:cs="宋体"/>
          <w:b w:val="0"/>
          <w:bCs w:val="0"/>
          <w:color w:val="auto"/>
          <w:sz w:val="24"/>
          <w:szCs w:val="24"/>
          <w:highlight w:val="none"/>
          <w:u w:val="none"/>
          <w:lang w:eastAsia="zh-CN"/>
        </w:rPr>
        <w:t>成都市技师学院食堂专用存款账户银行采购项目</w:t>
      </w:r>
      <w:r>
        <w:rPr>
          <w:rFonts w:hint="eastAsia" w:ascii="宋体" w:hAnsi="宋体" w:eastAsia="宋体" w:cs="宋体"/>
          <w:b w:val="0"/>
          <w:bCs w:val="0"/>
          <w:color w:val="auto"/>
          <w:sz w:val="24"/>
          <w:szCs w:val="24"/>
          <w:highlight w:val="none"/>
          <w:lang w:val="en-US" w:eastAsia="zh-CN"/>
        </w:rPr>
        <w:t>(项目编号：XXX)的磋商文件、乙方的响应文件及成交通知书，甲、乙双方同意签订本合同，共同遵守如下条款：</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市财政局、人行成都分行营管部、市审计局关于印发&lt;成都市市本级预算单位银行账户管理办法&gt;是通知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等文件精神，</w:t>
      </w:r>
      <w:r>
        <w:rPr>
          <w:rFonts w:hint="eastAsia" w:ascii="宋体" w:hAnsi="宋体" w:eastAsia="宋体" w:cs="宋体"/>
          <w:color w:val="auto"/>
          <w:sz w:val="24"/>
          <w:szCs w:val="24"/>
          <w:highlight w:val="none"/>
          <w:lang w:val="en-US" w:eastAsia="zh-CN"/>
        </w:rPr>
        <w:t>我校</w:t>
      </w:r>
      <w:r>
        <w:rPr>
          <w:rFonts w:hint="eastAsia" w:ascii="宋体" w:hAnsi="宋体" w:eastAsia="宋体" w:cs="宋体"/>
          <w:color w:val="auto"/>
          <w:sz w:val="24"/>
          <w:szCs w:val="24"/>
          <w:highlight w:val="none"/>
        </w:rPr>
        <w:t>选择</w:t>
      </w:r>
      <w:r>
        <w:rPr>
          <w:rFonts w:hint="eastAsia" w:ascii="宋体" w:hAnsi="宋体" w:eastAsia="宋体" w:cs="宋体"/>
          <w:color w:val="auto"/>
          <w:sz w:val="24"/>
          <w:szCs w:val="24"/>
          <w:highlight w:val="none"/>
          <w:lang w:val="en-US" w:eastAsia="zh-CN"/>
        </w:rPr>
        <w:t>乙方为</w:t>
      </w:r>
      <w:r>
        <w:rPr>
          <w:rFonts w:hint="eastAsia" w:ascii="宋体" w:hAnsi="宋体" w:eastAsia="宋体" w:cs="宋体"/>
          <w:bCs w:val="0"/>
          <w:color w:val="auto"/>
          <w:sz w:val="24"/>
          <w:szCs w:val="24"/>
          <w:highlight w:val="none"/>
          <w:u w:val="none"/>
          <w:lang w:eastAsia="zh-CN"/>
        </w:rPr>
        <w:t>食堂</w:t>
      </w:r>
      <w:r>
        <w:rPr>
          <w:rFonts w:hint="eastAsia" w:ascii="宋体" w:hAnsi="宋体" w:eastAsia="宋体" w:cs="宋体"/>
          <w:bCs w:val="0"/>
          <w:color w:val="auto"/>
          <w:sz w:val="24"/>
          <w:szCs w:val="24"/>
          <w:highlight w:val="none"/>
          <w:u w:val="none"/>
        </w:rPr>
        <w:t>专用存款</w:t>
      </w:r>
      <w:r>
        <w:rPr>
          <w:rFonts w:hint="eastAsia" w:ascii="宋体" w:hAnsi="宋体" w:eastAsia="宋体" w:cs="宋体"/>
          <w:bCs w:val="0"/>
          <w:color w:val="auto"/>
          <w:sz w:val="24"/>
          <w:szCs w:val="24"/>
          <w:highlight w:val="none"/>
          <w:u w:val="none"/>
          <w:lang w:val="en-US" w:eastAsia="zh-CN"/>
        </w:rPr>
        <w:t>账户</w:t>
      </w:r>
      <w:r>
        <w:rPr>
          <w:rFonts w:hint="eastAsia" w:ascii="宋体" w:hAnsi="宋体" w:eastAsia="宋体" w:cs="宋体"/>
          <w:bCs w:val="0"/>
          <w:color w:val="auto"/>
          <w:sz w:val="24"/>
          <w:szCs w:val="24"/>
          <w:highlight w:val="none"/>
          <w:u w:val="none"/>
        </w:rPr>
        <w:t>银行</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二、服务内容及要求</w:t>
      </w:r>
    </w:p>
    <w:p>
      <w:pPr>
        <w:keepNext w:val="0"/>
        <w:keepLines w:val="0"/>
        <w:pageBreakBefore w:val="0"/>
        <w:widowControl w:val="0"/>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详见招标文件和响应文件。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三、履约时间和方式</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本合同签订后，在</w:t>
      </w:r>
      <w:r>
        <w:rPr>
          <w:rFonts w:hint="eastAsia" w:ascii="宋体" w:hAnsi="宋体" w:eastAsia="宋体" w:cs="宋体"/>
          <w:sz w:val="24"/>
          <w:szCs w:val="24"/>
          <w:lang w:val="en-US" w:eastAsia="zh-CN"/>
        </w:rPr>
        <w:t>甲方</w:t>
      </w:r>
      <w:r>
        <w:rPr>
          <w:rFonts w:hint="eastAsia" w:ascii="宋体" w:hAnsi="宋体" w:eastAsia="宋体" w:cs="宋体"/>
          <w:sz w:val="24"/>
          <w:szCs w:val="24"/>
          <w:lang w:val="zh-CN" w:eastAsia="zh-CN"/>
        </w:rPr>
        <w:t>获得上级主管部门开户许可</w:t>
      </w:r>
      <w:r>
        <w:rPr>
          <w:rFonts w:hint="eastAsia" w:ascii="宋体" w:hAnsi="宋体" w:eastAsia="宋体" w:cs="宋体"/>
          <w:sz w:val="24"/>
          <w:szCs w:val="24"/>
          <w:lang w:val="en-US" w:eastAsia="zh-CN"/>
        </w:rPr>
        <w:t>且甲方向乙方提供开户资料后的10个工作日内，乙方为甲方</w:t>
      </w:r>
      <w:r>
        <w:rPr>
          <w:rFonts w:hint="eastAsia" w:ascii="宋体" w:hAnsi="宋体" w:eastAsia="宋体" w:cs="宋体"/>
          <w:sz w:val="24"/>
          <w:szCs w:val="24"/>
          <w:lang w:val="zh-CN" w:eastAsia="zh-CN"/>
        </w:rPr>
        <w:t>开通</w:t>
      </w:r>
      <w:r>
        <w:rPr>
          <w:rFonts w:hint="eastAsia" w:ascii="宋体" w:hAnsi="宋体" w:eastAsia="宋体" w:cs="宋体"/>
          <w:bCs w:val="0"/>
          <w:color w:val="auto"/>
          <w:sz w:val="24"/>
          <w:szCs w:val="24"/>
          <w:highlight w:val="none"/>
          <w:u w:val="none"/>
        </w:rPr>
        <w:t>存款</w:t>
      </w:r>
      <w:r>
        <w:rPr>
          <w:rFonts w:hint="eastAsia" w:ascii="宋体" w:hAnsi="宋体" w:eastAsia="宋体" w:cs="宋体"/>
          <w:bCs w:val="0"/>
          <w:color w:val="auto"/>
          <w:sz w:val="24"/>
          <w:szCs w:val="24"/>
          <w:highlight w:val="none"/>
          <w:u w:val="none"/>
          <w:lang w:val="en-US" w:eastAsia="zh-CN"/>
        </w:rPr>
        <w:t>专户</w:t>
      </w:r>
      <w:r>
        <w:rPr>
          <w:rFonts w:hint="eastAsia" w:ascii="宋体" w:hAnsi="宋体" w:eastAsia="宋体" w:cs="宋体"/>
          <w:sz w:val="24"/>
          <w:szCs w:val="24"/>
          <w:lang w:val="zh-CN"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合同期内</w:t>
      </w:r>
      <w:r>
        <w:rPr>
          <w:rFonts w:hint="eastAsia" w:ascii="宋体" w:hAnsi="宋体" w:eastAsia="宋体" w:cs="宋体"/>
          <w:sz w:val="24"/>
          <w:szCs w:val="24"/>
          <w:lang w:val="en-US" w:eastAsia="zh-CN"/>
        </w:rPr>
        <w:t>甲方</w:t>
      </w:r>
      <w:r>
        <w:rPr>
          <w:rFonts w:hint="eastAsia" w:ascii="宋体" w:hAnsi="宋体" w:eastAsia="宋体" w:cs="宋体"/>
          <w:sz w:val="24"/>
          <w:szCs w:val="24"/>
          <w:lang w:val="zh-CN" w:eastAsia="zh-CN"/>
        </w:rPr>
        <w:t>有权根据上级相关规定、</w:t>
      </w:r>
      <w:r>
        <w:rPr>
          <w:rFonts w:hint="eastAsia" w:ascii="宋体" w:hAnsi="宋体" w:eastAsia="宋体" w:cs="宋体"/>
          <w:sz w:val="24"/>
          <w:szCs w:val="24"/>
          <w:lang w:val="en-US" w:eastAsia="zh-CN"/>
        </w:rPr>
        <w:t>乙方</w:t>
      </w:r>
      <w:r>
        <w:rPr>
          <w:rFonts w:hint="eastAsia" w:ascii="宋体" w:hAnsi="宋体" w:eastAsia="宋体" w:cs="宋体"/>
          <w:sz w:val="24"/>
          <w:szCs w:val="24"/>
          <w:lang w:val="zh-CN" w:eastAsia="zh-CN"/>
        </w:rPr>
        <w:t>履约情况以及</w:t>
      </w:r>
      <w:r>
        <w:rPr>
          <w:rFonts w:hint="eastAsia" w:ascii="宋体" w:hAnsi="宋体" w:eastAsia="宋体" w:cs="宋体"/>
          <w:sz w:val="24"/>
          <w:szCs w:val="24"/>
          <w:lang w:val="en-US" w:eastAsia="zh-CN"/>
        </w:rPr>
        <w:t>甲方</w:t>
      </w:r>
      <w:r>
        <w:rPr>
          <w:rFonts w:hint="eastAsia" w:ascii="宋体" w:hAnsi="宋体" w:eastAsia="宋体" w:cs="宋体"/>
          <w:sz w:val="24"/>
          <w:szCs w:val="24"/>
          <w:lang w:val="zh-CN" w:eastAsia="zh-CN"/>
        </w:rPr>
        <w:t>的实际，注销或变更该账户。</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color w:val="auto"/>
          <w:kern w:val="2"/>
          <w:sz w:val="24"/>
          <w:szCs w:val="24"/>
          <w:highlight w:val="red"/>
          <w:lang w:val="en-US" w:eastAsia="zh-CN" w:bidi="ar-SA"/>
        </w:rPr>
      </w:pPr>
      <w:r>
        <w:rPr>
          <w:rFonts w:hint="eastAsia" w:ascii="宋体" w:hAnsi="宋体" w:eastAsia="宋体" w:cs="宋体"/>
          <w:b/>
          <w:bCs/>
          <w:color w:val="auto"/>
          <w:kern w:val="2"/>
          <w:sz w:val="24"/>
          <w:szCs w:val="24"/>
          <w:highlight w:val="none"/>
          <w:lang w:val="en-US" w:eastAsia="zh-CN" w:bidi="ar-SA"/>
        </w:rPr>
        <w:t>四、履约地点</w:t>
      </w:r>
    </w:p>
    <w:p>
      <w:pPr>
        <w:keepNext w:val="0"/>
        <w:keepLines w:val="0"/>
        <w:pageBreakBefore w:val="0"/>
        <w:widowControl w:val="0"/>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lang w:eastAsia="zh-CN"/>
        </w:rPr>
        <w:t>成都市郫都区港通北三路1899号</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五、存款</w:t>
      </w:r>
      <w:r>
        <w:rPr>
          <w:rFonts w:hint="eastAsia" w:ascii="宋体" w:hAnsi="宋体" w:eastAsia="宋体" w:cs="宋体"/>
          <w:b/>
          <w:bCs/>
          <w:i w:val="0"/>
          <w:iCs w:val="0"/>
          <w:sz w:val="24"/>
          <w:szCs w:val="24"/>
          <w:lang w:val="en-US"/>
        </w:rPr>
        <w:t>利息及结算方式</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w:t>
      </w:r>
      <w:r>
        <w:rPr>
          <w:rFonts w:hint="eastAsia" w:ascii="宋体" w:hAnsi="宋体" w:eastAsia="宋体" w:cs="宋体"/>
          <w:b w:val="0"/>
          <w:bCs w:val="0"/>
          <w:i w:val="0"/>
          <w:iCs w:val="0"/>
          <w:sz w:val="24"/>
          <w:szCs w:val="24"/>
          <w:lang w:val="zh-CN"/>
        </w:rPr>
        <w:t>利息</w:t>
      </w:r>
      <w:r>
        <w:rPr>
          <w:rFonts w:hint="eastAsia" w:ascii="宋体" w:hAnsi="宋体" w:eastAsia="宋体" w:cs="宋体"/>
          <w:b w:val="0"/>
          <w:bCs w:val="0"/>
          <w:i w:val="0"/>
          <w:iCs w:val="0"/>
          <w:sz w:val="24"/>
          <w:szCs w:val="24"/>
          <w:lang w:val="zh-CN" w:eastAsia="zh-CN"/>
        </w:rPr>
        <w:t>=</w:t>
      </w:r>
      <w:r>
        <w:rPr>
          <w:rFonts w:hint="eastAsia" w:ascii="宋体" w:hAnsi="宋体" w:eastAsia="宋体" w:cs="宋体"/>
          <w:sz w:val="24"/>
          <w:szCs w:val="24"/>
          <w:lang w:val="zh-CN" w:eastAsia="zh-CN"/>
        </w:rPr>
        <w:t>中国人民银行对商业银行</w:t>
      </w:r>
      <w:r>
        <w:rPr>
          <w:rFonts w:hint="eastAsia" w:ascii="宋体" w:hAnsi="宋体" w:eastAsia="宋体" w:cs="宋体"/>
          <w:sz w:val="24"/>
          <w:szCs w:val="24"/>
          <w:lang w:val="en-US" w:eastAsia="zh-CN"/>
        </w:rPr>
        <w:t>规定</w:t>
      </w:r>
      <w:r>
        <w:rPr>
          <w:rFonts w:hint="eastAsia" w:ascii="宋体" w:hAnsi="宋体" w:eastAsia="宋体" w:cs="宋体"/>
          <w:sz w:val="24"/>
          <w:szCs w:val="24"/>
          <w:lang w:val="zh-CN" w:eastAsia="zh-CN"/>
        </w:rPr>
        <w:t>的利息*乙方报价(</w:t>
      </w:r>
      <w:r>
        <w:rPr>
          <w:rFonts w:hint="eastAsia" w:ascii="宋体" w:hAnsi="宋体" w:eastAsia="宋体" w:cs="宋体"/>
          <w:i w:val="0"/>
          <w:kern w:val="2"/>
          <w:sz w:val="24"/>
          <w:szCs w:val="24"/>
          <w:u w:val="none"/>
          <w:lang w:val="zh-CN" w:eastAsia="zh-CN" w:bidi="ar"/>
        </w:rPr>
        <w:t>资金存放综合利率上浮率</w:t>
      </w:r>
      <w:r>
        <w:rPr>
          <w:rFonts w:hint="eastAsia" w:ascii="宋体" w:hAnsi="宋体" w:eastAsia="宋体" w:cs="宋体"/>
          <w:sz w:val="24"/>
          <w:szCs w:val="24"/>
          <w:lang w:val="zh-CN"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以中国人民银行对商业银行</w:t>
      </w:r>
      <w:r>
        <w:rPr>
          <w:rFonts w:hint="eastAsia" w:ascii="宋体" w:hAnsi="宋体" w:eastAsia="宋体" w:cs="宋体"/>
          <w:sz w:val="24"/>
          <w:szCs w:val="24"/>
          <w:lang w:val="en-US" w:eastAsia="zh-CN"/>
        </w:rPr>
        <w:t>规定</w:t>
      </w:r>
      <w:r>
        <w:rPr>
          <w:rFonts w:hint="eastAsia" w:ascii="宋体" w:hAnsi="宋体" w:eastAsia="宋体" w:cs="宋体"/>
          <w:sz w:val="24"/>
          <w:szCs w:val="24"/>
          <w:lang w:val="zh-CN" w:eastAsia="zh-CN"/>
        </w:rPr>
        <w:t>的利息结算方式要求为准。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w:t>
      </w:r>
      <w:r>
        <w:rPr>
          <w:rFonts w:hint="eastAsia" w:ascii="宋体" w:hAnsi="宋体" w:eastAsia="宋体" w:cs="宋体"/>
          <w:kern w:val="2"/>
          <w:sz w:val="24"/>
          <w:szCs w:val="24"/>
          <w:highlight w:val="none"/>
          <w:lang w:val="zh-CN"/>
        </w:rPr>
        <w:t>乙方免除存放资金专户的所有管理费用和服务费用，包括但不限于</w:t>
      </w:r>
      <w:r>
        <w:rPr>
          <w:rFonts w:hint="eastAsia" w:ascii="宋体" w:hAnsi="宋体" w:eastAsia="宋体" w:cs="宋体"/>
          <w:bCs w:val="0"/>
          <w:sz w:val="24"/>
          <w:szCs w:val="24"/>
          <w:highlight w:val="none"/>
          <w:lang w:val="zh-CN"/>
        </w:rPr>
        <w:t>账户维护费、小额账户管理费、对公自助终端费、通存通兑手续费、一户通管理费、上门服务费等一切费用。</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六、</w:t>
      </w:r>
      <w:r>
        <w:rPr>
          <w:rFonts w:hint="eastAsia" w:ascii="宋体" w:hAnsi="宋体" w:eastAsia="宋体" w:cs="宋体"/>
          <w:b/>
          <w:bCs/>
          <w:sz w:val="24"/>
          <w:szCs w:val="24"/>
          <w:highlight w:val="none"/>
          <w:lang w:val="en-US" w:eastAsia="zh-CN"/>
        </w:rPr>
        <w:t>双方的权利和义务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一)甲方的权利和义务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1、甲方有权对合同规定范围内乙方的服务行为进行监督。</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w:t>
      </w:r>
      <w:r>
        <w:rPr>
          <w:rFonts w:hint="eastAsia" w:ascii="宋体" w:hAnsi="宋体" w:eastAsia="宋体" w:cs="宋体"/>
          <w:bCs w:val="0"/>
          <w:color w:val="auto"/>
          <w:sz w:val="24"/>
          <w:szCs w:val="24"/>
          <w:highlight w:val="none"/>
          <w:lang w:val="en-US" w:eastAsia="zh-CN"/>
        </w:rPr>
        <w:t>甲方</w:t>
      </w:r>
      <w:r>
        <w:rPr>
          <w:rFonts w:hint="eastAsia" w:ascii="宋体" w:hAnsi="宋体" w:eastAsia="宋体" w:cs="宋体"/>
          <w:bCs w:val="0"/>
          <w:color w:val="auto"/>
          <w:sz w:val="24"/>
          <w:szCs w:val="24"/>
          <w:highlight w:val="none"/>
        </w:rPr>
        <w:t>有权定期</w:t>
      </w:r>
      <w:r>
        <w:rPr>
          <w:rFonts w:hint="eastAsia" w:ascii="宋体" w:hAnsi="宋体" w:eastAsia="宋体" w:cs="宋体"/>
          <w:bCs w:val="0"/>
          <w:color w:val="auto"/>
          <w:sz w:val="24"/>
          <w:szCs w:val="24"/>
          <w:highlight w:val="none"/>
          <w:lang w:val="en-US" w:eastAsia="zh-CN"/>
        </w:rPr>
        <w:t>对</w:t>
      </w:r>
      <w:r>
        <w:rPr>
          <w:rFonts w:hint="eastAsia" w:ascii="宋体" w:hAnsi="宋体" w:eastAsia="宋体" w:cs="宋体"/>
          <w:bCs w:val="0"/>
          <w:color w:val="auto"/>
          <w:sz w:val="24"/>
          <w:szCs w:val="24"/>
          <w:highlight w:val="none"/>
        </w:rPr>
        <w:t>乙方的服务质量进行评价，对甲方认为不合理的部分</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有权要求乙方限期整改。</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3、负责检查监督乙方管理工作的实施及制度的执行情况。</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4、</w:t>
      </w:r>
      <w:r>
        <w:rPr>
          <w:rFonts w:hint="eastAsia" w:ascii="宋体" w:hAnsi="宋体" w:eastAsia="宋体" w:cs="宋体"/>
          <w:bCs w:val="0"/>
          <w:color w:val="auto"/>
          <w:sz w:val="24"/>
          <w:szCs w:val="24"/>
          <w:highlight w:val="none"/>
          <w:lang w:val="en-US" w:eastAsia="zh-CN"/>
        </w:rPr>
        <w:t>收起</w:t>
      </w:r>
      <w:r>
        <w:rPr>
          <w:rFonts w:hint="eastAsia" w:ascii="宋体" w:hAnsi="宋体" w:eastAsia="宋体" w:cs="宋体"/>
          <w:bCs w:val="0"/>
          <w:color w:val="auto"/>
          <w:sz w:val="24"/>
          <w:szCs w:val="24"/>
          <w:highlight w:val="none"/>
        </w:rPr>
        <w:t>乙方利息等费用。</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5、国家法律、法规所规定由甲方承担的其它责任。</w:t>
      </w:r>
    </w:p>
    <w:p>
      <w:pPr>
        <w:keepNext w:val="0"/>
        <w:keepLines w:val="0"/>
        <w:pageBreakBefore w:val="0"/>
        <w:widowControl w:val="0"/>
        <w:numPr>
          <w:ilvl w:val="0"/>
          <w:numId w:val="25"/>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乙方的权利和义务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1、对本合同规定的委托服务范围内的项目享有管理权及服务义务。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2、根据规定向甲方</w:t>
      </w:r>
      <w:r>
        <w:rPr>
          <w:rFonts w:hint="eastAsia" w:ascii="宋体" w:hAnsi="宋体" w:eastAsia="宋体" w:cs="宋体"/>
          <w:bCs w:val="0"/>
          <w:color w:val="auto"/>
          <w:sz w:val="24"/>
          <w:szCs w:val="24"/>
          <w:highlight w:val="none"/>
          <w:lang w:val="en-US" w:eastAsia="zh-CN"/>
        </w:rPr>
        <w:t>支付</w:t>
      </w:r>
      <w:r>
        <w:rPr>
          <w:rFonts w:hint="eastAsia" w:ascii="宋体" w:hAnsi="宋体" w:eastAsia="宋体" w:cs="宋体"/>
          <w:bCs w:val="0"/>
          <w:color w:val="auto"/>
          <w:sz w:val="24"/>
          <w:szCs w:val="24"/>
          <w:highlight w:val="none"/>
        </w:rPr>
        <w:t>相关利息等费用。</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3、及时向甲方通告本项目服务范围内有关服务的重大事项。</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val="0"/>
          <w:color w:val="auto"/>
          <w:sz w:val="24"/>
          <w:szCs w:val="24"/>
          <w:highlight w:val="none"/>
        </w:rPr>
        <w:t>接受项目行业管理部门及政府有关部门的指导，接受甲方的监督。</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5、国家法律、法规所规定由乙方承担的其它责任。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七、验收、交付标准和方法</w:t>
      </w:r>
    </w:p>
    <w:p>
      <w:pPr>
        <w:keepNext w:val="0"/>
        <w:keepLines w:val="0"/>
        <w:pageBreakBefore w:val="0"/>
        <w:widowControl w:val="0"/>
        <w:kinsoku/>
        <w:wordWrap/>
        <w:overflowPunct/>
        <w:topLinePunct w:val="0"/>
        <w:autoSpaceDE/>
        <w:autoSpaceDN/>
        <w:bidi w:val="0"/>
        <w:adjustRightInd w:val="0"/>
        <w:snapToGrid w:val="0"/>
        <w:spacing w:before="0" w:after="0" w:line="520" w:lineRule="exact"/>
        <w:ind w:lef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1.验</w:t>
      </w:r>
      <w:r>
        <w:rPr>
          <w:rFonts w:hint="eastAsia" w:ascii="宋体" w:hAnsi="宋体" w:eastAsia="宋体" w:cs="宋体"/>
          <w:b w:val="0"/>
          <w:bCs w:val="0"/>
          <w:color w:val="auto"/>
          <w:kern w:val="2"/>
          <w:sz w:val="24"/>
          <w:szCs w:val="24"/>
          <w:highlight w:val="none"/>
          <w:lang w:val="en-US" w:eastAsia="zh-CN" w:bidi="ar-SA"/>
        </w:rPr>
        <w:t>收</w:t>
      </w:r>
      <w:r>
        <w:rPr>
          <w:rFonts w:hint="eastAsia" w:ascii="宋体" w:hAnsi="宋体" w:eastAsia="宋体" w:cs="宋体"/>
          <w:b w:val="0"/>
          <w:bCs w:val="0"/>
          <w:color w:val="auto"/>
          <w:sz w:val="24"/>
          <w:szCs w:val="24"/>
          <w:highlight w:val="none"/>
          <w:lang w:val="en-US" w:eastAsia="zh-CN"/>
        </w:rPr>
        <w:t>主体：甲方。</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2.验收时间：开户成功后2日。</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3.验收方式：内部验收。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4.验收程序：以开户成功为准</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5.验收内容及标准：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验收内容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每一项</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和商务要求的履约情况</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验收的标准：按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要求和技术指标、</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及承诺、合同约定进行验收。其他未尽事宜按照《财政部关于进一步加强政府采购需求和履约验收管理的指导意见》(财库〔2016〕205 号)的要求进行验收。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kern w:val="2"/>
          <w:sz w:val="24"/>
          <w:szCs w:val="24"/>
          <w:highlight w:val="none"/>
          <w:lang w:val="en-US" w:eastAsia="zh-CN" w:bidi="ar-SA"/>
        </w:rPr>
        <w:t>.交付标准和方法</w:t>
      </w:r>
      <w:r>
        <w:rPr>
          <w:rFonts w:hint="eastAsia" w:ascii="宋体" w:hAnsi="宋体" w:eastAsia="宋体" w:cs="宋体"/>
          <w:b w:val="0"/>
          <w:bCs w:val="0"/>
          <w:color w:val="auto"/>
          <w:sz w:val="24"/>
          <w:szCs w:val="24"/>
          <w:highlight w:val="none"/>
          <w:lang w:val="en-US" w:eastAsia="zh-CN"/>
        </w:rPr>
        <w:t>：以开户成功视为验收合格</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八、合同的变更和终止</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除以上规定的情形以及本合同其他条款另有约定外，本合同一经签订，甲乙双方不得擅自变更、中止或终止合同。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九、合同的分包和转让</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1.乙方不得部分或全部转让其应履行的合同义务；</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2.乙方不得分包。</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十、解决争议的方法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期间，若双方发生争议，双方应通过友好协商解决，经协商不能达成协议时应向甲方所在地人民法院提起诉讼。除判决另有规定外，一切涉诉合理费用(包括但不限于诉讼费、律师费、保全费等)均由违约方承担。</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十一、违约责任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1、甲乙双方须遵守本合同并执行合同中的各项规定，保证本合同的正常履行。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2、如乙方未在规定的时间内</w:t>
      </w:r>
      <w:r>
        <w:rPr>
          <w:rFonts w:hint="eastAsia" w:ascii="宋体" w:hAnsi="宋体" w:eastAsia="宋体" w:cs="宋体"/>
          <w:sz w:val="24"/>
          <w:szCs w:val="24"/>
          <w:lang w:val="en-US" w:eastAsia="zh-CN"/>
        </w:rPr>
        <w:t>为甲方</w:t>
      </w:r>
      <w:r>
        <w:rPr>
          <w:rFonts w:hint="eastAsia" w:ascii="宋体" w:hAnsi="宋体" w:eastAsia="宋体" w:cs="宋体"/>
          <w:sz w:val="24"/>
          <w:szCs w:val="24"/>
          <w:lang w:val="zh-CN" w:eastAsia="zh-CN"/>
        </w:rPr>
        <w:t>开通</w:t>
      </w:r>
      <w:r>
        <w:rPr>
          <w:rFonts w:hint="eastAsia" w:ascii="宋体" w:hAnsi="宋体" w:eastAsia="宋体" w:cs="宋体"/>
          <w:bCs w:val="0"/>
          <w:color w:val="auto"/>
          <w:sz w:val="24"/>
          <w:szCs w:val="24"/>
          <w:highlight w:val="none"/>
          <w:u w:val="none"/>
        </w:rPr>
        <w:t>存款</w:t>
      </w:r>
      <w:r>
        <w:rPr>
          <w:rFonts w:hint="eastAsia" w:ascii="宋体" w:hAnsi="宋体" w:eastAsia="宋体" w:cs="宋体"/>
          <w:bCs w:val="0"/>
          <w:color w:val="auto"/>
          <w:sz w:val="24"/>
          <w:szCs w:val="24"/>
          <w:highlight w:val="none"/>
          <w:u w:val="none"/>
          <w:lang w:val="en-US" w:eastAsia="zh-CN"/>
        </w:rPr>
        <w:t>专户，甲方有权终止本合同</w:t>
      </w:r>
      <w:r>
        <w:rPr>
          <w:rFonts w:hint="eastAsia" w:ascii="宋体" w:hAnsi="宋体" w:eastAsia="宋体" w:cs="宋体"/>
          <w:color w:val="auto"/>
          <w:sz w:val="24"/>
          <w:szCs w:val="24"/>
          <w:highlight w:val="none"/>
          <w:lang w:val="en-US" w:eastAsia="zh-CN"/>
        </w:rPr>
        <w:t>.并要求乙方应向甲方支付10000元的违约金。</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3、如乙方违反国家法律、法规的禁止性规定向甲方收取了不应收取的费用，甲方有权要求乙方退还，同时乙方应按已收取费用总金额的50%支付违约金。</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overflowPunct/>
        <w:autoSpaceDE/>
        <w:autoSpaceDN/>
        <w:bidi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十二、</w:t>
      </w:r>
      <w:r>
        <w:rPr>
          <w:rFonts w:hint="eastAsia" w:ascii="宋体" w:hAnsi="宋体" w:eastAsia="宋体" w:cs="宋体"/>
          <w:b/>
          <w:bCs/>
          <w:color w:val="auto"/>
          <w:sz w:val="24"/>
          <w:szCs w:val="24"/>
          <w:highlight w:val="none"/>
        </w:rPr>
        <w:t>不可抗力事件处理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3、不可抗力事件延续</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天以上，双方应通过友好协商，确定是否继续履行合同。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十三、组成本合同的有关文件 </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列关于成都市技师学院食堂专用存款账户银行采购项目(项目编号：XXXX)的磋商文件、乙方的响应文件或与本次采购活动方式相适应的文件及有关附件是本合同不可分割的组成部分，与本合同具有同等法律效力，这些文件包括但不限于：</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1.甲方的磋商文件；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2.乙方的响应文件；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3.成交通知书；</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4.本合同列出的附件。</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十四、其他</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sz w:val="24"/>
          <w:szCs w:val="24"/>
          <w:lang w:val="en-US" w:eastAsia="zh-CN"/>
        </w:rPr>
        <w:t>本项目成交后，若甲方</w:t>
      </w:r>
      <w:r>
        <w:rPr>
          <w:rFonts w:hint="eastAsia" w:ascii="宋体" w:hAnsi="宋体" w:eastAsia="宋体" w:cs="宋体"/>
          <w:b w:val="0"/>
          <w:sz w:val="24"/>
          <w:szCs w:val="24"/>
          <w:lang w:val="zh-CN" w:eastAsia="zh-CN"/>
        </w:rPr>
        <w:t>未获得主管单位的</w:t>
      </w:r>
      <w:r>
        <w:rPr>
          <w:rFonts w:hint="eastAsia" w:ascii="宋体" w:hAnsi="宋体" w:eastAsia="宋体" w:cs="宋体"/>
          <w:sz w:val="24"/>
          <w:szCs w:val="24"/>
          <w:lang w:val="zh-CN" w:eastAsia="zh-CN"/>
        </w:rPr>
        <w:t>开户许可</w:t>
      </w:r>
      <w:r>
        <w:rPr>
          <w:rFonts w:hint="eastAsia" w:ascii="宋体" w:hAnsi="宋体" w:eastAsia="宋体" w:cs="宋体"/>
          <w:b w:val="0"/>
          <w:sz w:val="24"/>
          <w:szCs w:val="24"/>
          <w:lang w:val="en-US" w:eastAsia="zh-CN"/>
        </w:rPr>
        <w:t>，则本项目合同自动作废(本项目合同自动终止)，双方均不承担违约责任。</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sz w:val="24"/>
          <w:szCs w:val="24"/>
        </w:rPr>
        <w:t>本合同经双方法定代表人或授权委托代理人签字并加盖</w:t>
      </w:r>
      <w:r>
        <w:rPr>
          <w:rFonts w:hint="eastAsia" w:ascii="宋体" w:hAnsi="宋体" w:eastAsia="宋体" w:cs="宋体"/>
          <w:sz w:val="24"/>
          <w:szCs w:val="24"/>
          <w:lang w:eastAsia="zh-CN"/>
        </w:rPr>
        <w:t>单位公</w:t>
      </w:r>
      <w:r>
        <w:rPr>
          <w:rFonts w:hint="eastAsia" w:ascii="宋体" w:hAnsi="宋体" w:eastAsia="宋体" w:cs="宋体"/>
          <w:sz w:val="24"/>
          <w:szCs w:val="24"/>
        </w:rPr>
        <w:t>章</w:t>
      </w:r>
      <w:r>
        <w:rPr>
          <w:rFonts w:hint="eastAsia" w:ascii="宋体" w:hAnsi="宋体" w:eastAsia="宋体" w:cs="宋体"/>
          <w:sz w:val="24"/>
          <w:szCs w:val="24"/>
          <w:lang w:eastAsia="zh-CN"/>
        </w:rPr>
        <w:t>(或合同专用章)</w:t>
      </w:r>
      <w:r>
        <w:rPr>
          <w:rFonts w:hint="eastAsia" w:ascii="宋体" w:hAnsi="宋体" w:eastAsia="宋体" w:cs="宋体"/>
          <w:sz w:val="24"/>
          <w:szCs w:val="24"/>
        </w:rPr>
        <w:t>后生效。</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3.如有未尽事宜，由双方依法订立补充合同。</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4.本合同一式XX份，甲方XX份，乙方XX份，具有同等法律效力。</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5.如本合同与甲方的磋商文件、乙方的响应文件不一致时，以甲方的磋商文件、乙方的响应文件为准。</w:t>
      </w:r>
    </w:p>
    <w:p>
      <w:pPr>
        <w:keepNext w:val="0"/>
        <w:keepLines w:val="0"/>
        <w:pageBreakBefore w:val="0"/>
        <w:widowControl w:val="0"/>
        <w:numPr>
          <w:ilvl w:val="0"/>
          <w:numId w:val="0"/>
        </w:numPr>
        <w:kinsoku/>
        <w:overflowPunct/>
        <w:autoSpaceDE/>
        <w:autoSpaceDN/>
        <w:bidi w:val="0"/>
        <w:adjustRightInd w:val="0"/>
        <w:snapToGrid w:val="0"/>
        <w:spacing w:line="520" w:lineRule="exact"/>
        <w:ind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6.本合同应按照中华人民共和国的现行法律进行解释。</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pStyle w:val="34"/>
        <w:pageBreakBefore/>
        <w:spacing w:before="240" w:beforeLines="100" w:after="240" w:afterLines="100"/>
        <w:jc w:val="center"/>
        <w:rPr>
          <w:b/>
          <w:bCs/>
        </w:rPr>
      </w:pPr>
      <w:r>
        <w:rPr>
          <w:rFonts w:hint="eastAsia"/>
          <w:b/>
          <w:bCs/>
        </w:rPr>
        <w:t>(本页无正文)</w:t>
      </w:r>
    </w:p>
    <w:tbl>
      <w:tblPr>
        <w:tblStyle w:val="26"/>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甲方：   (盖章)</w:t>
            </w:r>
          </w:p>
        </w:tc>
        <w:tc>
          <w:tcPr>
            <w:tcW w:w="4981" w:type="dxa"/>
            <w:vAlign w:val="center"/>
          </w:tcPr>
          <w:p>
            <w:pPr>
              <w:pStyle w:val="43"/>
            </w:pPr>
            <w:r>
              <w:rPr>
                <w:rFonts w:hint="eastAsia"/>
              </w:rPr>
              <w:t>乙方：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法定代表人(被授权人)：</w:t>
            </w:r>
          </w:p>
        </w:tc>
        <w:tc>
          <w:tcPr>
            <w:tcW w:w="4981" w:type="dxa"/>
            <w:vAlign w:val="center"/>
          </w:tcPr>
          <w:p>
            <w:pPr>
              <w:pStyle w:val="43"/>
            </w:pPr>
            <w:r>
              <w:rPr>
                <w:rFonts w:hint="eastAsia"/>
              </w:rPr>
              <w:t>法定代表人(被授权人)：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地址(住所)：</w:t>
            </w:r>
          </w:p>
        </w:tc>
        <w:tc>
          <w:tcPr>
            <w:tcW w:w="4981" w:type="dxa"/>
            <w:vAlign w:val="center"/>
          </w:tcPr>
          <w:p>
            <w:pPr>
              <w:pStyle w:val="43"/>
            </w:pPr>
            <w:r>
              <w:rPr>
                <w:rFonts w:hint="eastAsia"/>
              </w:rPr>
              <w:t>地址(住所)：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开户银行：</w:t>
            </w:r>
          </w:p>
        </w:tc>
        <w:tc>
          <w:tcPr>
            <w:tcW w:w="4981" w:type="dxa"/>
            <w:vAlign w:val="center"/>
          </w:tcPr>
          <w:p>
            <w:pPr>
              <w:pStyle w:val="43"/>
            </w:pPr>
            <w:r>
              <w:rPr>
                <w:rFonts w:hint="eastAsia"/>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账号：</w:t>
            </w:r>
          </w:p>
        </w:tc>
        <w:tc>
          <w:tcPr>
            <w:tcW w:w="4981" w:type="dxa"/>
            <w:vAlign w:val="center"/>
          </w:tcPr>
          <w:p>
            <w:pPr>
              <w:pStyle w:val="43"/>
            </w:pPr>
            <w:r>
              <w:rPr>
                <w:rFonts w:hint="eastAsi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981" w:type="dxa"/>
            <w:vAlign w:val="center"/>
          </w:tcPr>
          <w:p>
            <w:pPr>
              <w:pStyle w:val="43"/>
            </w:pPr>
            <w:r>
              <w:rPr>
                <w:rFonts w:hint="eastAsia"/>
              </w:rPr>
              <w:t xml:space="preserve">电话： </w:t>
            </w:r>
          </w:p>
        </w:tc>
        <w:tc>
          <w:tcPr>
            <w:tcW w:w="4981" w:type="dxa"/>
            <w:vAlign w:val="center"/>
          </w:tcPr>
          <w:p>
            <w:pPr>
              <w:pStyle w:val="43"/>
            </w:pPr>
            <w:r>
              <w:rPr>
                <w:rFonts w:hint="eastAsia"/>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3"/>
            </w:pPr>
            <w:r>
              <w:rPr>
                <w:rFonts w:hint="eastAsia"/>
              </w:rPr>
              <w:t>传真：</w:t>
            </w:r>
          </w:p>
        </w:tc>
        <w:tc>
          <w:tcPr>
            <w:tcW w:w="4981" w:type="dxa"/>
            <w:vAlign w:val="center"/>
          </w:tcPr>
          <w:p>
            <w:pPr>
              <w:pStyle w:val="43"/>
            </w:pPr>
            <w:r>
              <w:rPr>
                <w:rFonts w:hint="eastAsia"/>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4981" w:type="dxa"/>
            <w:vAlign w:val="center"/>
          </w:tcPr>
          <w:p>
            <w:pPr>
              <w:pStyle w:val="43"/>
            </w:pPr>
            <w:r>
              <w:rPr>
                <w:rFonts w:hint="eastAsia"/>
              </w:rPr>
              <w:t>签约日期：XX年XX月XX日</w:t>
            </w:r>
          </w:p>
        </w:tc>
        <w:tc>
          <w:tcPr>
            <w:tcW w:w="4981" w:type="dxa"/>
            <w:vAlign w:val="center"/>
          </w:tcPr>
          <w:p>
            <w:pPr>
              <w:pStyle w:val="43"/>
            </w:pPr>
            <w:r>
              <w:rPr>
                <w:rFonts w:hint="eastAsia"/>
              </w:rPr>
              <w:t>签约日期：XX年XX月XX日</w:t>
            </w:r>
          </w:p>
        </w:tc>
      </w:tr>
    </w:tbl>
    <w:p>
      <w:pPr>
        <w:pStyle w:val="43"/>
        <w:sectPr>
          <w:pgSz w:w="11906" w:h="16838"/>
          <w:pgMar w:top="1440" w:right="1080" w:bottom="1440" w:left="1080" w:header="851" w:footer="992" w:gutter="0"/>
          <w:pgNumType w:fmt="decimal"/>
          <w:cols w:space="0" w:num="1"/>
          <w:titlePg/>
          <w:docGrid w:linePitch="312" w:charSpace="0"/>
        </w:sectPr>
      </w:pPr>
      <w:r>
        <w:rPr>
          <w:rFonts w:hint="eastAsia"/>
        </w:rPr>
        <w:br w:type="page"/>
      </w:r>
    </w:p>
    <w:p>
      <w:pPr>
        <w:pStyle w:val="48"/>
        <w:numPr>
          <w:ilvl w:val="0"/>
          <w:numId w:val="20"/>
        </w:numPr>
        <w:spacing w:before="120" w:after="120"/>
      </w:pPr>
      <w:bookmarkStart w:id="517" w:name="_Toc1605"/>
      <w:bookmarkStart w:id="518" w:name="_Toc23622"/>
      <w:bookmarkStart w:id="519" w:name="_Toc28848"/>
      <w:r>
        <w:rPr>
          <w:rFonts w:hint="eastAsia"/>
        </w:rPr>
        <w:t>附件</w:t>
      </w:r>
      <w:bookmarkEnd w:id="517"/>
      <w:bookmarkEnd w:id="518"/>
      <w:bookmarkEnd w:id="519"/>
    </w:p>
    <w:p>
      <w:pPr>
        <w:pStyle w:val="35"/>
        <w:numPr>
          <w:ilvl w:val="1"/>
          <w:numId w:val="0"/>
        </w:numPr>
        <w:ind w:left="480" w:leftChars="200"/>
      </w:pPr>
      <w:bookmarkStart w:id="520" w:name="_Toc18539"/>
      <w:bookmarkStart w:id="521" w:name="_Toc3130"/>
      <w:bookmarkStart w:id="522" w:name="_Toc21850"/>
      <w:r>
        <w:rPr>
          <w:rFonts w:hint="eastAsia"/>
        </w:rPr>
        <w:t>附件一：问题的澄清、说明、更正通知</w:t>
      </w:r>
      <w:bookmarkEnd w:id="520"/>
      <w:bookmarkEnd w:id="521"/>
      <w:bookmarkEnd w:id="522"/>
    </w:p>
    <w:p>
      <w:pPr>
        <w:spacing w:line="360" w:lineRule="auto"/>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问题的澄清、说明、更正通知</w:t>
      </w:r>
    </w:p>
    <w:p>
      <w:pPr>
        <w:spacing w:line="360" w:lineRule="auto"/>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(由磋商小组发出)</w:t>
      </w:r>
    </w:p>
    <w:p>
      <w:pPr>
        <w:spacing w:line="360" w:lineRule="auto"/>
        <w:ind w:firstLine="480" w:firstLineChars="200"/>
        <w:jc w:val="both"/>
        <w:rPr>
          <w:rFonts w:asciiTheme="minorEastAsia" w:hAnsiTheme="minorEastAsia" w:eastAsiaTheme="minorEastAsia" w:cstheme="minorEastAsia"/>
          <w:b/>
        </w:rPr>
      </w:pPr>
      <w:r>
        <w:rPr>
          <w:rFonts w:hint="eastAsia" w:asciiTheme="minorEastAsia" w:hAnsiTheme="minorEastAsia" w:eastAsiaTheme="minorEastAsia" w:cstheme="minorEastAsia"/>
        </w:rPr>
        <w:t>编号：</w:t>
      </w:r>
    </w:p>
    <w:p>
      <w:pPr>
        <w:spacing w:line="360" w:lineRule="auto"/>
        <w:ind w:firstLine="480" w:firstLineChars="200"/>
        <w:rPr>
          <w:rFonts w:asciiTheme="minorEastAsia" w:hAnsiTheme="minorEastAsia" w:eastAsiaTheme="minorEastAsia" w:cstheme="minorEastAsia"/>
          <w:u w:val="single"/>
        </w:rPr>
      </w:pP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(供应商名称)： </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(项目名称)竞争性磋商小组，对你方的响应文件进行了仔细的审查，现需你方对下列问题以书面形式予以</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wordWrap w:val="0"/>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请将上述问题的</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时前递交至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(详细地址)或传真至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(传真号码)。采用传真方式的，应在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时前将原件递交至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(详细地址)。</w:t>
      </w:r>
    </w:p>
    <w:p>
      <w:pPr>
        <w:ind w:firstLine="5880" w:firstLineChars="2450"/>
        <w:rPr>
          <w:rFonts w:asciiTheme="minorEastAsia" w:hAnsiTheme="minorEastAsia" w:eastAsiaTheme="minorEastAsia" w:cstheme="minorEastAsia"/>
        </w:rPr>
      </w:pPr>
    </w:p>
    <w:p>
      <w:pPr>
        <w:ind w:firstLine="5880" w:firstLineChars="2450"/>
        <w:rPr>
          <w:rFonts w:asciiTheme="minorEastAsia" w:hAnsiTheme="minorEastAsia" w:eastAsiaTheme="minorEastAsia" w:cstheme="minorEastAsia"/>
        </w:rPr>
      </w:pPr>
    </w:p>
    <w:p>
      <w:pPr>
        <w:ind w:firstLine="2160" w:firstLineChars="900"/>
        <w:jc w:val="right"/>
        <w:rPr>
          <w:rFonts w:asciiTheme="minorEastAsia" w:hAnsiTheme="minorEastAsia" w:eastAsiaTheme="minorEastAsia" w:cstheme="minorEastAsia"/>
        </w:rPr>
      </w:pPr>
      <w:r>
        <w:rPr>
          <w:rFonts w:hint="eastAsia" w:asciiTheme="minorEastAsia" w:hAnsiTheme="minorEastAsia" w:eastAsiaTheme="minorEastAsia" w:cstheme="minorEastAsia"/>
        </w:rPr>
        <w:t>磋商小组：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jc w:val="right"/>
        <w:rPr>
          <w:rFonts w:asciiTheme="minorEastAsia" w:hAnsiTheme="minorEastAsia" w:eastAsiaTheme="minorEastAsia" w:cstheme="minorEastAsia"/>
        </w:rPr>
      </w:pPr>
      <w:r>
        <w:rPr>
          <w:rFonts w:hint="eastAsia" w:asciiTheme="minorEastAsia" w:hAnsiTheme="minorEastAsia" w:eastAsiaTheme="minorEastAsia" w:cstheme="minorEastAsia"/>
        </w:rPr>
        <w:t>采购人或采购代理机构：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(盖单位章或负责人签字)</w:t>
      </w:r>
    </w:p>
    <w:p>
      <w:pPr>
        <w:jc w:val="right"/>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ind w:firstLine="616" w:firstLineChars="257"/>
        <w:rPr>
          <w:rFonts w:asciiTheme="minorEastAsia" w:hAnsiTheme="minorEastAsia" w:eastAsiaTheme="minorEastAsia" w:cstheme="minorEastAsia"/>
        </w:rPr>
      </w:pPr>
    </w:p>
    <w:p>
      <w:pPr>
        <w:ind w:firstLine="616" w:firstLineChars="257"/>
        <w:rPr>
          <w:rFonts w:asciiTheme="minorEastAsia" w:hAnsiTheme="minorEastAsia" w:eastAsiaTheme="minorEastAsia" w:cstheme="minorEastAsia"/>
        </w:rPr>
      </w:pPr>
      <w:r>
        <w:rPr>
          <w:rFonts w:hint="eastAsia" w:asciiTheme="minorEastAsia" w:hAnsiTheme="minorEastAsia" w:eastAsiaTheme="minorEastAsia" w:cstheme="minorEastAsia"/>
        </w:rPr>
        <w:t>注：(1)“问题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通知”由磋商小组拟定书面形式作出，由采购人或采购代理机构代为发出。</w:t>
      </w:r>
    </w:p>
    <w:p>
      <w:pPr>
        <w:ind w:firstLine="616" w:firstLineChars="257"/>
        <w:rPr>
          <w:rFonts w:asciiTheme="minorEastAsia" w:hAnsiTheme="minorEastAsia" w:eastAsiaTheme="minorEastAsia" w:cstheme="minorEastAsia"/>
          <w:u w:val="single"/>
        </w:rPr>
      </w:pPr>
      <w:r>
        <w:rPr>
          <w:rFonts w:hint="eastAsia" w:asciiTheme="minorEastAsia" w:hAnsiTheme="minorEastAsia" w:eastAsiaTheme="minorEastAsia" w:cstheme="minorEastAsia"/>
        </w:rPr>
        <w:t>(2)发给供应商的“问题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通知”，应删除“磋商小组：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(签字)”一栏，以“采购人或采购代理机构：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(盖单位章或负责人签字)”代替。磋商小组签字的“问题</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通知”，应编入评审报告并存档备查。</w:t>
      </w:r>
    </w:p>
    <w:p>
      <w:pPr>
        <w:pStyle w:val="35"/>
        <w:numPr>
          <w:ilvl w:val="1"/>
          <w:numId w:val="0"/>
        </w:numPr>
        <w:ind w:left="480" w:leftChars="200"/>
        <w:rPr>
          <w:rFonts w:asciiTheme="minorEastAsia" w:hAnsiTheme="minorEastAsia" w:eastAsiaTheme="minorEastAsia" w:cstheme="minorEastAsia"/>
        </w:rPr>
      </w:pPr>
      <w:r>
        <w:rPr>
          <w:rFonts w:hint="eastAsia" w:asciiTheme="minorEastAsia" w:hAnsiTheme="minorEastAsia" w:eastAsiaTheme="minorEastAsia" w:cstheme="minorEastAsia"/>
          <w:szCs w:val="21"/>
          <w:u w:val="single"/>
        </w:rPr>
        <w:br w:type="page"/>
      </w:r>
      <w:bookmarkStart w:id="523" w:name="_Toc29033"/>
      <w:bookmarkStart w:id="524" w:name="_Toc31095"/>
      <w:bookmarkStart w:id="525" w:name="_Toc3428"/>
      <w:r>
        <w:rPr>
          <w:rFonts w:hint="eastAsia" w:asciiTheme="minorEastAsia" w:hAnsiTheme="minorEastAsia" w:eastAsiaTheme="minorEastAsia" w:cstheme="minorEastAsia"/>
        </w:rPr>
        <w:t>附件二：问题的澄清、说明、更正</w:t>
      </w:r>
      <w:bookmarkEnd w:id="523"/>
      <w:bookmarkEnd w:id="524"/>
      <w:bookmarkEnd w:id="525"/>
    </w:p>
    <w:p>
      <w:pPr>
        <w:ind w:firstLine="482" w:firstLineChars="20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问题的澄清、说明、更正</w:t>
      </w:r>
    </w:p>
    <w:p>
      <w:pPr>
        <w:rPr>
          <w:rFonts w:asciiTheme="minorEastAsia" w:hAnsiTheme="minorEastAsia" w:eastAsiaTheme="minorEastAsia" w:cstheme="minorEastAsia"/>
        </w:rPr>
      </w:pPr>
      <w:r>
        <w:rPr>
          <w:rFonts w:hint="eastAsia" w:asciiTheme="minorEastAsia" w:hAnsiTheme="minorEastAsia" w:eastAsiaTheme="minorEastAsia" w:cstheme="minorEastAsia"/>
        </w:rPr>
        <w:t>编号：</w:t>
      </w: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(项目名称)竞争性磋商小组：</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问题澄清</w:t>
      </w:r>
      <w:r>
        <w:rPr>
          <w:rFonts w:hint="eastAsia" w:asciiTheme="minorEastAsia" w:hAnsiTheme="minorEastAsia" w:eastAsiaTheme="minorEastAsia" w:cstheme="minorEastAsia"/>
          <w:b/>
        </w:rPr>
        <w:t>、说明、更正</w:t>
      </w:r>
      <w:r>
        <w:rPr>
          <w:rFonts w:hint="eastAsia" w:asciiTheme="minorEastAsia" w:hAnsiTheme="minorEastAsia" w:eastAsiaTheme="minorEastAsia" w:cstheme="minorEastAsia"/>
        </w:rPr>
        <w:t>通知(编号：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)已收悉，现</w:t>
      </w:r>
      <w:r>
        <w:rPr>
          <w:rFonts w:hint="eastAsia" w:asciiTheme="minorEastAsia" w:hAnsiTheme="minorEastAsia" w:eastAsiaTheme="minorEastAsia" w:cstheme="minorEastAsia"/>
          <w:b/>
        </w:rPr>
        <w:t>澄清、说明、更正</w:t>
      </w:r>
      <w:r>
        <w:rPr>
          <w:rFonts w:hint="eastAsia" w:asciiTheme="minorEastAsia" w:hAnsiTheme="minorEastAsia" w:eastAsiaTheme="minorEastAsia" w:cstheme="minorEastAsia"/>
        </w:rPr>
        <w:t>如下：</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p>
    <w:p>
      <w:pPr>
        <w:ind w:firstLine="4200" w:firstLineChars="1750"/>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法定代表人或其授权代表：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ind w:firstLine="5880" w:firstLineChars="2450"/>
        <w:rPr>
          <w:rFonts w:asciiTheme="minorEastAsia" w:hAnsiTheme="minorEastAsia" w:eastAsiaTheme="minorEastAsia" w:cstheme="minorEastAsia"/>
          <w:u w:val="single"/>
        </w:rPr>
      </w:pPr>
    </w:p>
    <w:p>
      <w:pPr>
        <w:ind w:firstLine="5400" w:firstLineChars="225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注：供应商应按本“</w:t>
      </w:r>
      <w:r>
        <w:rPr>
          <w:rFonts w:hint="eastAsia" w:asciiTheme="minorEastAsia" w:hAnsiTheme="minorEastAsia" w:eastAsiaTheme="minorEastAsia" w:cstheme="minorEastAsia"/>
          <w:b/>
        </w:rPr>
        <w:t>问题的澄清、说明、更正</w:t>
      </w:r>
      <w:r>
        <w:rPr>
          <w:rFonts w:hint="eastAsia" w:asciiTheme="minorEastAsia" w:hAnsiTheme="minorEastAsia" w:eastAsiaTheme="minorEastAsia" w:cstheme="minorEastAsia"/>
        </w:rPr>
        <w:t>”格式回复。</w:t>
      </w:r>
    </w:p>
    <w:p>
      <w:r>
        <w:rPr>
          <w:rFonts w:hint="eastAsia"/>
        </w:rPr>
        <w:br w:type="page"/>
      </w:r>
    </w:p>
    <w:p>
      <w:pPr>
        <w:pStyle w:val="35"/>
        <w:numPr>
          <w:ilvl w:val="1"/>
          <w:numId w:val="0"/>
        </w:numPr>
        <w:ind w:left="480" w:leftChars="200"/>
      </w:pPr>
      <w:bookmarkStart w:id="526" w:name="_Toc10310"/>
      <w:bookmarkStart w:id="527" w:name="_Toc32711"/>
      <w:r>
        <w:rPr>
          <w:rFonts w:hint="eastAsia"/>
        </w:rPr>
        <w:t>附件三：2023年度信用评价服务效果调查表</w:t>
      </w:r>
      <w:bookmarkEnd w:id="526"/>
      <w:bookmarkEnd w:id="527"/>
    </w:p>
    <w:p>
      <w:pPr>
        <w:pStyle w:val="43"/>
        <w:spacing w:before="240" w:beforeLines="100" w:after="240" w:afterLines="100"/>
        <w:jc w:val="center"/>
        <w:rPr>
          <w:b/>
          <w:bCs/>
          <w:sz w:val="36"/>
          <w:szCs w:val="36"/>
        </w:rPr>
      </w:pPr>
      <w:r>
        <w:rPr>
          <w:rFonts w:hint="eastAsia"/>
          <w:b/>
          <w:bCs/>
          <w:sz w:val="36"/>
          <w:szCs w:val="36"/>
        </w:rPr>
        <w:t>2023年度信用评价服务效果调查表(供应商)</w:t>
      </w:r>
    </w:p>
    <w:p>
      <w:pPr>
        <w:pStyle w:val="43"/>
        <w:rPr>
          <w:u w:val="single"/>
        </w:rPr>
      </w:pPr>
      <w:r>
        <w:rPr>
          <w:rFonts w:hint="eastAsia"/>
        </w:rPr>
        <w:t>项目名称：</w:t>
      </w:r>
      <w:r>
        <w:rPr>
          <w:rFonts w:hint="eastAsia"/>
          <w:u w:val="single"/>
        </w:rPr>
        <w:t xml:space="preserve">                               </w:t>
      </w:r>
    </w:p>
    <w:p>
      <w:pPr>
        <w:pStyle w:val="43"/>
        <w:rPr>
          <w:u w:val="single"/>
        </w:rPr>
      </w:pPr>
      <w:r>
        <w:rPr>
          <w:rFonts w:hint="eastAsia"/>
        </w:rPr>
        <w:t>项目编号：</w:t>
      </w:r>
      <w:r>
        <w:rPr>
          <w:rFonts w:hint="eastAsia"/>
          <w:u w:val="single"/>
        </w:rPr>
        <w:t xml:space="preserve">                               </w:t>
      </w:r>
    </w:p>
    <w:p>
      <w:pPr>
        <w:pStyle w:val="43"/>
      </w:pPr>
      <w:r>
        <w:rPr>
          <w:rFonts w:hint="eastAsia"/>
        </w:rPr>
        <w:t>被评价代理机构名称：四川乾新招投标代理有限公司</w:t>
      </w:r>
    </w:p>
    <w:tbl>
      <w:tblPr>
        <w:tblStyle w:val="25"/>
        <w:tblW w:w="9770" w:type="dxa"/>
        <w:tblInd w:w="0" w:type="dxa"/>
        <w:tblLayout w:type="fixed"/>
        <w:tblCellMar>
          <w:top w:w="15" w:type="dxa"/>
          <w:left w:w="15" w:type="dxa"/>
          <w:bottom w:w="15" w:type="dxa"/>
          <w:right w:w="15" w:type="dxa"/>
        </w:tblCellMar>
      </w:tblPr>
      <w:tblGrid>
        <w:gridCol w:w="1219"/>
        <w:gridCol w:w="2430"/>
        <w:gridCol w:w="1530"/>
        <w:gridCol w:w="1530"/>
        <w:gridCol w:w="1530"/>
        <w:gridCol w:w="1531"/>
      </w:tblGrid>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序号</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测评内容</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满意</w:t>
            </w:r>
          </w:p>
          <w:p>
            <w:pPr>
              <w:pStyle w:val="45"/>
              <w:rPr>
                <w:b/>
                <w:bCs/>
              </w:rPr>
            </w:pPr>
            <w:r>
              <w:rPr>
                <w:rFonts w:hint="eastAsia"/>
                <w:b/>
                <w:bCs/>
              </w:rPr>
              <w:t>(3分)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 xml:space="preserve">基本满意 </w:t>
            </w:r>
          </w:p>
          <w:p>
            <w:pPr>
              <w:pStyle w:val="45"/>
              <w:rPr>
                <w:b/>
                <w:bCs/>
              </w:rPr>
            </w:pPr>
            <w:r>
              <w:rPr>
                <w:rFonts w:hint="eastAsia"/>
                <w:b/>
                <w:bCs/>
              </w:rPr>
              <w:t>(2分)</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 xml:space="preserve">一般 </w:t>
            </w:r>
          </w:p>
          <w:p>
            <w:pPr>
              <w:pStyle w:val="45"/>
              <w:rPr>
                <w:b/>
                <w:bCs/>
              </w:rPr>
            </w:pPr>
            <w:r>
              <w:rPr>
                <w:rFonts w:hint="eastAsia"/>
                <w:b/>
                <w:bCs/>
              </w:rPr>
              <w:t>(1分)</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不满意</w:t>
            </w:r>
          </w:p>
          <w:p>
            <w:pPr>
              <w:pStyle w:val="45"/>
              <w:rPr>
                <w:b/>
                <w:bCs/>
              </w:rPr>
            </w:pPr>
            <w:r>
              <w:rPr>
                <w:rFonts w:hint="eastAsia"/>
                <w:b/>
                <w:bCs/>
              </w:rPr>
              <w:t>(0分)</w:t>
            </w: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采购信息公告</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询问答复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质疑答复</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890"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r>
              <w:rPr>
                <w:rFonts w:hint="eastAsia"/>
                <w:b/>
                <w:bCs/>
              </w:rPr>
              <w:t>服务态度</w:t>
            </w: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45"/>
              <w:rPr>
                <w:b/>
                <w:bCs/>
              </w:rPr>
            </w:pPr>
          </w:p>
        </w:tc>
      </w:tr>
      <w:tr>
        <w:tblPrEx>
          <w:tblCellMar>
            <w:top w:w="15" w:type="dxa"/>
            <w:left w:w="15" w:type="dxa"/>
            <w:bottom w:w="15" w:type="dxa"/>
            <w:right w:w="15" w:type="dxa"/>
          </w:tblCellMar>
        </w:tblPrEx>
        <w:trPr>
          <w:trHeight w:val="480"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r>
              <w:rPr>
                <w:rFonts w:hint="eastAsia"/>
                <w:b/>
                <w:bCs/>
              </w:rPr>
              <w:t>对代理机构工作的其他建议：</w:t>
            </w:r>
          </w:p>
        </w:tc>
      </w:tr>
      <w:tr>
        <w:tblPrEx>
          <w:tblCellMar>
            <w:top w:w="15" w:type="dxa"/>
            <w:left w:w="15" w:type="dxa"/>
            <w:bottom w:w="15" w:type="dxa"/>
            <w:right w:w="15" w:type="dxa"/>
          </w:tblCellMar>
        </w:tblPrEx>
        <w:trPr>
          <w:trHeight w:val="3106"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p>
        </w:tc>
      </w:tr>
      <w:tr>
        <w:tblPrEx>
          <w:tblCellMar>
            <w:top w:w="15" w:type="dxa"/>
            <w:left w:w="15" w:type="dxa"/>
            <w:bottom w:w="15" w:type="dxa"/>
            <w:right w:w="15" w:type="dxa"/>
          </w:tblCellMar>
        </w:tblPrEx>
        <w:trPr>
          <w:trHeight w:val="811" w:hRule="atLeast"/>
        </w:trPr>
        <w:tc>
          <w:tcPr>
            <w:tcW w:w="9770" w:type="dxa"/>
            <w:gridSpan w:val="6"/>
            <w:tcBorders>
              <w:top w:val="single" w:color="000000" w:sz="4" w:space="0"/>
              <w:left w:val="single" w:color="000000" w:sz="4" w:space="0"/>
              <w:bottom w:val="single" w:color="000000" w:sz="4" w:space="0"/>
              <w:right w:val="single" w:color="000000" w:sz="4" w:space="0"/>
            </w:tcBorders>
            <w:vAlign w:val="center"/>
          </w:tcPr>
          <w:p>
            <w:pPr>
              <w:pStyle w:val="42"/>
              <w:rPr>
                <w:b/>
                <w:bCs/>
              </w:rPr>
            </w:pPr>
            <w:r>
              <w:rPr>
                <w:rFonts w:hint="eastAsia"/>
                <w:b/>
                <w:bCs/>
              </w:rPr>
              <w:t>供应商名称：</w:t>
            </w:r>
            <w:r>
              <w:rPr>
                <w:rFonts w:hint="eastAsia"/>
                <w:b/>
                <w:bCs/>
                <w:u w:val="single"/>
              </w:rPr>
              <w:t xml:space="preserve">                     </w:t>
            </w:r>
            <w:r>
              <w:rPr>
                <w:rFonts w:hint="eastAsia"/>
                <w:b/>
                <w:bCs/>
              </w:rPr>
              <w:t>(加盖鲜章)</w:t>
            </w:r>
          </w:p>
        </w:tc>
      </w:tr>
    </w:tbl>
    <w:p>
      <w:pPr>
        <w:pStyle w:val="47"/>
        <w:ind w:firstLine="482"/>
      </w:pPr>
      <w:r>
        <w:rPr>
          <w:rFonts w:hint="eastAsia"/>
        </w:rPr>
        <w:t>说明：请贵公司根据采购代理机构2023年度采购项目的实际情况，在“满意”、“基本满意”、“一般”、“不满意”四个评价档次栏中选取一栏打“√”，并加盖鲜章。</w:t>
      </w:r>
    </w:p>
    <w:p/>
    <w:sectPr>
      <w:headerReference r:id="rId15" w:type="first"/>
      <w:footerReference r:id="rId17" w:type="first"/>
      <w:headerReference r:id="rId14" w:type="default"/>
      <w:footerReference r:id="rId16" w:type="default"/>
      <w:pgSz w:w="11906" w:h="16838"/>
      <w:pgMar w:top="1440" w:right="1080" w:bottom="1440" w:left="1080" w:header="851" w:footer="992" w:gutter="0"/>
      <w:pgNumType w:fmt="decimal"/>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9F2595-66F0-4690-885D-5F1D472E67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24B7E9-8546-430E-8FFE-79C0A40883E7}"/>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D6858E0B-B89D-4FB5-BC89-62BAC900D769}"/>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ind w:right="360"/>
      <w:rPr>
        <w:sz w:val="15"/>
        <w:szCs w:val="15"/>
      </w:rPr>
    </w:pPr>
    <w:r>
      <w:rPr>
        <w:rFonts w:hAnsi="Calibri" w:cs="黑体"/>
        <w:sz w:val="15"/>
        <w:szCs w:val="20"/>
      </w:rPr>
      <mc:AlternateContent>
        <mc:Choice Requires="wps">
          <w:drawing>
            <wp:anchor distT="0" distB="0" distL="114300" distR="114300" simplePos="0" relativeHeight="251661312" behindDoc="0" locked="0" layoutInCell="1" allowOverlap="1">
              <wp:simplePos x="0" y="0"/>
              <wp:positionH relativeFrom="margin">
                <wp:posOffset>3034665</wp:posOffset>
              </wp:positionH>
              <wp:positionV relativeFrom="paragraph">
                <wp:posOffset>0</wp:posOffset>
              </wp:positionV>
              <wp:extent cx="114935" cy="147955"/>
              <wp:effectExtent l="0" t="0" r="0" b="0"/>
              <wp:wrapNone/>
              <wp:docPr id="4" name="矩形 4"/>
              <wp:cNvGraphicFramePr/>
              <a:graphic xmlns:a="http://schemas.openxmlformats.org/drawingml/2006/main">
                <a:graphicData uri="http://schemas.microsoft.com/office/word/2010/wordprocessingShape">
                  <wps:wsp>
                    <wps:cNvSpPr/>
                    <wps:spPr>
                      <a:xfrm>
                        <a:off x="0" y="0"/>
                        <a:ext cx="114935" cy="147955"/>
                      </a:xfrm>
                      <a:prstGeom prst="rect">
                        <a:avLst/>
                      </a:prstGeom>
                      <a:noFill/>
                      <a:ln>
                        <a:noFill/>
                      </a:ln>
                    </wps:spPr>
                    <wps:txbx>
                      <w:txbxContent>
                        <w:p>
                          <w:pPr>
                            <w:rPr>
                              <w:sz w:val="18"/>
                            </w:rPr>
                          </w:pPr>
                        </w:p>
                      </w:txbxContent>
                    </wps:txbx>
                    <wps:bodyPr wrap="none" lIns="0" tIns="0" rIns="0" bIns="0" upright="1">
                      <a:spAutoFit/>
                    </wps:bodyPr>
                  </wps:wsp>
                </a:graphicData>
              </a:graphic>
            </wp:anchor>
          </w:drawing>
        </mc:Choice>
        <mc:Fallback>
          <w:pict>
            <v:rect id="_x0000_s1026" o:spid="_x0000_s1026" o:spt="1" style="position:absolute;left:0pt;margin-left:238.95pt;margin-top:0pt;height:11.65pt;width:9.05pt;mso-position-horizontal-relative:margin;mso-wrap-style:none;z-index:251661312;mso-width-relative:page;mso-height-relative:page;" filled="f" stroked="f" coordsize="21600,21600" o:gfxdata="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edfWAAAABwEAAA8AAAAAAAAAAQAgAAAAIgAAAGRycy9kb3ducmV2&#10;LnhtbFBLAQIUABQAAAAIAIdO4kBuI/RkxQEAAIoDAAAOAAAAAAAAAAEAIAAAACUBAABkcnMvZTJv&#10;RG9jLnhtbFBLBQYAAAAABgAGAFkBAABcBQAAAAA=&#10;">
              <v:fill on="f" focussize="0,0"/>
              <v:stroke on="f"/>
              <v:imagedata o:title=""/>
              <o:lock v:ext="edit" aspectratio="f"/>
              <v:textbox inset="0mm,0mm,0mm,0mm" style="mso-fit-shape-to-text:t;">
                <w:txbxContent>
                  <w:p>
                    <w:pPr>
                      <w:rPr>
                        <w:sz w:val="18"/>
                      </w:rPr>
                    </w:pPr>
                  </w:p>
                </w:txbxContent>
              </v:textbox>
            </v:rect>
          </w:pict>
        </mc:Fallback>
      </mc:AlternateContent>
    </w:r>
    <w:r>
      <w:rPr>
        <w:rFonts w:hint="eastAsia"/>
        <w:sz w:val="15"/>
        <w:szCs w:val="15"/>
      </w:rPr>
      <w:t>地址：成都市高新区吉庆三路333号蜀都中心二期一号楼一单元401号                                         邮政编码：610041</w:t>
    </w:r>
  </w:p>
  <w:p>
    <w:pPr>
      <w:pStyle w:val="17"/>
      <w:tabs>
        <w:tab w:val="center" w:pos="4153"/>
        <w:tab w:val="right" w:pos="8306"/>
        <w:tab w:val="clear" w:pos="0"/>
      </w:tabs>
      <w:ind w:right="360"/>
    </w:pPr>
    <w:r>
      <w:rPr>
        <w:rFonts w:hint="eastAsia"/>
        <w:sz w:val="15"/>
        <w:szCs w:val="15"/>
      </w:rPr>
      <w:t>电话(TEL)：86-028-61375575、62600820、62630990                                                            传真(FAX)：028-83381268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b/>
        <w:bCs/>
      </w:rPr>
    </w:pPr>
    <w:r>
      <w:rPr>
        <w:rFonts w:hAnsi="Calibri" w:cs="黑体"/>
        <w:sz w:val="20"/>
        <w:szCs w:val="11"/>
      </w:rPr>
      <w:drawing>
        <wp:anchor distT="0" distB="0" distL="114300" distR="114300" simplePos="0" relativeHeight="251659264" behindDoc="0" locked="0" layoutInCell="1" allowOverlap="1">
          <wp:simplePos x="0" y="0"/>
          <wp:positionH relativeFrom="column">
            <wp:posOffset>102235</wp:posOffset>
          </wp:positionH>
          <wp:positionV relativeFrom="paragraph">
            <wp:posOffset>-29210</wp:posOffset>
          </wp:positionV>
          <wp:extent cx="317500" cy="336550"/>
          <wp:effectExtent l="0" t="0" r="2540" b="1397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lum/>
                  </a:blip>
                  <a:srcRect l="25160" r="25117"/>
                  <a:stretch>
                    <a:fillRect/>
                  </a:stretch>
                </pic:blipFill>
                <pic:spPr>
                  <a:xfrm>
                    <a:off x="0" y="0"/>
                    <a:ext cx="317500" cy="336550"/>
                  </a:xfrm>
                  <a:prstGeom prst="rect">
                    <a:avLst/>
                  </a:prstGeom>
                  <a:noFill/>
                  <a:ln>
                    <a:noFill/>
                  </a:ln>
                </pic:spPr>
              </pic:pic>
            </a:graphicData>
          </a:graphic>
        </wp:anchor>
      </w:drawing>
    </w:r>
    <w:r>
      <w:rPr>
        <w:rFonts w:hint="eastAsia"/>
        <w:sz w:val="21"/>
        <w:szCs w:val="21"/>
      </w:rPr>
      <w:t xml:space="preserve">       </w:t>
    </w:r>
    <w:r>
      <w:rPr>
        <w:rFonts w:hint="eastAsia"/>
        <w:b/>
        <w:bCs/>
      </w:rPr>
      <w:t>四川乾新招投标代理有限公司</w:t>
    </w:r>
  </w:p>
  <w:p>
    <w:pPr>
      <w:pStyle w:val="18"/>
      <w:pBdr>
        <w:bottom w:val="single" w:color="auto" w:sz="4" w:space="1"/>
      </w:pBdr>
      <w:tabs>
        <w:tab w:val="center" w:pos="4153"/>
        <w:tab w:val="right" w:pos="8306"/>
        <w:tab w:val="clear" w:pos="0"/>
      </w:tabs>
      <w:jc w:val="left"/>
    </w:pPr>
    <w:r>
      <w:rPr>
        <w:rFonts w:hint="eastAsia"/>
        <w:b/>
        <w:bCs/>
      </w:rPr>
      <w:t xml:space="preserve">        Si Chuan Qian Xin Tendering and Bidding Agency Co.Ltd                             不止专注 更懂托付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rFonts w:asciiTheme="minorEastAsia" w:hAnsiTheme="minorEastAsia" w:cstheme="min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tabs>
        <w:tab w:val="center" w:pos="4153"/>
        <w:tab w:val="right" w:pos="8306"/>
        <w:tab w:val="clear" w:pos="0"/>
      </w:tabs>
      <w:jc w:val="left"/>
      <w:rPr>
        <w:rFonts w:asciiTheme="minorEastAsia" w:hAnsi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0DA6"/>
    <w:multiLevelType w:val="singleLevel"/>
    <w:tmpl w:val="85A60DA6"/>
    <w:lvl w:ilvl="0" w:tentative="0">
      <w:start w:val="1"/>
      <w:numFmt w:val="chineseCounting"/>
      <w:suff w:val="nothing"/>
      <w:lvlText w:val="%1、"/>
      <w:lvlJc w:val="left"/>
      <w:pPr>
        <w:ind w:left="0" w:firstLine="420"/>
      </w:pPr>
      <w:rPr>
        <w:rFonts w:hint="eastAsia"/>
      </w:rPr>
    </w:lvl>
  </w:abstractNum>
  <w:abstractNum w:abstractNumId="1">
    <w:nsid w:val="984AAC84"/>
    <w:multiLevelType w:val="singleLevel"/>
    <w:tmpl w:val="984AAC84"/>
    <w:lvl w:ilvl="0" w:tentative="0">
      <w:start w:val="1"/>
      <w:numFmt w:val="decimal"/>
      <w:lvlText w:val="(%1)"/>
      <w:lvlJc w:val="left"/>
      <w:pPr>
        <w:ind w:left="425" w:hanging="425"/>
      </w:pPr>
      <w:rPr>
        <w:rFonts w:hint="default"/>
      </w:rPr>
    </w:lvl>
  </w:abstractNum>
  <w:abstractNum w:abstractNumId="2">
    <w:nsid w:val="9CC4F9BE"/>
    <w:multiLevelType w:val="singleLevel"/>
    <w:tmpl w:val="9CC4F9BE"/>
    <w:lvl w:ilvl="0" w:tentative="0">
      <w:start w:val="2"/>
      <w:numFmt w:val="chineseCounting"/>
      <w:suff w:val="nothing"/>
      <w:lvlText w:val="（%1）"/>
      <w:lvlJc w:val="left"/>
      <w:rPr>
        <w:rFonts w:hint="eastAsia"/>
      </w:rPr>
    </w:lvl>
  </w:abstractNum>
  <w:abstractNum w:abstractNumId="3">
    <w:nsid w:val="9D7C2090"/>
    <w:multiLevelType w:val="singleLevel"/>
    <w:tmpl w:val="9D7C2090"/>
    <w:lvl w:ilvl="0" w:tentative="0">
      <w:start w:val="1"/>
      <w:numFmt w:val="decimal"/>
      <w:lvlText w:val="%1."/>
      <w:lvlJc w:val="left"/>
      <w:pPr>
        <w:ind w:left="425" w:hanging="425"/>
      </w:pPr>
      <w:rPr>
        <w:rFonts w:hint="default"/>
      </w:rPr>
    </w:lvl>
  </w:abstractNum>
  <w:abstractNum w:abstractNumId="4">
    <w:nsid w:val="A80635A9"/>
    <w:multiLevelType w:val="singleLevel"/>
    <w:tmpl w:val="A80635A9"/>
    <w:lvl w:ilvl="0" w:tentative="0">
      <w:start w:val="1"/>
      <w:numFmt w:val="chineseCounting"/>
      <w:pStyle w:val="66"/>
      <w:suff w:val="nothing"/>
      <w:lvlText w:val="第%1条  "/>
      <w:lvlJc w:val="left"/>
      <w:pPr>
        <w:ind w:left="0" w:firstLine="0"/>
      </w:pPr>
      <w:rPr>
        <w:rFonts w:hint="eastAsia"/>
      </w:rPr>
    </w:lvl>
  </w:abstractNum>
  <w:abstractNum w:abstractNumId="5">
    <w:nsid w:val="B04D8E0A"/>
    <w:multiLevelType w:val="multilevel"/>
    <w:tmpl w:val="B04D8E0A"/>
    <w:lvl w:ilvl="0" w:tentative="0">
      <w:start w:val="1"/>
      <w:numFmt w:val="chineseCounting"/>
      <w:pStyle w:val="48"/>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5"/>
      <w:suff w:val="nothing"/>
      <w:lvlText w:val="%2、"/>
      <w:lvlJc w:val="left"/>
      <w:pPr>
        <w:ind w:left="0" w:firstLine="0"/>
      </w:pPr>
      <w:rPr>
        <w:rFonts w:hint="eastAsia" w:ascii="宋体" w:hAnsi="宋体" w:eastAsia="宋体" w:cs="宋体"/>
      </w:rPr>
    </w:lvl>
    <w:lvl w:ilvl="2" w:tentative="0">
      <w:start w:val="1"/>
      <w:numFmt w:val="chineseCounting"/>
      <w:pStyle w:val="49"/>
      <w:suff w:val="nothing"/>
      <w:lvlText w:val="(%3)"/>
      <w:lvlJc w:val="left"/>
      <w:pPr>
        <w:tabs>
          <w:tab w:val="left" w:pos="0"/>
        </w:tabs>
        <w:ind w:left="0" w:firstLine="0"/>
      </w:pPr>
      <w:rPr>
        <w:rFonts w:hint="eastAsia" w:ascii="宋体" w:hAnsi="宋体" w:eastAsia="宋体" w:cs="宋体"/>
      </w:rPr>
    </w:lvl>
    <w:lvl w:ilvl="3" w:tentative="0">
      <w:start w:val="1"/>
      <w:numFmt w:val="decimal"/>
      <w:pStyle w:val="63"/>
      <w:suff w:val="nothing"/>
      <w:lvlText w:val="%4."/>
      <w:lvlJc w:val="left"/>
      <w:pPr>
        <w:tabs>
          <w:tab w:val="left" w:pos="0"/>
        </w:tabs>
        <w:ind w:left="0" w:firstLine="0"/>
      </w:pPr>
      <w:rPr>
        <w:rFonts w:hint="eastAsia" w:ascii="宋体" w:hAnsi="宋体" w:eastAsia="宋体" w:cs="宋体"/>
      </w:rPr>
    </w:lvl>
    <w:lvl w:ilvl="4" w:tentative="0">
      <w:start w:val="1"/>
      <w:numFmt w:val="decimal"/>
      <w:pStyle w:val="64"/>
      <w:suff w:val="nothing"/>
      <w:lvlText w:val="%4.%5"/>
      <w:lvlJc w:val="left"/>
      <w:pPr>
        <w:ind w:left="0" w:firstLine="0"/>
      </w:pPr>
      <w:rPr>
        <w:rFonts w:hint="eastAsia" w:ascii="宋体" w:hAnsi="宋体" w:eastAsia="宋体" w:cs="宋体"/>
      </w:rPr>
    </w:lvl>
    <w:lvl w:ilvl="5" w:tentative="0">
      <w:start w:val="1"/>
      <w:numFmt w:val="decimal"/>
      <w:pStyle w:val="65"/>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C7F53590"/>
    <w:multiLevelType w:val="multilevel"/>
    <w:tmpl w:val="C7F53590"/>
    <w:lvl w:ilvl="0" w:tentative="0">
      <w:start w:val="1"/>
      <w:numFmt w:val="decimal"/>
      <w:pStyle w:val="39"/>
      <w:suff w:val="nothing"/>
      <w:lvlText w:val="%1."/>
      <w:lvlJc w:val="left"/>
      <w:pPr>
        <w:tabs>
          <w:tab w:val="left" w:pos="420"/>
        </w:tabs>
        <w:ind w:left="0" w:firstLine="0"/>
      </w:pPr>
      <w:rPr>
        <w:rFonts w:hint="default" w:ascii="宋体" w:hAnsi="宋体" w:eastAsia="宋体" w:cs="宋体"/>
        <w:b w:val="0"/>
        <w:bCs w:val="0"/>
      </w:rPr>
    </w:lvl>
    <w:lvl w:ilvl="1" w:tentative="0">
      <w:start w:val="1"/>
      <w:numFmt w:val="decimal"/>
      <w:pStyle w:val="40"/>
      <w:suff w:val="nothing"/>
      <w:lvlText w:val="%1.%2"/>
      <w:lvlJc w:val="left"/>
      <w:pPr>
        <w:tabs>
          <w:tab w:val="left" w:pos="420"/>
        </w:tabs>
        <w:ind w:left="0" w:firstLine="0"/>
      </w:pPr>
      <w:rPr>
        <w:rFonts w:hint="default" w:ascii="宋体" w:hAnsi="宋体" w:eastAsia="宋体" w:cs="宋体"/>
      </w:rPr>
    </w:lvl>
    <w:lvl w:ilvl="2" w:tentative="0">
      <w:start w:val="1"/>
      <w:numFmt w:val="decimal"/>
      <w:pStyle w:val="41"/>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CA240A61"/>
    <w:multiLevelType w:val="singleLevel"/>
    <w:tmpl w:val="CA240A61"/>
    <w:lvl w:ilvl="0" w:tentative="0">
      <w:start w:val="1"/>
      <w:numFmt w:val="chineseCounting"/>
      <w:pStyle w:val="70"/>
      <w:suff w:val="nothing"/>
      <w:lvlText w:val="(%1)"/>
      <w:lvlJc w:val="left"/>
      <w:pPr>
        <w:ind w:left="0" w:firstLine="0"/>
      </w:pPr>
      <w:rPr>
        <w:rFonts w:hint="eastAsia"/>
      </w:rPr>
    </w:lvl>
  </w:abstractNum>
  <w:abstractNum w:abstractNumId="8">
    <w:nsid w:val="D7D5D425"/>
    <w:multiLevelType w:val="singleLevel"/>
    <w:tmpl w:val="D7D5D425"/>
    <w:lvl w:ilvl="0" w:tentative="0">
      <w:start w:val="1"/>
      <w:numFmt w:val="chineseCounting"/>
      <w:suff w:val="nothing"/>
      <w:lvlText w:val="%1、"/>
      <w:lvlJc w:val="left"/>
      <w:pPr>
        <w:ind w:left="0" w:firstLine="420"/>
      </w:pPr>
      <w:rPr>
        <w:rFonts w:hint="eastAsia"/>
      </w:rPr>
    </w:lvl>
  </w:abstractNum>
  <w:abstractNum w:abstractNumId="9">
    <w:nsid w:val="DC5F828C"/>
    <w:multiLevelType w:val="singleLevel"/>
    <w:tmpl w:val="DC5F828C"/>
    <w:lvl w:ilvl="0" w:tentative="0">
      <w:start w:val="1"/>
      <w:numFmt w:val="decimal"/>
      <w:lvlText w:val="(%1)"/>
      <w:lvlJc w:val="left"/>
      <w:pPr>
        <w:ind w:left="425" w:hanging="425"/>
      </w:pPr>
      <w:rPr>
        <w:rFonts w:hint="default"/>
      </w:rPr>
    </w:lvl>
  </w:abstractNum>
  <w:abstractNum w:abstractNumId="1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3"/>
      <w:suff w:val="nothing"/>
      <w:lvlText w:val="(%2)"/>
      <w:lvlJc w:val="left"/>
      <w:pPr>
        <w:ind w:left="0" w:firstLine="0"/>
      </w:pPr>
      <w:rPr>
        <w:rFonts w:hint="eastAsia" w:ascii="宋体" w:hAnsi="宋体" w:eastAsia="宋体" w:cs="宋体"/>
      </w:rPr>
    </w:lvl>
    <w:lvl w:ilvl="2" w:tentative="0">
      <w:start w:val="1"/>
      <w:numFmt w:val="decimal"/>
      <w:pStyle w:val="36"/>
      <w:suff w:val="nothing"/>
      <w:lvlText w:val="%3."/>
      <w:lvlJc w:val="left"/>
      <w:pPr>
        <w:ind w:left="0" w:firstLine="0"/>
      </w:pPr>
      <w:rPr>
        <w:rFonts w:hint="eastAsia" w:ascii="宋体" w:hAnsi="宋体" w:eastAsia="宋体" w:cs="宋体"/>
      </w:rPr>
    </w:lvl>
    <w:lvl w:ilvl="3" w:tentative="0">
      <w:start w:val="1"/>
      <w:numFmt w:val="decimal"/>
      <w:pStyle w:val="37"/>
      <w:suff w:val="nothing"/>
      <w:lvlText w:val="%3.%4"/>
      <w:lvlJc w:val="left"/>
      <w:pPr>
        <w:ind w:left="0" w:firstLine="0"/>
      </w:pPr>
      <w:rPr>
        <w:rFonts w:hint="eastAsia" w:ascii="宋体" w:hAnsi="宋体" w:eastAsia="宋体" w:cs="宋体"/>
      </w:rPr>
    </w:lvl>
    <w:lvl w:ilvl="4" w:tentative="0">
      <w:start w:val="1"/>
      <w:numFmt w:val="decimal"/>
      <w:pStyle w:val="38"/>
      <w:suff w:val="nothing"/>
      <w:lvlText w:val="(%5)"/>
      <w:lvlJc w:val="left"/>
      <w:pPr>
        <w:ind w:left="0" w:firstLine="0"/>
      </w:pPr>
      <w:rPr>
        <w:rFonts w:hint="eastAsia" w:ascii="宋体" w:hAnsi="宋体" w:eastAsia="宋体" w:cs="宋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1">
    <w:nsid w:val="EA1AE71F"/>
    <w:multiLevelType w:val="singleLevel"/>
    <w:tmpl w:val="EA1AE71F"/>
    <w:lvl w:ilvl="0" w:tentative="0">
      <w:start w:val="1"/>
      <w:numFmt w:val="decimal"/>
      <w:lvlText w:val="%1."/>
      <w:lvlJc w:val="left"/>
      <w:pPr>
        <w:tabs>
          <w:tab w:val="left" w:pos="312"/>
        </w:tabs>
      </w:pPr>
    </w:lvl>
  </w:abstractNum>
  <w:abstractNum w:abstractNumId="12">
    <w:nsid w:val="EB6083F9"/>
    <w:multiLevelType w:val="singleLevel"/>
    <w:tmpl w:val="EB6083F9"/>
    <w:lvl w:ilvl="0" w:tentative="0">
      <w:start w:val="1"/>
      <w:numFmt w:val="chineseCounting"/>
      <w:suff w:val="nothing"/>
      <w:lvlText w:val="%1、"/>
      <w:lvlJc w:val="left"/>
      <w:pPr>
        <w:ind w:left="0" w:firstLine="420"/>
      </w:pPr>
      <w:rPr>
        <w:rFonts w:hint="eastAsia"/>
      </w:rPr>
    </w:lvl>
  </w:abstractNum>
  <w:abstractNum w:abstractNumId="13">
    <w:nsid w:val="3BE96167"/>
    <w:multiLevelType w:val="singleLevel"/>
    <w:tmpl w:val="3BE96167"/>
    <w:lvl w:ilvl="0" w:tentative="0">
      <w:start w:val="1"/>
      <w:numFmt w:val="chineseCounting"/>
      <w:suff w:val="nothing"/>
      <w:lvlText w:val="%1、"/>
      <w:lvlJc w:val="left"/>
      <w:pPr>
        <w:ind w:left="0" w:firstLine="420"/>
      </w:pPr>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79578A8E"/>
    <w:multiLevelType w:val="singleLevel"/>
    <w:tmpl w:val="79578A8E"/>
    <w:lvl w:ilvl="0" w:tentative="0">
      <w:start w:val="1"/>
      <w:numFmt w:val="decimal"/>
      <w:lvlText w:val="%1"/>
      <w:lvlJc w:val="left"/>
      <w:pPr>
        <w:tabs>
          <w:tab w:val="left" w:pos="0"/>
        </w:tabs>
        <w:ind w:left="0" w:firstLine="0"/>
      </w:pPr>
      <w:rPr>
        <w:rFonts w:hint="default"/>
      </w:rPr>
    </w:lvl>
  </w:abstractNum>
  <w:abstractNum w:abstractNumId="16">
    <w:nsid w:val="7CB2FB7C"/>
    <w:multiLevelType w:val="singleLevel"/>
    <w:tmpl w:val="7CB2FB7C"/>
    <w:lvl w:ilvl="0" w:tentative="0">
      <w:start w:val="1"/>
      <w:numFmt w:val="decimal"/>
      <w:lvlText w:val="%1."/>
      <w:lvlJc w:val="left"/>
      <w:pPr>
        <w:tabs>
          <w:tab w:val="left" w:pos="312"/>
        </w:tabs>
      </w:pPr>
    </w:lvl>
  </w:abstractNum>
  <w:num w:numId="1">
    <w:abstractNumId w:val="10"/>
  </w:num>
  <w:num w:numId="2">
    <w:abstractNumId w:val="14"/>
  </w:num>
  <w:num w:numId="3">
    <w:abstractNumId w:val="5"/>
  </w:num>
  <w:num w:numId="4">
    <w:abstractNumId w:val="6"/>
  </w:num>
  <w:num w:numId="5">
    <w:abstractNumId w:val="4"/>
  </w:num>
  <w:num w:numId="6">
    <w:abstractNumId w:val="7"/>
  </w:num>
  <w:num w:numId="7">
    <w:abstractNumId w:val="13"/>
  </w:num>
  <w:num w:numId="8">
    <w:abstractNumId w:val="15"/>
  </w:num>
  <w:num w:numId="9">
    <w:abstractNumId w:val="11"/>
  </w:num>
  <w:num w:numId="10">
    <w:abstractNumId w:val="16"/>
  </w:num>
  <w:num w:numId="11">
    <w:abstractNumId w:val="9"/>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0"/>
  <w:drawingGridHorizontalSpacing w:val="2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zA1NDIxM2U5NDM4YjdhOWYzZjU0NGUzNzdkOTgifQ=="/>
  </w:docVars>
  <w:rsids>
    <w:rsidRoot w:val="00172A27"/>
    <w:rsid w:val="0000400A"/>
    <w:rsid w:val="000168D4"/>
    <w:rsid w:val="000504D4"/>
    <w:rsid w:val="00050929"/>
    <w:rsid w:val="00071F90"/>
    <w:rsid w:val="00080967"/>
    <w:rsid w:val="00083410"/>
    <w:rsid w:val="00083A85"/>
    <w:rsid w:val="000902A9"/>
    <w:rsid w:val="000A22EE"/>
    <w:rsid w:val="000D7DD0"/>
    <w:rsid w:val="0010191C"/>
    <w:rsid w:val="00101AE9"/>
    <w:rsid w:val="001025A9"/>
    <w:rsid w:val="0010309E"/>
    <w:rsid w:val="0012071D"/>
    <w:rsid w:val="00127F82"/>
    <w:rsid w:val="00152049"/>
    <w:rsid w:val="00172A27"/>
    <w:rsid w:val="001747EE"/>
    <w:rsid w:val="0017535B"/>
    <w:rsid w:val="00180AAC"/>
    <w:rsid w:val="00190708"/>
    <w:rsid w:val="001B6050"/>
    <w:rsid w:val="001C42C5"/>
    <w:rsid w:val="001E2AED"/>
    <w:rsid w:val="001E6888"/>
    <w:rsid w:val="00212B05"/>
    <w:rsid w:val="002214E7"/>
    <w:rsid w:val="00225683"/>
    <w:rsid w:val="00234073"/>
    <w:rsid w:val="002435A0"/>
    <w:rsid w:val="00243FF7"/>
    <w:rsid w:val="00247B38"/>
    <w:rsid w:val="0025536B"/>
    <w:rsid w:val="002565E2"/>
    <w:rsid w:val="00267611"/>
    <w:rsid w:val="00280B56"/>
    <w:rsid w:val="00282CD9"/>
    <w:rsid w:val="00290AF1"/>
    <w:rsid w:val="002B5D9A"/>
    <w:rsid w:val="002B6AE7"/>
    <w:rsid w:val="002B79CA"/>
    <w:rsid w:val="002E06BF"/>
    <w:rsid w:val="002E1A1C"/>
    <w:rsid w:val="002E5F48"/>
    <w:rsid w:val="002F05A6"/>
    <w:rsid w:val="002F3BB7"/>
    <w:rsid w:val="00315B60"/>
    <w:rsid w:val="003274CB"/>
    <w:rsid w:val="003368A3"/>
    <w:rsid w:val="00344015"/>
    <w:rsid w:val="00346B27"/>
    <w:rsid w:val="00353E82"/>
    <w:rsid w:val="00391C4A"/>
    <w:rsid w:val="00396369"/>
    <w:rsid w:val="003B2228"/>
    <w:rsid w:val="003C13E4"/>
    <w:rsid w:val="003D21F1"/>
    <w:rsid w:val="003E1DCC"/>
    <w:rsid w:val="003F4651"/>
    <w:rsid w:val="00410967"/>
    <w:rsid w:val="00411E40"/>
    <w:rsid w:val="00415E21"/>
    <w:rsid w:val="00445ADF"/>
    <w:rsid w:val="0046727E"/>
    <w:rsid w:val="00481283"/>
    <w:rsid w:val="00482071"/>
    <w:rsid w:val="00483674"/>
    <w:rsid w:val="004861AE"/>
    <w:rsid w:val="00486D20"/>
    <w:rsid w:val="00495036"/>
    <w:rsid w:val="004A6781"/>
    <w:rsid w:val="004A7D40"/>
    <w:rsid w:val="004B4092"/>
    <w:rsid w:val="004E0FDD"/>
    <w:rsid w:val="004F2F95"/>
    <w:rsid w:val="00502679"/>
    <w:rsid w:val="00506600"/>
    <w:rsid w:val="005075D7"/>
    <w:rsid w:val="00526D76"/>
    <w:rsid w:val="00551430"/>
    <w:rsid w:val="00554499"/>
    <w:rsid w:val="00557A19"/>
    <w:rsid w:val="00570E40"/>
    <w:rsid w:val="00573162"/>
    <w:rsid w:val="005F3F05"/>
    <w:rsid w:val="0060449E"/>
    <w:rsid w:val="006058A4"/>
    <w:rsid w:val="006109FE"/>
    <w:rsid w:val="00614BF4"/>
    <w:rsid w:val="00616545"/>
    <w:rsid w:val="00616B6E"/>
    <w:rsid w:val="00633858"/>
    <w:rsid w:val="00635E1D"/>
    <w:rsid w:val="006360BD"/>
    <w:rsid w:val="00670841"/>
    <w:rsid w:val="006708EE"/>
    <w:rsid w:val="006934B4"/>
    <w:rsid w:val="00694C4F"/>
    <w:rsid w:val="006B1D4C"/>
    <w:rsid w:val="006C21DD"/>
    <w:rsid w:val="006F6EF3"/>
    <w:rsid w:val="00722E70"/>
    <w:rsid w:val="00735F80"/>
    <w:rsid w:val="0074524D"/>
    <w:rsid w:val="00784579"/>
    <w:rsid w:val="007B1F36"/>
    <w:rsid w:val="007B50D9"/>
    <w:rsid w:val="007D09EC"/>
    <w:rsid w:val="007F300C"/>
    <w:rsid w:val="008003F4"/>
    <w:rsid w:val="008016F9"/>
    <w:rsid w:val="00803FE9"/>
    <w:rsid w:val="008062AE"/>
    <w:rsid w:val="00811328"/>
    <w:rsid w:val="00815C57"/>
    <w:rsid w:val="00815F35"/>
    <w:rsid w:val="0082614F"/>
    <w:rsid w:val="00850B71"/>
    <w:rsid w:val="0085639C"/>
    <w:rsid w:val="0087454D"/>
    <w:rsid w:val="00890D7F"/>
    <w:rsid w:val="008A0EB1"/>
    <w:rsid w:val="008A2076"/>
    <w:rsid w:val="008E659E"/>
    <w:rsid w:val="008F1529"/>
    <w:rsid w:val="008F1CB6"/>
    <w:rsid w:val="008F39FF"/>
    <w:rsid w:val="008F717E"/>
    <w:rsid w:val="008F74EB"/>
    <w:rsid w:val="00902627"/>
    <w:rsid w:val="0090455E"/>
    <w:rsid w:val="009278AD"/>
    <w:rsid w:val="00931981"/>
    <w:rsid w:val="00932AFD"/>
    <w:rsid w:val="00942ED3"/>
    <w:rsid w:val="00945986"/>
    <w:rsid w:val="00946F94"/>
    <w:rsid w:val="00990893"/>
    <w:rsid w:val="009C43E6"/>
    <w:rsid w:val="009D01D2"/>
    <w:rsid w:val="009E1E4F"/>
    <w:rsid w:val="009F5992"/>
    <w:rsid w:val="00A07369"/>
    <w:rsid w:val="00A23AFB"/>
    <w:rsid w:val="00A3273B"/>
    <w:rsid w:val="00A33E9A"/>
    <w:rsid w:val="00A466E6"/>
    <w:rsid w:val="00A47F1F"/>
    <w:rsid w:val="00A508D1"/>
    <w:rsid w:val="00A54688"/>
    <w:rsid w:val="00A75A1A"/>
    <w:rsid w:val="00A837A5"/>
    <w:rsid w:val="00A95C07"/>
    <w:rsid w:val="00AA4C47"/>
    <w:rsid w:val="00AA51C1"/>
    <w:rsid w:val="00AB65CA"/>
    <w:rsid w:val="00AB67D8"/>
    <w:rsid w:val="00AC2F78"/>
    <w:rsid w:val="00AC5E59"/>
    <w:rsid w:val="00AF3998"/>
    <w:rsid w:val="00B07B2E"/>
    <w:rsid w:val="00B17E42"/>
    <w:rsid w:val="00B31CC3"/>
    <w:rsid w:val="00B44B56"/>
    <w:rsid w:val="00BA614F"/>
    <w:rsid w:val="00BA69F4"/>
    <w:rsid w:val="00BA6D13"/>
    <w:rsid w:val="00BB299F"/>
    <w:rsid w:val="00BE1766"/>
    <w:rsid w:val="00BF0880"/>
    <w:rsid w:val="00BF4E9E"/>
    <w:rsid w:val="00C00F81"/>
    <w:rsid w:val="00C17A63"/>
    <w:rsid w:val="00C32340"/>
    <w:rsid w:val="00C35487"/>
    <w:rsid w:val="00C43BC1"/>
    <w:rsid w:val="00C711E4"/>
    <w:rsid w:val="00CA0AAA"/>
    <w:rsid w:val="00CD401B"/>
    <w:rsid w:val="00CD437E"/>
    <w:rsid w:val="00CD43B3"/>
    <w:rsid w:val="00CD58A7"/>
    <w:rsid w:val="00CE226F"/>
    <w:rsid w:val="00CE7025"/>
    <w:rsid w:val="00CF53F3"/>
    <w:rsid w:val="00D174EB"/>
    <w:rsid w:val="00D23AEC"/>
    <w:rsid w:val="00D373B2"/>
    <w:rsid w:val="00D37D24"/>
    <w:rsid w:val="00D80201"/>
    <w:rsid w:val="00D827D3"/>
    <w:rsid w:val="00D87B92"/>
    <w:rsid w:val="00D87C93"/>
    <w:rsid w:val="00D94D25"/>
    <w:rsid w:val="00DA65C9"/>
    <w:rsid w:val="00DB5C76"/>
    <w:rsid w:val="00DC4298"/>
    <w:rsid w:val="00DC68DD"/>
    <w:rsid w:val="00DD654B"/>
    <w:rsid w:val="00DF10BC"/>
    <w:rsid w:val="00E04823"/>
    <w:rsid w:val="00E2173D"/>
    <w:rsid w:val="00E53568"/>
    <w:rsid w:val="00E60A72"/>
    <w:rsid w:val="00E7258B"/>
    <w:rsid w:val="00E74CE9"/>
    <w:rsid w:val="00E7539A"/>
    <w:rsid w:val="00E76276"/>
    <w:rsid w:val="00E83C3F"/>
    <w:rsid w:val="00E86078"/>
    <w:rsid w:val="00E87BB1"/>
    <w:rsid w:val="00E93F48"/>
    <w:rsid w:val="00E965F8"/>
    <w:rsid w:val="00EB31E1"/>
    <w:rsid w:val="00EE2E61"/>
    <w:rsid w:val="00EE2E62"/>
    <w:rsid w:val="00EF4699"/>
    <w:rsid w:val="00F025B2"/>
    <w:rsid w:val="00F0340D"/>
    <w:rsid w:val="00F140D0"/>
    <w:rsid w:val="00F22D2F"/>
    <w:rsid w:val="00F23715"/>
    <w:rsid w:val="00F32329"/>
    <w:rsid w:val="00F4295B"/>
    <w:rsid w:val="00F714C7"/>
    <w:rsid w:val="00F84E6F"/>
    <w:rsid w:val="00F9177B"/>
    <w:rsid w:val="00F92C30"/>
    <w:rsid w:val="00FD2CEE"/>
    <w:rsid w:val="010F1DA1"/>
    <w:rsid w:val="011E300A"/>
    <w:rsid w:val="013D1C8A"/>
    <w:rsid w:val="013F0F7C"/>
    <w:rsid w:val="01464694"/>
    <w:rsid w:val="015258FF"/>
    <w:rsid w:val="01601E7A"/>
    <w:rsid w:val="016F329F"/>
    <w:rsid w:val="01782F69"/>
    <w:rsid w:val="017C6290"/>
    <w:rsid w:val="01876A1F"/>
    <w:rsid w:val="018B3842"/>
    <w:rsid w:val="018C1643"/>
    <w:rsid w:val="018F03FE"/>
    <w:rsid w:val="01917322"/>
    <w:rsid w:val="019377A3"/>
    <w:rsid w:val="01993D60"/>
    <w:rsid w:val="01A40160"/>
    <w:rsid w:val="01A96BB6"/>
    <w:rsid w:val="01AB6348"/>
    <w:rsid w:val="01AE15BA"/>
    <w:rsid w:val="01B763DC"/>
    <w:rsid w:val="01BC53AC"/>
    <w:rsid w:val="01BD35AB"/>
    <w:rsid w:val="01C20BC1"/>
    <w:rsid w:val="01C91C5F"/>
    <w:rsid w:val="01D57332"/>
    <w:rsid w:val="01DA5F1D"/>
    <w:rsid w:val="01E366FD"/>
    <w:rsid w:val="01EE75D4"/>
    <w:rsid w:val="02132164"/>
    <w:rsid w:val="02195753"/>
    <w:rsid w:val="022117A3"/>
    <w:rsid w:val="022D7471"/>
    <w:rsid w:val="023372E3"/>
    <w:rsid w:val="02362CC5"/>
    <w:rsid w:val="02380E83"/>
    <w:rsid w:val="024669DA"/>
    <w:rsid w:val="024E06A7"/>
    <w:rsid w:val="02676F4A"/>
    <w:rsid w:val="02691984"/>
    <w:rsid w:val="026D704D"/>
    <w:rsid w:val="02735026"/>
    <w:rsid w:val="027655B6"/>
    <w:rsid w:val="02792F82"/>
    <w:rsid w:val="02806689"/>
    <w:rsid w:val="02825F13"/>
    <w:rsid w:val="02833BCB"/>
    <w:rsid w:val="028430AA"/>
    <w:rsid w:val="02867E41"/>
    <w:rsid w:val="028879D9"/>
    <w:rsid w:val="02A1111E"/>
    <w:rsid w:val="02A12F56"/>
    <w:rsid w:val="02A14D74"/>
    <w:rsid w:val="02B43DAD"/>
    <w:rsid w:val="02B71517"/>
    <w:rsid w:val="02BC4E5F"/>
    <w:rsid w:val="02CC42EB"/>
    <w:rsid w:val="02DC1FED"/>
    <w:rsid w:val="02DD3DF1"/>
    <w:rsid w:val="02DE4088"/>
    <w:rsid w:val="02E247AD"/>
    <w:rsid w:val="02E3266E"/>
    <w:rsid w:val="02ED4364"/>
    <w:rsid w:val="02F71628"/>
    <w:rsid w:val="03035935"/>
    <w:rsid w:val="0306250D"/>
    <w:rsid w:val="030B2A3C"/>
    <w:rsid w:val="031218D5"/>
    <w:rsid w:val="031C70D4"/>
    <w:rsid w:val="0321449C"/>
    <w:rsid w:val="03304250"/>
    <w:rsid w:val="033436B4"/>
    <w:rsid w:val="0337738D"/>
    <w:rsid w:val="033F7AFD"/>
    <w:rsid w:val="034175A9"/>
    <w:rsid w:val="034561FE"/>
    <w:rsid w:val="03486A36"/>
    <w:rsid w:val="034E1F5E"/>
    <w:rsid w:val="0350391F"/>
    <w:rsid w:val="035717DD"/>
    <w:rsid w:val="03644B36"/>
    <w:rsid w:val="036E7CB0"/>
    <w:rsid w:val="03770FAA"/>
    <w:rsid w:val="03836FA6"/>
    <w:rsid w:val="0388610D"/>
    <w:rsid w:val="039261BA"/>
    <w:rsid w:val="03A013D6"/>
    <w:rsid w:val="03B32D25"/>
    <w:rsid w:val="03C23BAF"/>
    <w:rsid w:val="03C249D5"/>
    <w:rsid w:val="03C40ABE"/>
    <w:rsid w:val="03D60077"/>
    <w:rsid w:val="03DC7E66"/>
    <w:rsid w:val="03E3449B"/>
    <w:rsid w:val="03F050BD"/>
    <w:rsid w:val="03F7077E"/>
    <w:rsid w:val="03F90DB1"/>
    <w:rsid w:val="03FB00F1"/>
    <w:rsid w:val="040172D5"/>
    <w:rsid w:val="04053316"/>
    <w:rsid w:val="040746F2"/>
    <w:rsid w:val="041E23EC"/>
    <w:rsid w:val="04256CBB"/>
    <w:rsid w:val="042711D5"/>
    <w:rsid w:val="042E0EC7"/>
    <w:rsid w:val="0431295A"/>
    <w:rsid w:val="0433224A"/>
    <w:rsid w:val="0438590F"/>
    <w:rsid w:val="04455AD9"/>
    <w:rsid w:val="044D771D"/>
    <w:rsid w:val="044F225E"/>
    <w:rsid w:val="0453127A"/>
    <w:rsid w:val="0461636B"/>
    <w:rsid w:val="04671AF4"/>
    <w:rsid w:val="0467789F"/>
    <w:rsid w:val="046F52E9"/>
    <w:rsid w:val="047B1E84"/>
    <w:rsid w:val="047C5E12"/>
    <w:rsid w:val="04802939"/>
    <w:rsid w:val="0482288A"/>
    <w:rsid w:val="04841778"/>
    <w:rsid w:val="04864A9B"/>
    <w:rsid w:val="0488238D"/>
    <w:rsid w:val="04892F7A"/>
    <w:rsid w:val="04A20B39"/>
    <w:rsid w:val="04B830C1"/>
    <w:rsid w:val="04BC5D9C"/>
    <w:rsid w:val="04C0476A"/>
    <w:rsid w:val="04C759C7"/>
    <w:rsid w:val="04C9670A"/>
    <w:rsid w:val="04D035F5"/>
    <w:rsid w:val="04DE5CC1"/>
    <w:rsid w:val="04EB042F"/>
    <w:rsid w:val="04F10481"/>
    <w:rsid w:val="04F30120"/>
    <w:rsid w:val="04F51041"/>
    <w:rsid w:val="04F72D3C"/>
    <w:rsid w:val="04FB6CA5"/>
    <w:rsid w:val="04FF4175"/>
    <w:rsid w:val="05191440"/>
    <w:rsid w:val="05204AF2"/>
    <w:rsid w:val="05232BB3"/>
    <w:rsid w:val="052E656D"/>
    <w:rsid w:val="053C2598"/>
    <w:rsid w:val="054364BD"/>
    <w:rsid w:val="05533444"/>
    <w:rsid w:val="05551283"/>
    <w:rsid w:val="05551447"/>
    <w:rsid w:val="05665D07"/>
    <w:rsid w:val="056D77F4"/>
    <w:rsid w:val="057C1154"/>
    <w:rsid w:val="0586026D"/>
    <w:rsid w:val="059052A1"/>
    <w:rsid w:val="059211F2"/>
    <w:rsid w:val="059377C2"/>
    <w:rsid w:val="05981791"/>
    <w:rsid w:val="05A0746B"/>
    <w:rsid w:val="05AA6ECF"/>
    <w:rsid w:val="05B55267"/>
    <w:rsid w:val="05B60A3D"/>
    <w:rsid w:val="05BD44C2"/>
    <w:rsid w:val="05C14E93"/>
    <w:rsid w:val="05C313AC"/>
    <w:rsid w:val="05EE7A21"/>
    <w:rsid w:val="05F74FD6"/>
    <w:rsid w:val="06015BFD"/>
    <w:rsid w:val="06042A70"/>
    <w:rsid w:val="06157620"/>
    <w:rsid w:val="0616597F"/>
    <w:rsid w:val="0620235A"/>
    <w:rsid w:val="062A4F87"/>
    <w:rsid w:val="062F0344"/>
    <w:rsid w:val="063161BD"/>
    <w:rsid w:val="06322365"/>
    <w:rsid w:val="06336531"/>
    <w:rsid w:val="063B7194"/>
    <w:rsid w:val="0644691C"/>
    <w:rsid w:val="06473E71"/>
    <w:rsid w:val="064C13DA"/>
    <w:rsid w:val="065904CC"/>
    <w:rsid w:val="06607022"/>
    <w:rsid w:val="06640B64"/>
    <w:rsid w:val="06657762"/>
    <w:rsid w:val="066D09E8"/>
    <w:rsid w:val="066D20E0"/>
    <w:rsid w:val="06791870"/>
    <w:rsid w:val="067F52D3"/>
    <w:rsid w:val="06AB172E"/>
    <w:rsid w:val="06AB30A9"/>
    <w:rsid w:val="06AB7088"/>
    <w:rsid w:val="06AC39F1"/>
    <w:rsid w:val="06C12E7B"/>
    <w:rsid w:val="06C14990"/>
    <w:rsid w:val="06C255FB"/>
    <w:rsid w:val="06C466BB"/>
    <w:rsid w:val="06C54CB0"/>
    <w:rsid w:val="06CD24E2"/>
    <w:rsid w:val="06D33870"/>
    <w:rsid w:val="06DC4238"/>
    <w:rsid w:val="06E11AE9"/>
    <w:rsid w:val="06E91B3A"/>
    <w:rsid w:val="06F23D1E"/>
    <w:rsid w:val="06FF392B"/>
    <w:rsid w:val="07057562"/>
    <w:rsid w:val="0724643B"/>
    <w:rsid w:val="072A238A"/>
    <w:rsid w:val="0736320D"/>
    <w:rsid w:val="073B634E"/>
    <w:rsid w:val="073C2D1E"/>
    <w:rsid w:val="074C58DC"/>
    <w:rsid w:val="075615A8"/>
    <w:rsid w:val="07641D0D"/>
    <w:rsid w:val="07662674"/>
    <w:rsid w:val="0767483A"/>
    <w:rsid w:val="076D1160"/>
    <w:rsid w:val="07834FAC"/>
    <w:rsid w:val="078F30CB"/>
    <w:rsid w:val="07A01F66"/>
    <w:rsid w:val="07A31B05"/>
    <w:rsid w:val="07AC0B45"/>
    <w:rsid w:val="07BF6ABC"/>
    <w:rsid w:val="07C40FCD"/>
    <w:rsid w:val="07D21D7A"/>
    <w:rsid w:val="07D879E1"/>
    <w:rsid w:val="07E0507A"/>
    <w:rsid w:val="07E761B7"/>
    <w:rsid w:val="07E91DAA"/>
    <w:rsid w:val="07EB4F03"/>
    <w:rsid w:val="07F41CF0"/>
    <w:rsid w:val="07F73864"/>
    <w:rsid w:val="080203D0"/>
    <w:rsid w:val="080F372F"/>
    <w:rsid w:val="081A6BAD"/>
    <w:rsid w:val="08273974"/>
    <w:rsid w:val="082A73B9"/>
    <w:rsid w:val="082F56F4"/>
    <w:rsid w:val="08372ED5"/>
    <w:rsid w:val="083D7026"/>
    <w:rsid w:val="08400F85"/>
    <w:rsid w:val="08444585"/>
    <w:rsid w:val="084D1037"/>
    <w:rsid w:val="085049F9"/>
    <w:rsid w:val="08505652"/>
    <w:rsid w:val="08541F2D"/>
    <w:rsid w:val="08591B53"/>
    <w:rsid w:val="085D7896"/>
    <w:rsid w:val="086379DD"/>
    <w:rsid w:val="08795873"/>
    <w:rsid w:val="08807C62"/>
    <w:rsid w:val="08874B60"/>
    <w:rsid w:val="08885FE3"/>
    <w:rsid w:val="08903BD8"/>
    <w:rsid w:val="08907099"/>
    <w:rsid w:val="089815BC"/>
    <w:rsid w:val="08A4283A"/>
    <w:rsid w:val="08B0513C"/>
    <w:rsid w:val="08B72C3A"/>
    <w:rsid w:val="08BE07C4"/>
    <w:rsid w:val="08C0336E"/>
    <w:rsid w:val="08C203AB"/>
    <w:rsid w:val="08C665C7"/>
    <w:rsid w:val="08CF3947"/>
    <w:rsid w:val="08D539E3"/>
    <w:rsid w:val="08D84396"/>
    <w:rsid w:val="08DB73B0"/>
    <w:rsid w:val="08DE1C47"/>
    <w:rsid w:val="08EC63BA"/>
    <w:rsid w:val="08EE6DAF"/>
    <w:rsid w:val="08EF3D6F"/>
    <w:rsid w:val="090E0B90"/>
    <w:rsid w:val="09137F54"/>
    <w:rsid w:val="09187ED2"/>
    <w:rsid w:val="091D71CF"/>
    <w:rsid w:val="092D2818"/>
    <w:rsid w:val="09376339"/>
    <w:rsid w:val="093B5F9E"/>
    <w:rsid w:val="09474FBC"/>
    <w:rsid w:val="094D4667"/>
    <w:rsid w:val="095520D8"/>
    <w:rsid w:val="095D0797"/>
    <w:rsid w:val="09640E51"/>
    <w:rsid w:val="096B20A4"/>
    <w:rsid w:val="0978425B"/>
    <w:rsid w:val="0980411B"/>
    <w:rsid w:val="098826BB"/>
    <w:rsid w:val="098E57E7"/>
    <w:rsid w:val="09946A19"/>
    <w:rsid w:val="09B024F6"/>
    <w:rsid w:val="09B421E7"/>
    <w:rsid w:val="09BC791B"/>
    <w:rsid w:val="09BE25B6"/>
    <w:rsid w:val="09C676BC"/>
    <w:rsid w:val="09CA0BB9"/>
    <w:rsid w:val="09CC3BAD"/>
    <w:rsid w:val="09E244D3"/>
    <w:rsid w:val="09E40044"/>
    <w:rsid w:val="09E44204"/>
    <w:rsid w:val="09F410FD"/>
    <w:rsid w:val="09F63AFE"/>
    <w:rsid w:val="0A141092"/>
    <w:rsid w:val="0A157CFC"/>
    <w:rsid w:val="0A18215B"/>
    <w:rsid w:val="0A1C206E"/>
    <w:rsid w:val="0A1F3AFB"/>
    <w:rsid w:val="0A214D17"/>
    <w:rsid w:val="0A2316C1"/>
    <w:rsid w:val="0A374116"/>
    <w:rsid w:val="0A3B1828"/>
    <w:rsid w:val="0A3D4730"/>
    <w:rsid w:val="0A406793"/>
    <w:rsid w:val="0A4F2112"/>
    <w:rsid w:val="0A562EAD"/>
    <w:rsid w:val="0A60366D"/>
    <w:rsid w:val="0A6A4DCF"/>
    <w:rsid w:val="0A6F1B02"/>
    <w:rsid w:val="0A88671B"/>
    <w:rsid w:val="0A8A08A5"/>
    <w:rsid w:val="0A941E7B"/>
    <w:rsid w:val="0A9A0D24"/>
    <w:rsid w:val="0AAE43D8"/>
    <w:rsid w:val="0ABC5CC2"/>
    <w:rsid w:val="0ABF45E0"/>
    <w:rsid w:val="0AC253B8"/>
    <w:rsid w:val="0ACB4F8A"/>
    <w:rsid w:val="0AD029E3"/>
    <w:rsid w:val="0AD20D78"/>
    <w:rsid w:val="0AD319F0"/>
    <w:rsid w:val="0AD95FEE"/>
    <w:rsid w:val="0AEB1D55"/>
    <w:rsid w:val="0AEF28BE"/>
    <w:rsid w:val="0AFB1A29"/>
    <w:rsid w:val="0AFC7C23"/>
    <w:rsid w:val="0B030A0E"/>
    <w:rsid w:val="0B165FCB"/>
    <w:rsid w:val="0B27100A"/>
    <w:rsid w:val="0B283403"/>
    <w:rsid w:val="0B302931"/>
    <w:rsid w:val="0B373A25"/>
    <w:rsid w:val="0B380146"/>
    <w:rsid w:val="0B3F7726"/>
    <w:rsid w:val="0B490628"/>
    <w:rsid w:val="0B4D084E"/>
    <w:rsid w:val="0B5001FD"/>
    <w:rsid w:val="0B5D62E7"/>
    <w:rsid w:val="0B5E6C1B"/>
    <w:rsid w:val="0B7C78A1"/>
    <w:rsid w:val="0B8E3A06"/>
    <w:rsid w:val="0B94665C"/>
    <w:rsid w:val="0B964EC9"/>
    <w:rsid w:val="0B9B3CCE"/>
    <w:rsid w:val="0B9D5FFB"/>
    <w:rsid w:val="0BA62356"/>
    <w:rsid w:val="0BA63302"/>
    <w:rsid w:val="0BB91FA4"/>
    <w:rsid w:val="0BC71F3A"/>
    <w:rsid w:val="0BCF0D6E"/>
    <w:rsid w:val="0BDA2FAB"/>
    <w:rsid w:val="0BDD0790"/>
    <w:rsid w:val="0BDD4638"/>
    <w:rsid w:val="0BDF27DE"/>
    <w:rsid w:val="0BF5093F"/>
    <w:rsid w:val="0C095932"/>
    <w:rsid w:val="0C0D7E74"/>
    <w:rsid w:val="0C0E77A3"/>
    <w:rsid w:val="0C154760"/>
    <w:rsid w:val="0C166DCE"/>
    <w:rsid w:val="0C371FE2"/>
    <w:rsid w:val="0C426E10"/>
    <w:rsid w:val="0C4358FB"/>
    <w:rsid w:val="0C593A85"/>
    <w:rsid w:val="0C6236CC"/>
    <w:rsid w:val="0C6658D4"/>
    <w:rsid w:val="0C6C00A7"/>
    <w:rsid w:val="0C6F3B75"/>
    <w:rsid w:val="0C7F1DC2"/>
    <w:rsid w:val="0C825B1D"/>
    <w:rsid w:val="0C87727B"/>
    <w:rsid w:val="0C8C56BB"/>
    <w:rsid w:val="0CA53F3A"/>
    <w:rsid w:val="0CA87886"/>
    <w:rsid w:val="0CAF57CC"/>
    <w:rsid w:val="0CB41A43"/>
    <w:rsid w:val="0CB952B6"/>
    <w:rsid w:val="0CBD53F9"/>
    <w:rsid w:val="0CC06DC6"/>
    <w:rsid w:val="0CC12374"/>
    <w:rsid w:val="0CCC52F8"/>
    <w:rsid w:val="0CD023D1"/>
    <w:rsid w:val="0CDA7707"/>
    <w:rsid w:val="0CDC30C8"/>
    <w:rsid w:val="0CE9136E"/>
    <w:rsid w:val="0CE94F94"/>
    <w:rsid w:val="0CED067B"/>
    <w:rsid w:val="0CFC6488"/>
    <w:rsid w:val="0D004C93"/>
    <w:rsid w:val="0D1158BC"/>
    <w:rsid w:val="0D1D5BF4"/>
    <w:rsid w:val="0D2210AE"/>
    <w:rsid w:val="0D290E15"/>
    <w:rsid w:val="0D2E7CDA"/>
    <w:rsid w:val="0D3161DB"/>
    <w:rsid w:val="0D38710E"/>
    <w:rsid w:val="0D3A5B22"/>
    <w:rsid w:val="0D3A63F7"/>
    <w:rsid w:val="0D443071"/>
    <w:rsid w:val="0D4A61F6"/>
    <w:rsid w:val="0D5A4C9D"/>
    <w:rsid w:val="0D5E127F"/>
    <w:rsid w:val="0D636535"/>
    <w:rsid w:val="0D652404"/>
    <w:rsid w:val="0D692839"/>
    <w:rsid w:val="0D7824BD"/>
    <w:rsid w:val="0D790005"/>
    <w:rsid w:val="0D793F75"/>
    <w:rsid w:val="0D8323B8"/>
    <w:rsid w:val="0D8D3FD0"/>
    <w:rsid w:val="0D941DD9"/>
    <w:rsid w:val="0D947DEF"/>
    <w:rsid w:val="0D9960F6"/>
    <w:rsid w:val="0D9B3836"/>
    <w:rsid w:val="0D9D017D"/>
    <w:rsid w:val="0DA0651A"/>
    <w:rsid w:val="0DAF57C7"/>
    <w:rsid w:val="0DB1600D"/>
    <w:rsid w:val="0DB87064"/>
    <w:rsid w:val="0DC23414"/>
    <w:rsid w:val="0DC45258"/>
    <w:rsid w:val="0DD37D4F"/>
    <w:rsid w:val="0DF20A80"/>
    <w:rsid w:val="0E0974BC"/>
    <w:rsid w:val="0E0D58BA"/>
    <w:rsid w:val="0E105F97"/>
    <w:rsid w:val="0E117299"/>
    <w:rsid w:val="0E1D4C94"/>
    <w:rsid w:val="0E1E01D2"/>
    <w:rsid w:val="0E237ECF"/>
    <w:rsid w:val="0E29601F"/>
    <w:rsid w:val="0E2A646C"/>
    <w:rsid w:val="0E2C57A6"/>
    <w:rsid w:val="0E3B4AAC"/>
    <w:rsid w:val="0E406DCA"/>
    <w:rsid w:val="0E444E25"/>
    <w:rsid w:val="0E4528EE"/>
    <w:rsid w:val="0E463F6A"/>
    <w:rsid w:val="0E4E095A"/>
    <w:rsid w:val="0E511B01"/>
    <w:rsid w:val="0E533A22"/>
    <w:rsid w:val="0E5400D2"/>
    <w:rsid w:val="0E5852DB"/>
    <w:rsid w:val="0E5D50FC"/>
    <w:rsid w:val="0E5E0B3E"/>
    <w:rsid w:val="0E676C43"/>
    <w:rsid w:val="0E6E07F5"/>
    <w:rsid w:val="0E7E2314"/>
    <w:rsid w:val="0E80608C"/>
    <w:rsid w:val="0E8D2FCC"/>
    <w:rsid w:val="0E9658AF"/>
    <w:rsid w:val="0E9944EA"/>
    <w:rsid w:val="0EA0228A"/>
    <w:rsid w:val="0EA578A0"/>
    <w:rsid w:val="0EB331E4"/>
    <w:rsid w:val="0EB5186D"/>
    <w:rsid w:val="0EBA7291"/>
    <w:rsid w:val="0EC73CBB"/>
    <w:rsid w:val="0ED45063"/>
    <w:rsid w:val="0EE00334"/>
    <w:rsid w:val="0EEC54CF"/>
    <w:rsid w:val="0F090320"/>
    <w:rsid w:val="0F296FB7"/>
    <w:rsid w:val="0F2D4847"/>
    <w:rsid w:val="0F3A26DF"/>
    <w:rsid w:val="0F3B6457"/>
    <w:rsid w:val="0F3E4FBF"/>
    <w:rsid w:val="0F4277E5"/>
    <w:rsid w:val="0F451083"/>
    <w:rsid w:val="0F4527B9"/>
    <w:rsid w:val="0F503CB0"/>
    <w:rsid w:val="0F552295"/>
    <w:rsid w:val="0F555D3E"/>
    <w:rsid w:val="0F68165A"/>
    <w:rsid w:val="0F7331B1"/>
    <w:rsid w:val="0F790888"/>
    <w:rsid w:val="0F830CF9"/>
    <w:rsid w:val="0F8807D3"/>
    <w:rsid w:val="0F961643"/>
    <w:rsid w:val="0F985025"/>
    <w:rsid w:val="0F993EA0"/>
    <w:rsid w:val="0FA715B7"/>
    <w:rsid w:val="0FA8483D"/>
    <w:rsid w:val="0FAB0735"/>
    <w:rsid w:val="0FAB73CF"/>
    <w:rsid w:val="0FBA136E"/>
    <w:rsid w:val="0FC67596"/>
    <w:rsid w:val="0FD0094D"/>
    <w:rsid w:val="0FD23538"/>
    <w:rsid w:val="0FEA7956"/>
    <w:rsid w:val="0FED54E5"/>
    <w:rsid w:val="0FF22FB9"/>
    <w:rsid w:val="0FF24D67"/>
    <w:rsid w:val="0FF2619D"/>
    <w:rsid w:val="0FF91388"/>
    <w:rsid w:val="10002E78"/>
    <w:rsid w:val="10051186"/>
    <w:rsid w:val="10082322"/>
    <w:rsid w:val="100827DD"/>
    <w:rsid w:val="100A088B"/>
    <w:rsid w:val="101E557F"/>
    <w:rsid w:val="10206168"/>
    <w:rsid w:val="10220902"/>
    <w:rsid w:val="10262C63"/>
    <w:rsid w:val="102832C0"/>
    <w:rsid w:val="1030329B"/>
    <w:rsid w:val="103627B4"/>
    <w:rsid w:val="10476538"/>
    <w:rsid w:val="107921C2"/>
    <w:rsid w:val="107A6B0B"/>
    <w:rsid w:val="107D4754"/>
    <w:rsid w:val="107E07FE"/>
    <w:rsid w:val="10805044"/>
    <w:rsid w:val="108654B0"/>
    <w:rsid w:val="108A45AA"/>
    <w:rsid w:val="108B5C75"/>
    <w:rsid w:val="1090632E"/>
    <w:rsid w:val="10927871"/>
    <w:rsid w:val="109B2457"/>
    <w:rsid w:val="10A80202"/>
    <w:rsid w:val="10A86948"/>
    <w:rsid w:val="10A91F3A"/>
    <w:rsid w:val="10BD4B6E"/>
    <w:rsid w:val="10C05016"/>
    <w:rsid w:val="10CF50A9"/>
    <w:rsid w:val="10DC5341"/>
    <w:rsid w:val="10DC5DE2"/>
    <w:rsid w:val="10DE77F2"/>
    <w:rsid w:val="10E55858"/>
    <w:rsid w:val="10E8122E"/>
    <w:rsid w:val="10F16B8E"/>
    <w:rsid w:val="10F973AA"/>
    <w:rsid w:val="11002024"/>
    <w:rsid w:val="1101215E"/>
    <w:rsid w:val="1107086A"/>
    <w:rsid w:val="110C00AB"/>
    <w:rsid w:val="112673D2"/>
    <w:rsid w:val="11272A81"/>
    <w:rsid w:val="11323E5A"/>
    <w:rsid w:val="11343C71"/>
    <w:rsid w:val="1140061F"/>
    <w:rsid w:val="11420D5D"/>
    <w:rsid w:val="11511756"/>
    <w:rsid w:val="11596BD4"/>
    <w:rsid w:val="1166278E"/>
    <w:rsid w:val="116A6B7F"/>
    <w:rsid w:val="118151C6"/>
    <w:rsid w:val="11871BD0"/>
    <w:rsid w:val="119F4A7B"/>
    <w:rsid w:val="11A3453B"/>
    <w:rsid w:val="11AF7CCD"/>
    <w:rsid w:val="11B13A44"/>
    <w:rsid w:val="11B64B9D"/>
    <w:rsid w:val="11C219B6"/>
    <w:rsid w:val="11C34C5A"/>
    <w:rsid w:val="11CE54FA"/>
    <w:rsid w:val="11D64215"/>
    <w:rsid w:val="11D7281B"/>
    <w:rsid w:val="11D93657"/>
    <w:rsid w:val="11DD37F5"/>
    <w:rsid w:val="11DD55A3"/>
    <w:rsid w:val="11E62926"/>
    <w:rsid w:val="11E7019B"/>
    <w:rsid w:val="12041F1C"/>
    <w:rsid w:val="120C30E2"/>
    <w:rsid w:val="121D1E44"/>
    <w:rsid w:val="124675EC"/>
    <w:rsid w:val="12486EC1"/>
    <w:rsid w:val="125C1D36"/>
    <w:rsid w:val="125D03B5"/>
    <w:rsid w:val="126F4111"/>
    <w:rsid w:val="126F5ED9"/>
    <w:rsid w:val="128A25F6"/>
    <w:rsid w:val="128B7C0F"/>
    <w:rsid w:val="1299328B"/>
    <w:rsid w:val="12A04B9A"/>
    <w:rsid w:val="12A30DA6"/>
    <w:rsid w:val="12B50BED"/>
    <w:rsid w:val="12C23A7C"/>
    <w:rsid w:val="12C32F26"/>
    <w:rsid w:val="12C6156A"/>
    <w:rsid w:val="12CA4DA3"/>
    <w:rsid w:val="12D20E80"/>
    <w:rsid w:val="12D37006"/>
    <w:rsid w:val="12D919C1"/>
    <w:rsid w:val="12E61CD4"/>
    <w:rsid w:val="12E94BA8"/>
    <w:rsid w:val="12F55F70"/>
    <w:rsid w:val="13021765"/>
    <w:rsid w:val="1304111F"/>
    <w:rsid w:val="13041B90"/>
    <w:rsid w:val="130A3353"/>
    <w:rsid w:val="130B7334"/>
    <w:rsid w:val="13197966"/>
    <w:rsid w:val="131B0C66"/>
    <w:rsid w:val="13380869"/>
    <w:rsid w:val="13525B1D"/>
    <w:rsid w:val="135C15A5"/>
    <w:rsid w:val="136B30DD"/>
    <w:rsid w:val="13755EB2"/>
    <w:rsid w:val="13800B97"/>
    <w:rsid w:val="13877DCB"/>
    <w:rsid w:val="13881341"/>
    <w:rsid w:val="13887B1A"/>
    <w:rsid w:val="13904FC3"/>
    <w:rsid w:val="139F2E5E"/>
    <w:rsid w:val="13A04ADA"/>
    <w:rsid w:val="13A23B9A"/>
    <w:rsid w:val="13A35911"/>
    <w:rsid w:val="13A47BFE"/>
    <w:rsid w:val="13A646F2"/>
    <w:rsid w:val="13AD2096"/>
    <w:rsid w:val="13AE0DA1"/>
    <w:rsid w:val="13B773EB"/>
    <w:rsid w:val="13C4002F"/>
    <w:rsid w:val="13C63319"/>
    <w:rsid w:val="13C7475D"/>
    <w:rsid w:val="13E67824"/>
    <w:rsid w:val="13ED6898"/>
    <w:rsid w:val="140137CB"/>
    <w:rsid w:val="14063E97"/>
    <w:rsid w:val="14166484"/>
    <w:rsid w:val="14171240"/>
    <w:rsid w:val="14197E9B"/>
    <w:rsid w:val="14242A9B"/>
    <w:rsid w:val="14293FDD"/>
    <w:rsid w:val="142B4770"/>
    <w:rsid w:val="143105E6"/>
    <w:rsid w:val="14335E33"/>
    <w:rsid w:val="144E2788"/>
    <w:rsid w:val="144F3B92"/>
    <w:rsid w:val="145D7218"/>
    <w:rsid w:val="145E21A7"/>
    <w:rsid w:val="14663754"/>
    <w:rsid w:val="146D0E60"/>
    <w:rsid w:val="1470604A"/>
    <w:rsid w:val="1479294C"/>
    <w:rsid w:val="148037BC"/>
    <w:rsid w:val="14857BC8"/>
    <w:rsid w:val="148A09EC"/>
    <w:rsid w:val="148E0DD7"/>
    <w:rsid w:val="14960E91"/>
    <w:rsid w:val="149E54BE"/>
    <w:rsid w:val="14A979BF"/>
    <w:rsid w:val="14B4083D"/>
    <w:rsid w:val="14BE3BD0"/>
    <w:rsid w:val="14C03686"/>
    <w:rsid w:val="14CA2C11"/>
    <w:rsid w:val="14CB202B"/>
    <w:rsid w:val="14CF2CA5"/>
    <w:rsid w:val="14D4721A"/>
    <w:rsid w:val="14D53920"/>
    <w:rsid w:val="14D94748"/>
    <w:rsid w:val="14DB226E"/>
    <w:rsid w:val="14DE3402"/>
    <w:rsid w:val="14E36FB1"/>
    <w:rsid w:val="14E60E10"/>
    <w:rsid w:val="14E813D5"/>
    <w:rsid w:val="14F71157"/>
    <w:rsid w:val="15072773"/>
    <w:rsid w:val="15127C5A"/>
    <w:rsid w:val="151D60E3"/>
    <w:rsid w:val="152165F3"/>
    <w:rsid w:val="1530340C"/>
    <w:rsid w:val="15443470"/>
    <w:rsid w:val="154D2A40"/>
    <w:rsid w:val="154F09D4"/>
    <w:rsid w:val="155A6AAB"/>
    <w:rsid w:val="155B6F0B"/>
    <w:rsid w:val="155D44F6"/>
    <w:rsid w:val="1568195A"/>
    <w:rsid w:val="156825AE"/>
    <w:rsid w:val="157648A9"/>
    <w:rsid w:val="157B7989"/>
    <w:rsid w:val="157D25F1"/>
    <w:rsid w:val="158013B3"/>
    <w:rsid w:val="15897466"/>
    <w:rsid w:val="159266A5"/>
    <w:rsid w:val="159D2AA8"/>
    <w:rsid w:val="15BC3A0F"/>
    <w:rsid w:val="15BF05AC"/>
    <w:rsid w:val="15CF3C06"/>
    <w:rsid w:val="15CF6FF0"/>
    <w:rsid w:val="15D62A35"/>
    <w:rsid w:val="15E044A0"/>
    <w:rsid w:val="15E40909"/>
    <w:rsid w:val="15E72E94"/>
    <w:rsid w:val="15EF3AF7"/>
    <w:rsid w:val="15F32BDF"/>
    <w:rsid w:val="15F95FB4"/>
    <w:rsid w:val="15F97B47"/>
    <w:rsid w:val="16071DD9"/>
    <w:rsid w:val="1609105D"/>
    <w:rsid w:val="160C5D02"/>
    <w:rsid w:val="16184098"/>
    <w:rsid w:val="161F7166"/>
    <w:rsid w:val="162426FB"/>
    <w:rsid w:val="16290D5F"/>
    <w:rsid w:val="162C4C37"/>
    <w:rsid w:val="163409FD"/>
    <w:rsid w:val="163F05DA"/>
    <w:rsid w:val="164925E6"/>
    <w:rsid w:val="16564ED8"/>
    <w:rsid w:val="166556E6"/>
    <w:rsid w:val="16695F27"/>
    <w:rsid w:val="166B2C03"/>
    <w:rsid w:val="166B2D98"/>
    <w:rsid w:val="167A093E"/>
    <w:rsid w:val="167E6CA3"/>
    <w:rsid w:val="167F4B95"/>
    <w:rsid w:val="169327D0"/>
    <w:rsid w:val="169D0E74"/>
    <w:rsid w:val="16A0455F"/>
    <w:rsid w:val="16A25BC1"/>
    <w:rsid w:val="16AB4CC3"/>
    <w:rsid w:val="16BC7E7D"/>
    <w:rsid w:val="16BD04E5"/>
    <w:rsid w:val="16C419E8"/>
    <w:rsid w:val="16D1700E"/>
    <w:rsid w:val="16DA045E"/>
    <w:rsid w:val="16E21427"/>
    <w:rsid w:val="16E57675"/>
    <w:rsid w:val="16E66CA8"/>
    <w:rsid w:val="16EB53B1"/>
    <w:rsid w:val="17033117"/>
    <w:rsid w:val="170535D2"/>
    <w:rsid w:val="170A61ED"/>
    <w:rsid w:val="170C6A21"/>
    <w:rsid w:val="170C751B"/>
    <w:rsid w:val="1711641B"/>
    <w:rsid w:val="17166620"/>
    <w:rsid w:val="17174AB2"/>
    <w:rsid w:val="172B1C15"/>
    <w:rsid w:val="172F59B8"/>
    <w:rsid w:val="173C59AC"/>
    <w:rsid w:val="173E4D36"/>
    <w:rsid w:val="173F20E2"/>
    <w:rsid w:val="174D4F79"/>
    <w:rsid w:val="175D4AA9"/>
    <w:rsid w:val="17606A5A"/>
    <w:rsid w:val="17740853"/>
    <w:rsid w:val="177F62FA"/>
    <w:rsid w:val="1780009A"/>
    <w:rsid w:val="178E0BAF"/>
    <w:rsid w:val="1791130A"/>
    <w:rsid w:val="17987B34"/>
    <w:rsid w:val="17990FA9"/>
    <w:rsid w:val="17A10E21"/>
    <w:rsid w:val="17B60D70"/>
    <w:rsid w:val="17C271C7"/>
    <w:rsid w:val="17DE3FD2"/>
    <w:rsid w:val="17E21B65"/>
    <w:rsid w:val="17E25684"/>
    <w:rsid w:val="17EC02EE"/>
    <w:rsid w:val="17F3167D"/>
    <w:rsid w:val="17F51899"/>
    <w:rsid w:val="17FA253A"/>
    <w:rsid w:val="18071145"/>
    <w:rsid w:val="180D1861"/>
    <w:rsid w:val="1824021D"/>
    <w:rsid w:val="182727AA"/>
    <w:rsid w:val="182A0E16"/>
    <w:rsid w:val="182C3C1D"/>
    <w:rsid w:val="182E4DAB"/>
    <w:rsid w:val="183737F8"/>
    <w:rsid w:val="18424965"/>
    <w:rsid w:val="18527BEC"/>
    <w:rsid w:val="185D48BA"/>
    <w:rsid w:val="18690252"/>
    <w:rsid w:val="186A253C"/>
    <w:rsid w:val="187327BD"/>
    <w:rsid w:val="187602DD"/>
    <w:rsid w:val="18764A71"/>
    <w:rsid w:val="18782953"/>
    <w:rsid w:val="187D11D8"/>
    <w:rsid w:val="18851020"/>
    <w:rsid w:val="188651E4"/>
    <w:rsid w:val="1890511D"/>
    <w:rsid w:val="18921538"/>
    <w:rsid w:val="189E12C3"/>
    <w:rsid w:val="189E32A4"/>
    <w:rsid w:val="189E6C73"/>
    <w:rsid w:val="18A64941"/>
    <w:rsid w:val="18AC4201"/>
    <w:rsid w:val="18B47A70"/>
    <w:rsid w:val="18BD055D"/>
    <w:rsid w:val="18C04A46"/>
    <w:rsid w:val="18C4037B"/>
    <w:rsid w:val="18C748B7"/>
    <w:rsid w:val="18D72014"/>
    <w:rsid w:val="18D764B0"/>
    <w:rsid w:val="18D92B7A"/>
    <w:rsid w:val="18DA0A8E"/>
    <w:rsid w:val="18FF308F"/>
    <w:rsid w:val="19094ED0"/>
    <w:rsid w:val="190A1374"/>
    <w:rsid w:val="19263C11"/>
    <w:rsid w:val="19351878"/>
    <w:rsid w:val="19364034"/>
    <w:rsid w:val="193D5EB3"/>
    <w:rsid w:val="1940240E"/>
    <w:rsid w:val="194B6D06"/>
    <w:rsid w:val="194F0096"/>
    <w:rsid w:val="19580F07"/>
    <w:rsid w:val="19605FFF"/>
    <w:rsid w:val="196842EC"/>
    <w:rsid w:val="196C060A"/>
    <w:rsid w:val="196E66EE"/>
    <w:rsid w:val="197226D6"/>
    <w:rsid w:val="197B045A"/>
    <w:rsid w:val="197D1E58"/>
    <w:rsid w:val="19911370"/>
    <w:rsid w:val="19981B0B"/>
    <w:rsid w:val="19A57A33"/>
    <w:rsid w:val="19A60597"/>
    <w:rsid w:val="19A748CE"/>
    <w:rsid w:val="19B53F29"/>
    <w:rsid w:val="19B72B7E"/>
    <w:rsid w:val="19BB4AC7"/>
    <w:rsid w:val="19C257AA"/>
    <w:rsid w:val="19DE010A"/>
    <w:rsid w:val="19ED1019"/>
    <w:rsid w:val="19F30FD0"/>
    <w:rsid w:val="19FC580C"/>
    <w:rsid w:val="1A084634"/>
    <w:rsid w:val="1A0931E6"/>
    <w:rsid w:val="1A0933D9"/>
    <w:rsid w:val="1A0B22C7"/>
    <w:rsid w:val="1A107534"/>
    <w:rsid w:val="1A1B26CF"/>
    <w:rsid w:val="1A1D39FB"/>
    <w:rsid w:val="1A240213"/>
    <w:rsid w:val="1A275744"/>
    <w:rsid w:val="1A2C6661"/>
    <w:rsid w:val="1A332694"/>
    <w:rsid w:val="1A33410B"/>
    <w:rsid w:val="1A3D4066"/>
    <w:rsid w:val="1A422421"/>
    <w:rsid w:val="1A454BBD"/>
    <w:rsid w:val="1A50247D"/>
    <w:rsid w:val="1A5605E9"/>
    <w:rsid w:val="1A5846A0"/>
    <w:rsid w:val="1A5B75BD"/>
    <w:rsid w:val="1A5C1E8C"/>
    <w:rsid w:val="1A5F4086"/>
    <w:rsid w:val="1A684E92"/>
    <w:rsid w:val="1A8A4647"/>
    <w:rsid w:val="1A9609E5"/>
    <w:rsid w:val="1A9723B6"/>
    <w:rsid w:val="1A984C5D"/>
    <w:rsid w:val="1AA34AA6"/>
    <w:rsid w:val="1AA83ACA"/>
    <w:rsid w:val="1AA93183"/>
    <w:rsid w:val="1AAC781B"/>
    <w:rsid w:val="1AB44A07"/>
    <w:rsid w:val="1AB803AE"/>
    <w:rsid w:val="1AB927E6"/>
    <w:rsid w:val="1AC75042"/>
    <w:rsid w:val="1AC90DBB"/>
    <w:rsid w:val="1AD41623"/>
    <w:rsid w:val="1ADA1B4E"/>
    <w:rsid w:val="1AED05E1"/>
    <w:rsid w:val="1AF00F47"/>
    <w:rsid w:val="1AF046CF"/>
    <w:rsid w:val="1AF16568"/>
    <w:rsid w:val="1AFF658A"/>
    <w:rsid w:val="1B040045"/>
    <w:rsid w:val="1B074284"/>
    <w:rsid w:val="1B143739"/>
    <w:rsid w:val="1B21661A"/>
    <w:rsid w:val="1B24725D"/>
    <w:rsid w:val="1B2B048F"/>
    <w:rsid w:val="1B301CAE"/>
    <w:rsid w:val="1B44289D"/>
    <w:rsid w:val="1B4A2D9D"/>
    <w:rsid w:val="1B4D4C2F"/>
    <w:rsid w:val="1B4F12C0"/>
    <w:rsid w:val="1B5752AC"/>
    <w:rsid w:val="1B5E72DC"/>
    <w:rsid w:val="1B67625B"/>
    <w:rsid w:val="1B6B043B"/>
    <w:rsid w:val="1B6B336B"/>
    <w:rsid w:val="1B6D18C5"/>
    <w:rsid w:val="1B6E424D"/>
    <w:rsid w:val="1B863F0D"/>
    <w:rsid w:val="1B9369D7"/>
    <w:rsid w:val="1B9534FE"/>
    <w:rsid w:val="1B9E5564"/>
    <w:rsid w:val="1BAF5377"/>
    <w:rsid w:val="1BB15F13"/>
    <w:rsid w:val="1BB678D9"/>
    <w:rsid w:val="1BBF4AED"/>
    <w:rsid w:val="1BCB3B13"/>
    <w:rsid w:val="1BD97AB4"/>
    <w:rsid w:val="1BFA4214"/>
    <w:rsid w:val="1C071B9A"/>
    <w:rsid w:val="1C146D3D"/>
    <w:rsid w:val="1C19483C"/>
    <w:rsid w:val="1C1D13BE"/>
    <w:rsid w:val="1C213008"/>
    <w:rsid w:val="1C2C1382"/>
    <w:rsid w:val="1C347AE7"/>
    <w:rsid w:val="1C3709C2"/>
    <w:rsid w:val="1C3F5A29"/>
    <w:rsid w:val="1C5172BA"/>
    <w:rsid w:val="1C533032"/>
    <w:rsid w:val="1C680DA8"/>
    <w:rsid w:val="1C6D2061"/>
    <w:rsid w:val="1C73352D"/>
    <w:rsid w:val="1C7F0A0D"/>
    <w:rsid w:val="1C874A89"/>
    <w:rsid w:val="1C883EE2"/>
    <w:rsid w:val="1C8A5704"/>
    <w:rsid w:val="1C993644"/>
    <w:rsid w:val="1CA30814"/>
    <w:rsid w:val="1CA40989"/>
    <w:rsid w:val="1CA411B8"/>
    <w:rsid w:val="1CA91C58"/>
    <w:rsid w:val="1CAE2016"/>
    <w:rsid w:val="1CAE730B"/>
    <w:rsid w:val="1CB64E6F"/>
    <w:rsid w:val="1CBC0BD7"/>
    <w:rsid w:val="1CD11261"/>
    <w:rsid w:val="1CD6156D"/>
    <w:rsid w:val="1CE211FC"/>
    <w:rsid w:val="1CE974F2"/>
    <w:rsid w:val="1CF333E6"/>
    <w:rsid w:val="1CF87735"/>
    <w:rsid w:val="1CFF0AC4"/>
    <w:rsid w:val="1D0565E2"/>
    <w:rsid w:val="1D1C5DA2"/>
    <w:rsid w:val="1D2122A1"/>
    <w:rsid w:val="1D2357FD"/>
    <w:rsid w:val="1D2D51F1"/>
    <w:rsid w:val="1D300C7D"/>
    <w:rsid w:val="1D3249F5"/>
    <w:rsid w:val="1D37486F"/>
    <w:rsid w:val="1D42071E"/>
    <w:rsid w:val="1D4856D1"/>
    <w:rsid w:val="1D4C2B5B"/>
    <w:rsid w:val="1D6257AE"/>
    <w:rsid w:val="1D677324"/>
    <w:rsid w:val="1D6E2D29"/>
    <w:rsid w:val="1D782040"/>
    <w:rsid w:val="1D8C6A7E"/>
    <w:rsid w:val="1D8E167F"/>
    <w:rsid w:val="1D9531D6"/>
    <w:rsid w:val="1D9778CB"/>
    <w:rsid w:val="1DAF4FB1"/>
    <w:rsid w:val="1DB01D77"/>
    <w:rsid w:val="1DB95872"/>
    <w:rsid w:val="1DBD7240"/>
    <w:rsid w:val="1DC07134"/>
    <w:rsid w:val="1DC15568"/>
    <w:rsid w:val="1DC77F7C"/>
    <w:rsid w:val="1DCE2AB1"/>
    <w:rsid w:val="1DD0335C"/>
    <w:rsid w:val="1DD51824"/>
    <w:rsid w:val="1DD620D3"/>
    <w:rsid w:val="1DD65CC8"/>
    <w:rsid w:val="1DD7570D"/>
    <w:rsid w:val="1DDB508D"/>
    <w:rsid w:val="1DDE1182"/>
    <w:rsid w:val="1DDE2DCF"/>
    <w:rsid w:val="1DE5415D"/>
    <w:rsid w:val="1DED6B6E"/>
    <w:rsid w:val="1DF0665E"/>
    <w:rsid w:val="1DFC3B16"/>
    <w:rsid w:val="1E071D72"/>
    <w:rsid w:val="1E125CB7"/>
    <w:rsid w:val="1E1E21E7"/>
    <w:rsid w:val="1E2566DA"/>
    <w:rsid w:val="1E2D48C4"/>
    <w:rsid w:val="1E32366D"/>
    <w:rsid w:val="1E36628C"/>
    <w:rsid w:val="1E3B46CC"/>
    <w:rsid w:val="1E510853"/>
    <w:rsid w:val="1E57604D"/>
    <w:rsid w:val="1E635018"/>
    <w:rsid w:val="1E656782"/>
    <w:rsid w:val="1E814CED"/>
    <w:rsid w:val="1E8469F9"/>
    <w:rsid w:val="1E92658B"/>
    <w:rsid w:val="1E9C5B42"/>
    <w:rsid w:val="1E9C5BFF"/>
    <w:rsid w:val="1EA53511"/>
    <w:rsid w:val="1EA672D8"/>
    <w:rsid w:val="1ECC3FFD"/>
    <w:rsid w:val="1ED2384F"/>
    <w:rsid w:val="1ED9232C"/>
    <w:rsid w:val="1EDD43FA"/>
    <w:rsid w:val="1EDF476D"/>
    <w:rsid w:val="1EE241F9"/>
    <w:rsid w:val="1EEA697A"/>
    <w:rsid w:val="1EEC0C5C"/>
    <w:rsid w:val="1F176E60"/>
    <w:rsid w:val="1F1A3993"/>
    <w:rsid w:val="1F37018C"/>
    <w:rsid w:val="1F447B60"/>
    <w:rsid w:val="1F455558"/>
    <w:rsid w:val="1F494278"/>
    <w:rsid w:val="1F4C1597"/>
    <w:rsid w:val="1F51433D"/>
    <w:rsid w:val="1F5500CB"/>
    <w:rsid w:val="1F5B5AF9"/>
    <w:rsid w:val="1F7574A3"/>
    <w:rsid w:val="1F7C2691"/>
    <w:rsid w:val="1F9A340A"/>
    <w:rsid w:val="1FA24F7F"/>
    <w:rsid w:val="1FB26162"/>
    <w:rsid w:val="1FB31A5F"/>
    <w:rsid w:val="1FC20797"/>
    <w:rsid w:val="1FC97C87"/>
    <w:rsid w:val="1FCC023A"/>
    <w:rsid w:val="1FD47FE6"/>
    <w:rsid w:val="1FDE3F49"/>
    <w:rsid w:val="1FE933AA"/>
    <w:rsid w:val="1FF468DA"/>
    <w:rsid w:val="1FF94A2D"/>
    <w:rsid w:val="2000330E"/>
    <w:rsid w:val="200B0D0C"/>
    <w:rsid w:val="201051B9"/>
    <w:rsid w:val="201120ED"/>
    <w:rsid w:val="20191A25"/>
    <w:rsid w:val="20280331"/>
    <w:rsid w:val="202D1DEC"/>
    <w:rsid w:val="2040794E"/>
    <w:rsid w:val="20460DDC"/>
    <w:rsid w:val="20460ED9"/>
    <w:rsid w:val="204D6F6C"/>
    <w:rsid w:val="20506C8E"/>
    <w:rsid w:val="205E01F7"/>
    <w:rsid w:val="2064368A"/>
    <w:rsid w:val="207F43D9"/>
    <w:rsid w:val="20875058"/>
    <w:rsid w:val="20906E82"/>
    <w:rsid w:val="209128E5"/>
    <w:rsid w:val="209F1645"/>
    <w:rsid w:val="20A84AFD"/>
    <w:rsid w:val="20A976C4"/>
    <w:rsid w:val="20B336D0"/>
    <w:rsid w:val="20B41FC9"/>
    <w:rsid w:val="20B707BB"/>
    <w:rsid w:val="20B91E5B"/>
    <w:rsid w:val="20C04A0E"/>
    <w:rsid w:val="20C106E3"/>
    <w:rsid w:val="20DA452F"/>
    <w:rsid w:val="20E40D06"/>
    <w:rsid w:val="20E70DDA"/>
    <w:rsid w:val="20EE157B"/>
    <w:rsid w:val="20EE5292"/>
    <w:rsid w:val="20EE7A98"/>
    <w:rsid w:val="20F012DA"/>
    <w:rsid w:val="20F91B22"/>
    <w:rsid w:val="20FB0C58"/>
    <w:rsid w:val="2102118F"/>
    <w:rsid w:val="21042B4C"/>
    <w:rsid w:val="210643F0"/>
    <w:rsid w:val="21126A1E"/>
    <w:rsid w:val="211A3117"/>
    <w:rsid w:val="211D6ED8"/>
    <w:rsid w:val="21224D81"/>
    <w:rsid w:val="21365E4F"/>
    <w:rsid w:val="21432762"/>
    <w:rsid w:val="214418B5"/>
    <w:rsid w:val="215F5D66"/>
    <w:rsid w:val="216A0307"/>
    <w:rsid w:val="217B299D"/>
    <w:rsid w:val="219B228D"/>
    <w:rsid w:val="219C7087"/>
    <w:rsid w:val="219D2205"/>
    <w:rsid w:val="219F5A6F"/>
    <w:rsid w:val="21A2770F"/>
    <w:rsid w:val="21A72E05"/>
    <w:rsid w:val="21AF4DC3"/>
    <w:rsid w:val="21B75E11"/>
    <w:rsid w:val="21C06F92"/>
    <w:rsid w:val="21C34A4E"/>
    <w:rsid w:val="21C84E9E"/>
    <w:rsid w:val="21CA5B44"/>
    <w:rsid w:val="21CB5CF6"/>
    <w:rsid w:val="21D17902"/>
    <w:rsid w:val="21E22287"/>
    <w:rsid w:val="21E5632B"/>
    <w:rsid w:val="21F143E4"/>
    <w:rsid w:val="21F15A4A"/>
    <w:rsid w:val="21F718D2"/>
    <w:rsid w:val="220643AF"/>
    <w:rsid w:val="22077889"/>
    <w:rsid w:val="22104944"/>
    <w:rsid w:val="22121D33"/>
    <w:rsid w:val="22131E5F"/>
    <w:rsid w:val="2225695B"/>
    <w:rsid w:val="222B4A26"/>
    <w:rsid w:val="2230171F"/>
    <w:rsid w:val="224C1EE4"/>
    <w:rsid w:val="224E5006"/>
    <w:rsid w:val="22507E1C"/>
    <w:rsid w:val="225F71CC"/>
    <w:rsid w:val="226E0F46"/>
    <w:rsid w:val="22894FBA"/>
    <w:rsid w:val="228B7D1B"/>
    <w:rsid w:val="22993411"/>
    <w:rsid w:val="22A31EF1"/>
    <w:rsid w:val="22A3753B"/>
    <w:rsid w:val="22A627B6"/>
    <w:rsid w:val="22B83FDE"/>
    <w:rsid w:val="22B8599C"/>
    <w:rsid w:val="22BB1853"/>
    <w:rsid w:val="22C41C6A"/>
    <w:rsid w:val="22C81958"/>
    <w:rsid w:val="22DB78DD"/>
    <w:rsid w:val="22EE7034"/>
    <w:rsid w:val="22F20146"/>
    <w:rsid w:val="22F774F6"/>
    <w:rsid w:val="22FD46BD"/>
    <w:rsid w:val="23006217"/>
    <w:rsid w:val="230F132C"/>
    <w:rsid w:val="231057D9"/>
    <w:rsid w:val="23153857"/>
    <w:rsid w:val="231B17F9"/>
    <w:rsid w:val="23216DFA"/>
    <w:rsid w:val="233A304E"/>
    <w:rsid w:val="23443D7D"/>
    <w:rsid w:val="234F1862"/>
    <w:rsid w:val="235511EA"/>
    <w:rsid w:val="235D02F2"/>
    <w:rsid w:val="23614F48"/>
    <w:rsid w:val="23690609"/>
    <w:rsid w:val="237A3E4E"/>
    <w:rsid w:val="237E1230"/>
    <w:rsid w:val="238A29AB"/>
    <w:rsid w:val="238F40D9"/>
    <w:rsid w:val="23933508"/>
    <w:rsid w:val="239504D4"/>
    <w:rsid w:val="23950A3C"/>
    <w:rsid w:val="239A2125"/>
    <w:rsid w:val="239B5FC0"/>
    <w:rsid w:val="23A92C60"/>
    <w:rsid w:val="23AA0F3C"/>
    <w:rsid w:val="23B03FD9"/>
    <w:rsid w:val="23B714CC"/>
    <w:rsid w:val="23BA7F5A"/>
    <w:rsid w:val="23C13739"/>
    <w:rsid w:val="23CE2F9E"/>
    <w:rsid w:val="23DD1433"/>
    <w:rsid w:val="23E11DA2"/>
    <w:rsid w:val="23E235B0"/>
    <w:rsid w:val="23E66539"/>
    <w:rsid w:val="23F23130"/>
    <w:rsid w:val="23FF75FB"/>
    <w:rsid w:val="24044813"/>
    <w:rsid w:val="2423778D"/>
    <w:rsid w:val="242474A7"/>
    <w:rsid w:val="2428389C"/>
    <w:rsid w:val="2439617A"/>
    <w:rsid w:val="244520C9"/>
    <w:rsid w:val="245005B3"/>
    <w:rsid w:val="2455546D"/>
    <w:rsid w:val="245F0DC4"/>
    <w:rsid w:val="24661A7D"/>
    <w:rsid w:val="246C280E"/>
    <w:rsid w:val="247104F9"/>
    <w:rsid w:val="24734E74"/>
    <w:rsid w:val="24753BB1"/>
    <w:rsid w:val="24940315"/>
    <w:rsid w:val="249511E4"/>
    <w:rsid w:val="249604BE"/>
    <w:rsid w:val="24A31E88"/>
    <w:rsid w:val="24C504EE"/>
    <w:rsid w:val="24C76B9D"/>
    <w:rsid w:val="24CE37C5"/>
    <w:rsid w:val="24D14521"/>
    <w:rsid w:val="24D80578"/>
    <w:rsid w:val="24E164AF"/>
    <w:rsid w:val="24E37825"/>
    <w:rsid w:val="24E41B08"/>
    <w:rsid w:val="24E65466"/>
    <w:rsid w:val="24E944A8"/>
    <w:rsid w:val="24ED56A6"/>
    <w:rsid w:val="24F61130"/>
    <w:rsid w:val="24F96CA5"/>
    <w:rsid w:val="24FC5064"/>
    <w:rsid w:val="250B6C88"/>
    <w:rsid w:val="250D16FB"/>
    <w:rsid w:val="25207316"/>
    <w:rsid w:val="25207829"/>
    <w:rsid w:val="252348FA"/>
    <w:rsid w:val="252437BD"/>
    <w:rsid w:val="25280D33"/>
    <w:rsid w:val="252A5017"/>
    <w:rsid w:val="25373204"/>
    <w:rsid w:val="253A1C68"/>
    <w:rsid w:val="253C7281"/>
    <w:rsid w:val="25564658"/>
    <w:rsid w:val="25585215"/>
    <w:rsid w:val="255A4BBE"/>
    <w:rsid w:val="255D101D"/>
    <w:rsid w:val="25603917"/>
    <w:rsid w:val="25627611"/>
    <w:rsid w:val="25636FED"/>
    <w:rsid w:val="25645A54"/>
    <w:rsid w:val="25772EBB"/>
    <w:rsid w:val="25832019"/>
    <w:rsid w:val="258C59D8"/>
    <w:rsid w:val="259331FE"/>
    <w:rsid w:val="25957FF8"/>
    <w:rsid w:val="259B0AB8"/>
    <w:rsid w:val="259D545F"/>
    <w:rsid w:val="25A149AC"/>
    <w:rsid w:val="25AF3F32"/>
    <w:rsid w:val="25B14925"/>
    <w:rsid w:val="25B22A3B"/>
    <w:rsid w:val="25BA2D11"/>
    <w:rsid w:val="25C206E3"/>
    <w:rsid w:val="25C654B7"/>
    <w:rsid w:val="25D0124F"/>
    <w:rsid w:val="25D26FA5"/>
    <w:rsid w:val="25D97596"/>
    <w:rsid w:val="25E37902"/>
    <w:rsid w:val="25F044F9"/>
    <w:rsid w:val="25F74971"/>
    <w:rsid w:val="26040109"/>
    <w:rsid w:val="26061962"/>
    <w:rsid w:val="260F672F"/>
    <w:rsid w:val="26175540"/>
    <w:rsid w:val="261849A4"/>
    <w:rsid w:val="262C56B0"/>
    <w:rsid w:val="262F1527"/>
    <w:rsid w:val="263D0137"/>
    <w:rsid w:val="2642755C"/>
    <w:rsid w:val="264436A6"/>
    <w:rsid w:val="264E03C6"/>
    <w:rsid w:val="26507D69"/>
    <w:rsid w:val="26526108"/>
    <w:rsid w:val="26590788"/>
    <w:rsid w:val="265D1B10"/>
    <w:rsid w:val="26640280"/>
    <w:rsid w:val="266D04E0"/>
    <w:rsid w:val="267D0DD4"/>
    <w:rsid w:val="268A18BB"/>
    <w:rsid w:val="26900E65"/>
    <w:rsid w:val="269308F5"/>
    <w:rsid w:val="269B5762"/>
    <w:rsid w:val="26A0140A"/>
    <w:rsid w:val="26A4480F"/>
    <w:rsid w:val="26AB027E"/>
    <w:rsid w:val="26B47D7B"/>
    <w:rsid w:val="26B942D9"/>
    <w:rsid w:val="26BD3478"/>
    <w:rsid w:val="26CB5BEC"/>
    <w:rsid w:val="26D17EE9"/>
    <w:rsid w:val="26D26B3A"/>
    <w:rsid w:val="26DB5397"/>
    <w:rsid w:val="26E70819"/>
    <w:rsid w:val="26EC030B"/>
    <w:rsid w:val="26ED2085"/>
    <w:rsid w:val="26F614FF"/>
    <w:rsid w:val="26FC7E22"/>
    <w:rsid w:val="27085698"/>
    <w:rsid w:val="2722517B"/>
    <w:rsid w:val="2726309C"/>
    <w:rsid w:val="27325E70"/>
    <w:rsid w:val="27326652"/>
    <w:rsid w:val="27341B93"/>
    <w:rsid w:val="27430D53"/>
    <w:rsid w:val="274E2D73"/>
    <w:rsid w:val="27537702"/>
    <w:rsid w:val="27644968"/>
    <w:rsid w:val="2771098E"/>
    <w:rsid w:val="27752950"/>
    <w:rsid w:val="27803467"/>
    <w:rsid w:val="278422F1"/>
    <w:rsid w:val="278B23EE"/>
    <w:rsid w:val="278E13C2"/>
    <w:rsid w:val="278F0C96"/>
    <w:rsid w:val="27942DC6"/>
    <w:rsid w:val="279938C3"/>
    <w:rsid w:val="279C7ABE"/>
    <w:rsid w:val="27A46AC2"/>
    <w:rsid w:val="27A70952"/>
    <w:rsid w:val="27B52D32"/>
    <w:rsid w:val="27BD0EA7"/>
    <w:rsid w:val="27BF5A1F"/>
    <w:rsid w:val="27BF77CD"/>
    <w:rsid w:val="27C22234"/>
    <w:rsid w:val="27D30046"/>
    <w:rsid w:val="27D4336A"/>
    <w:rsid w:val="27E9484A"/>
    <w:rsid w:val="27E96CD0"/>
    <w:rsid w:val="27EF6F7C"/>
    <w:rsid w:val="27F60128"/>
    <w:rsid w:val="27FA6A57"/>
    <w:rsid w:val="27FC4245"/>
    <w:rsid w:val="28052561"/>
    <w:rsid w:val="28081174"/>
    <w:rsid w:val="28100970"/>
    <w:rsid w:val="28130FC3"/>
    <w:rsid w:val="28164F13"/>
    <w:rsid w:val="28180C8B"/>
    <w:rsid w:val="28185CCE"/>
    <w:rsid w:val="281A2308"/>
    <w:rsid w:val="28242AFE"/>
    <w:rsid w:val="28245882"/>
    <w:rsid w:val="282D4DA2"/>
    <w:rsid w:val="28383DE0"/>
    <w:rsid w:val="284763CA"/>
    <w:rsid w:val="28497097"/>
    <w:rsid w:val="284B72B3"/>
    <w:rsid w:val="284C1CF1"/>
    <w:rsid w:val="285259C3"/>
    <w:rsid w:val="286F0F65"/>
    <w:rsid w:val="28810C2F"/>
    <w:rsid w:val="28832153"/>
    <w:rsid w:val="288C402F"/>
    <w:rsid w:val="288F3C5D"/>
    <w:rsid w:val="289724F8"/>
    <w:rsid w:val="28A86D3D"/>
    <w:rsid w:val="28AB6575"/>
    <w:rsid w:val="28AF56E0"/>
    <w:rsid w:val="28BF2E88"/>
    <w:rsid w:val="28C50D1F"/>
    <w:rsid w:val="28CA5CB4"/>
    <w:rsid w:val="28E22AAD"/>
    <w:rsid w:val="28E868B0"/>
    <w:rsid w:val="28F364BD"/>
    <w:rsid w:val="28F60FCD"/>
    <w:rsid w:val="29034D8E"/>
    <w:rsid w:val="290D640A"/>
    <w:rsid w:val="291560D2"/>
    <w:rsid w:val="291A4C7E"/>
    <w:rsid w:val="291F0427"/>
    <w:rsid w:val="29211DC2"/>
    <w:rsid w:val="29293C6D"/>
    <w:rsid w:val="29336A3F"/>
    <w:rsid w:val="29356CDE"/>
    <w:rsid w:val="293715E5"/>
    <w:rsid w:val="293C79A7"/>
    <w:rsid w:val="293E56B3"/>
    <w:rsid w:val="29424212"/>
    <w:rsid w:val="29454D6E"/>
    <w:rsid w:val="294855A0"/>
    <w:rsid w:val="294A57BC"/>
    <w:rsid w:val="294F4DA4"/>
    <w:rsid w:val="295449EC"/>
    <w:rsid w:val="29554FB8"/>
    <w:rsid w:val="295D23DB"/>
    <w:rsid w:val="296228C4"/>
    <w:rsid w:val="29626662"/>
    <w:rsid w:val="296A5517"/>
    <w:rsid w:val="297172A8"/>
    <w:rsid w:val="2983564B"/>
    <w:rsid w:val="2986365A"/>
    <w:rsid w:val="298F2D60"/>
    <w:rsid w:val="29B86D07"/>
    <w:rsid w:val="29BE52CE"/>
    <w:rsid w:val="29CE5AA6"/>
    <w:rsid w:val="29DB2E13"/>
    <w:rsid w:val="29DB795F"/>
    <w:rsid w:val="29EA4B44"/>
    <w:rsid w:val="29F43C64"/>
    <w:rsid w:val="29FA25C8"/>
    <w:rsid w:val="29FC032F"/>
    <w:rsid w:val="29FD19B7"/>
    <w:rsid w:val="2A03307B"/>
    <w:rsid w:val="2A0D142F"/>
    <w:rsid w:val="2A0E5BA5"/>
    <w:rsid w:val="2A112438"/>
    <w:rsid w:val="2A121ADD"/>
    <w:rsid w:val="2A1808B1"/>
    <w:rsid w:val="2A1C72FC"/>
    <w:rsid w:val="2A1D07DB"/>
    <w:rsid w:val="2A363D92"/>
    <w:rsid w:val="2A3A1248"/>
    <w:rsid w:val="2A3B23D3"/>
    <w:rsid w:val="2A463A27"/>
    <w:rsid w:val="2A6021EF"/>
    <w:rsid w:val="2A6A0AB6"/>
    <w:rsid w:val="2A783C63"/>
    <w:rsid w:val="2A790BAB"/>
    <w:rsid w:val="2A7A22B0"/>
    <w:rsid w:val="2A7A288C"/>
    <w:rsid w:val="2A7A5040"/>
    <w:rsid w:val="2A7F5588"/>
    <w:rsid w:val="2A823FDD"/>
    <w:rsid w:val="2A871EF8"/>
    <w:rsid w:val="2A900B3D"/>
    <w:rsid w:val="2A94612D"/>
    <w:rsid w:val="2A99095C"/>
    <w:rsid w:val="2A9C5B40"/>
    <w:rsid w:val="2AA400F4"/>
    <w:rsid w:val="2AAC54BB"/>
    <w:rsid w:val="2AAD6003"/>
    <w:rsid w:val="2AB57FF9"/>
    <w:rsid w:val="2ABA24CE"/>
    <w:rsid w:val="2ABA6371"/>
    <w:rsid w:val="2ABF7AE4"/>
    <w:rsid w:val="2AC329D5"/>
    <w:rsid w:val="2AC771F9"/>
    <w:rsid w:val="2ACC28DA"/>
    <w:rsid w:val="2AE11D66"/>
    <w:rsid w:val="2AEB102F"/>
    <w:rsid w:val="2AFA470A"/>
    <w:rsid w:val="2AFD6C12"/>
    <w:rsid w:val="2B0678E1"/>
    <w:rsid w:val="2B081E52"/>
    <w:rsid w:val="2B0C20F7"/>
    <w:rsid w:val="2B0F5533"/>
    <w:rsid w:val="2B1A03EA"/>
    <w:rsid w:val="2B1B65B9"/>
    <w:rsid w:val="2B2706A2"/>
    <w:rsid w:val="2B28252F"/>
    <w:rsid w:val="2B2D2106"/>
    <w:rsid w:val="2B461FAE"/>
    <w:rsid w:val="2B4D31F0"/>
    <w:rsid w:val="2B4F0637"/>
    <w:rsid w:val="2B4F71D5"/>
    <w:rsid w:val="2B527EE3"/>
    <w:rsid w:val="2B580D2F"/>
    <w:rsid w:val="2B5E1A74"/>
    <w:rsid w:val="2B667187"/>
    <w:rsid w:val="2B6C7C6C"/>
    <w:rsid w:val="2B736F2B"/>
    <w:rsid w:val="2B7D4228"/>
    <w:rsid w:val="2B7D7783"/>
    <w:rsid w:val="2B8B70C4"/>
    <w:rsid w:val="2B9576E2"/>
    <w:rsid w:val="2B9A4D5A"/>
    <w:rsid w:val="2B9D6077"/>
    <w:rsid w:val="2B9F55DB"/>
    <w:rsid w:val="2BA41CAA"/>
    <w:rsid w:val="2BAA0794"/>
    <w:rsid w:val="2BB94533"/>
    <w:rsid w:val="2BBB53AD"/>
    <w:rsid w:val="2BBB639B"/>
    <w:rsid w:val="2BC01D66"/>
    <w:rsid w:val="2BC2082C"/>
    <w:rsid w:val="2BC36628"/>
    <w:rsid w:val="2BC5737C"/>
    <w:rsid w:val="2BCB2584"/>
    <w:rsid w:val="2BD25B6F"/>
    <w:rsid w:val="2BEC51D8"/>
    <w:rsid w:val="2BEC7EFA"/>
    <w:rsid w:val="2BEF1A87"/>
    <w:rsid w:val="2BEF7F55"/>
    <w:rsid w:val="2BF66BA9"/>
    <w:rsid w:val="2C0368C6"/>
    <w:rsid w:val="2C05500E"/>
    <w:rsid w:val="2C0D4506"/>
    <w:rsid w:val="2C1134D0"/>
    <w:rsid w:val="2C246940"/>
    <w:rsid w:val="2C290D81"/>
    <w:rsid w:val="2C2E78B5"/>
    <w:rsid w:val="2C3C1EC1"/>
    <w:rsid w:val="2C42462B"/>
    <w:rsid w:val="2C531232"/>
    <w:rsid w:val="2C5B41CA"/>
    <w:rsid w:val="2C5E0D2F"/>
    <w:rsid w:val="2C5F361A"/>
    <w:rsid w:val="2C6A3498"/>
    <w:rsid w:val="2C8A6306"/>
    <w:rsid w:val="2C8B76DA"/>
    <w:rsid w:val="2C8F068C"/>
    <w:rsid w:val="2CA045D1"/>
    <w:rsid w:val="2CA423D8"/>
    <w:rsid w:val="2CA96082"/>
    <w:rsid w:val="2CB719CB"/>
    <w:rsid w:val="2CB85977"/>
    <w:rsid w:val="2CB949B4"/>
    <w:rsid w:val="2CBB5644"/>
    <w:rsid w:val="2CC44205"/>
    <w:rsid w:val="2CC905A9"/>
    <w:rsid w:val="2CCF5DDE"/>
    <w:rsid w:val="2CD56F32"/>
    <w:rsid w:val="2CDB0944"/>
    <w:rsid w:val="2CE27267"/>
    <w:rsid w:val="2CE74D39"/>
    <w:rsid w:val="2CE8150A"/>
    <w:rsid w:val="2D016444"/>
    <w:rsid w:val="2D085772"/>
    <w:rsid w:val="2D0B00A7"/>
    <w:rsid w:val="2D12077C"/>
    <w:rsid w:val="2D1A1408"/>
    <w:rsid w:val="2D21385E"/>
    <w:rsid w:val="2D270FD0"/>
    <w:rsid w:val="2D277EFB"/>
    <w:rsid w:val="2D2E11B0"/>
    <w:rsid w:val="2D31047C"/>
    <w:rsid w:val="2D3178DC"/>
    <w:rsid w:val="2D324DB9"/>
    <w:rsid w:val="2D4D2C4B"/>
    <w:rsid w:val="2D4E3F0C"/>
    <w:rsid w:val="2D5664DE"/>
    <w:rsid w:val="2D646B9E"/>
    <w:rsid w:val="2D6706EB"/>
    <w:rsid w:val="2D6C5D01"/>
    <w:rsid w:val="2D6D1127"/>
    <w:rsid w:val="2D700E9E"/>
    <w:rsid w:val="2D7D7F0E"/>
    <w:rsid w:val="2D80355B"/>
    <w:rsid w:val="2D825B35"/>
    <w:rsid w:val="2D9139BA"/>
    <w:rsid w:val="2D976683"/>
    <w:rsid w:val="2DA01E4F"/>
    <w:rsid w:val="2DA27975"/>
    <w:rsid w:val="2DA57465"/>
    <w:rsid w:val="2DAA4A7C"/>
    <w:rsid w:val="2DB27C81"/>
    <w:rsid w:val="2DB74C8F"/>
    <w:rsid w:val="2DCB05F1"/>
    <w:rsid w:val="2DE35338"/>
    <w:rsid w:val="2E11076A"/>
    <w:rsid w:val="2E132BF2"/>
    <w:rsid w:val="2E150147"/>
    <w:rsid w:val="2E161683"/>
    <w:rsid w:val="2E194F3D"/>
    <w:rsid w:val="2E344345"/>
    <w:rsid w:val="2E3B3926"/>
    <w:rsid w:val="2E3B56D4"/>
    <w:rsid w:val="2E3E0198"/>
    <w:rsid w:val="2E3F0BEE"/>
    <w:rsid w:val="2E4F0821"/>
    <w:rsid w:val="2E5015EC"/>
    <w:rsid w:val="2E521413"/>
    <w:rsid w:val="2E560939"/>
    <w:rsid w:val="2E5A7CD6"/>
    <w:rsid w:val="2E5E648E"/>
    <w:rsid w:val="2E6A61A2"/>
    <w:rsid w:val="2E6E5AA9"/>
    <w:rsid w:val="2E743409"/>
    <w:rsid w:val="2E790DE1"/>
    <w:rsid w:val="2E7B7EC9"/>
    <w:rsid w:val="2E7C01C6"/>
    <w:rsid w:val="2E9136EE"/>
    <w:rsid w:val="2EA8720D"/>
    <w:rsid w:val="2EBF3113"/>
    <w:rsid w:val="2EC42A1F"/>
    <w:rsid w:val="2EC56BE5"/>
    <w:rsid w:val="2EC73785"/>
    <w:rsid w:val="2EDA4EED"/>
    <w:rsid w:val="2EF00893"/>
    <w:rsid w:val="2EFF3E52"/>
    <w:rsid w:val="2F08433B"/>
    <w:rsid w:val="2F136646"/>
    <w:rsid w:val="2F1A5A56"/>
    <w:rsid w:val="2F1F371B"/>
    <w:rsid w:val="2F261EE0"/>
    <w:rsid w:val="2F2F22BD"/>
    <w:rsid w:val="2F3557ED"/>
    <w:rsid w:val="2F363704"/>
    <w:rsid w:val="2F39477D"/>
    <w:rsid w:val="2F3D14B0"/>
    <w:rsid w:val="2F4131BE"/>
    <w:rsid w:val="2F546A4D"/>
    <w:rsid w:val="2F5762E2"/>
    <w:rsid w:val="2F61762B"/>
    <w:rsid w:val="2F723377"/>
    <w:rsid w:val="2F793F6A"/>
    <w:rsid w:val="2F847853"/>
    <w:rsid w:val="2F866E22"/>
    <w:rsid w:val="2F8F3F29"/>
    <w:rsid w:val="2F962068"/>
    <w:rsid w:val="2F972DDE"/>
    <w:rsid w:val="2F9E3716"/>
    <w:rsid w:val="2F9E5E02"/>
    <w:rsid w:val="2FA12592"/>
    <w:rsid w:val="2FA92ACB"/>
    <w:rsid w:val="2FB27C17"/>
    <w:rsid w:val="2FC12E0D"/>
    <w:rsid w:val="2FC32224"/>
    <w:rsid w:val="2FCB1ED7"/>
    <w:rsid w:val="2FD3657A"/>
    <w:rsid w:val="2FDB474A"/>
    <w:rsid w:val="2FDD2E8E"/>
    <w:rsid w:val="2FDE3125"/>
    <w:rsid w:val="2FEC0550"/>
    <w:rsid w:val="2FED2320"/>
    <w:rsid w:val="2FF260EA"/>
    <w:rsid w:val="2FF3094F"/>
    <w:rsid w:val="2FFD0C0E"/>
    <w:rsid w:val="300D20E3"/>
    <w:rsid w:val="300D36B9"/>
    <w:rsid w:val="301B2328"/>
    <w:rsid w:val="30225849"/>
    <w:rsid w:val="302A5A00"/>
    <w:rsid w:val="30322E5C"/>
    <w:rsid w:val="30396D27"/>
    <w:rsid w:val="3044003E"/>
    <w:rsid w:val="30446AC1"/>
    <w:rsid w:val="30505F70"/>
    <w:rsid w:val="305703F6"/>
    <w:rsid w:val="30645CFC"/>
    <w:rsid w:val="30665E9F"/>
    <w:rsid w:val="306C7EFE"/>
    <w:rsid w:val="30806AFC"/>
    <w:rsid w:val="3091782D"/>
    <w:rsid w:val="3092535C"/>
    <w:rsid w:val="30A57B99"/>
    <w:rsid w:val="30B97331"/>
    <w:rsid w:val="30BA6D63"/>
    <w:rsid w:val="30C10112"/>
    <w:rsid w:val="30C23A3B"/>
    <w:rsid w:val="30C62E41"/>
    <w:rsid w:val="30CB263C"/>
    <w:rsid w:val="30CC18B7"/>
    <w:rsid w:val="30F5319F"/>
    <w:rsid w:val="310821E5"/>
    <w:rsid w:val="310C35ED"/>
    <w:rsid w:val="310D031B"/>
    <w:rsid w:val="31136BFE"/>
    <w:rsid w:val="31186793"/>
    <w:rsid w:val="311E37B6"/>
    <w:rsid w:val="312132A7"/>
    <w:rsid w:val="31336B36"/>
    <w:rsid w:val="313B3958"/>
    <w:rsid w:val="313E5402"/>
    <w:rsid w:val="31496258"/>
    <w:rsid w:val="314B0B14"/>
    <w:rsid w:val="31594B69"/>
    <w:rsid w:val="315B0515"/>
    <w:rsid w:val="31607AF5"/>
    <w:rsid w:val="31660CB9"/>
    <w:rsid w:val="316B6CEE"/>
    <w:rsid w:val="3173799B"/>
    <w:rsid w:val="317409D9"/>
    <w:rsid w:val="31780A67"/>
    <w:rsid w:val="31821D30"/>
    <w:rsid w:val="31881438"/>
    <w:rsid w:val="318C3787"/>
    <w:rsid w:val="31913A69"/>
    <w:rsid w:val="31922F44"/>
    <w:rsid w:val="319B3CAA"/>
    <w:rsid w:val="31AA0A84"/>
    <w:rsid w:val="31B36D87"/>
    <w:rsid w:val="31C10CC5"/>
    <w:rsid w:val="31C53C32"/>
    <w:rsid w:val="31C70022"/>
    <w:rsid w:val="31CE06FD"/>
    <w:rsid w:val="31D04385"/>
    <w:rsid w:val="31DA7CEA"/>
    <w:rsid w:val="31E51FB7"/>
    <w:rsid w:val="31ED3136"/>
    <w:rsid w:val="31FD406A"/>
    <w:rsid w:val="31FE0EF2"/>
    <w:rsid w:val="31FE2FC8"/>
    <w:rsid w:val="32066C5B"/>
    <w:rsid w:val="321A5DCA"/>
    <w:rsid w:val="323B5CA2"/>
    <w:rsid w:val="324276A3"/>
    <w:rsid w:val="32440A8B"/>
    <w:rsid w:val="324639D0"/>
    <w:rsid w:val="324D77D1"/>
    <w:rsid w:val="325719E8"/>
    <w:rsid w:val="326170B4"/>
    <w:rsid w:val="3264531C"/>
    <w:rsid w:val="32665466"/>
    <w:rsid w:val="326B38EB"/>
    <w:rsid w:val="32830ACC"/>
    <w:rsid w:val="32892A4B"/>
    <w:rsid w:val="32AF0842"/>
    <w:rsid w:val="32B04854"/>
    <w:rsid w:val="32B51EF8"/>
    <w:rsid w:val="32B736BD"/>
    <w:rsid w:val="32B865A2"/>
    <w:rsid w:val="32C526D6"/>
    <w:rsid w:val="32C739DA"/>
    <w:rsid w:val="32D817FB"/>
    <w:rsid w:val="32DC3E61"/>
    <w:rsid w:val="32E75208"/>
    <w:rsid w:val="32E97DF4"/>
    <w:rsid w:val="32FE6CC1"/>
    <w:rsid w:val="33082597"/>
    <w:rsid w:val="330E2F53"/>
    <w:rsid w:val="330F4321"/>
    <w:rsid w:val="3317426F"/>
    <w:rsid w:val="3317670F"/>
    <w:rsid w:val="331F2416"/>
    <w:rsid w:val="33291ECF"/>
    <w:rsid w:val="33323549"/>
    <w:rsid w:val="33435FD9"/>
    <w:rsid w:val="3345063A"/>
    <w:rsid w:val="33501C21"/>
    <w:rsid w:val="335121B9"/>
    <w:rsid w:val="33596D28"/>
    <w:rsid w:val="336E4DB0"/>
    <w:rsid w:val="33714640"/>
    <w:rsid w:val="337829B0"/>
    <w:rsid w:val="337A0742"/>
    <w:rsid w:val="337C0BAD"/>
    <w:rsid w:val="33835519"/>
    <w:rsid w:val="338E25CB"/>
    <w:rsid w:val="3390353C"/>
    <w:rsid w:val="33923816"/>
    <w:rsid w:val="33947D60"/>
    <w:rsid w:val="33960E31"/>
    <w:rsid w:val="339766EC"/>
    <w:rsid w:val="33A13F7B"/>
    <w:rsid w:val="33A8589B"/>
    <w:rsid w:val="33B95F01"/>
    <w:rsid w:val="33C07D0A"/>
    <w:rsid w:val="33E170B6"/>
    <w:rsid w:val="33E476E2"/>
    <w:rsid w:val="33E93BB1"/>
    <w:rsid w:val="33F75282"/>
    <w:rsid w:val="33FB6405"/>
    <w:rsid w:val="340101EB"/>
    <w:rsid w:val="3402383D"/>
    <w:rsid w:val="34076784"/>
    <w:rsid w:val="340A53E6"/>
    <w:rsid w:val="34100227"/>
    <w:rsid w:val="34110143"/>
    <w:rsid w:val="341B4C51"/>
    <w:rsid w:val="34270BD4"/>
    <w:rsid w:val="342B7310"/>
    <w:rsid w:val="342F343D"/>
    <w:rsid w:val="343011E9"/>
    <w:rsid w:val="34352F7A"/>
    <w:rsid w:val="34413BB3"/>
    <w:rsid w:val="34517714"/>
    <w:rsid w:val="345F74B2"/>
    <w:rsid w:val="34634E66"/>
    <w:rsid w:val="346E1392"/>
    <w:rsid w:val="347362F2"/>
    <w:rsid w:val="34784F8C"/>
    <w:rsid w:val="34831B82"/>
    <w:rsid w:val="348342CA"/>
    <w:rsid w:val="34880F47"/>
    <w:rsid w:val="348A1DB8"/>
    <w:rsid w:val="34980D1E"/>
    <w:rsid w:val="34A25951"/>
    <w:rsid w:val="34AE72C0"/>
    <w:rsid w:val="34B033E7"/>
    <w:rsid w:val="34BD350C"/>
    <w:rsid w:val="34BF74EA"/>
    <w:rsid w:val="34C22E54"/>
    <w:rsid w:val="34C93A39"/>
    <w:rsid w:val="34D766B0"/>
    <w:rsid w:val="34DB19BE"/>
    <w:rsid w:val="34DB2B4D"/>
    <w:rsid w:val="34E16316"/>
    <w:rsid w:val="34E467C1"/>
    <w:rsid w:val="34E66EBD"/>
    <w:rsid w:val="34E75F12"/>
    <w:rsid w:val="34F32500"/>
    <w:rsid w:val="34F338FE"/>
    <w:rsid w:val="34FA0097"/>
    <w:rsid w:val="34FE39F8"/>
    <w:rsid w:val="350A5CF4"/>
    <w:rsid w:val="351729F7"/>
    <w:rsid w:val="351F2F82"/>
    <w:rsid w:val="3535293E"/>
    <w:rsid w:val="3536502B"/>
    <w:rsid w:val="353665BD"/>
    <w:rsid w:val="35371562"/>
    <w:rsid w:val="354C4C22"/>
    <w:rsid w:val="355B65B2"/>
    <w:rsid w:val="355D4F81"/>
    <w:rsid w:val="356F2353"/>
    <w:rsid w:val="35705AE4"/>
    <w:rsid w:val="35824905"/>
    <w:rsid w:val="35843F72"/>
    <w:rsid w:val="35862A9A"/>
    <w:rsid w:val="35970273"/>
    <w:rsid w:val="35BC17F0"/>
    <w:rsid w:val="35C74E47"/>
    <w:rsid w:val="35DA09C0"/>
    <w:rsid w:val="35E24DF5"/>
    <w:rsid w:val="35FC0320"/>
    <w:rsid w:val="35FC78A0"/>
    <w:rsid w:val="35FF3C90"/>
    <w:rsid w:val="35FF463C"/>
    <w:rsid w:val="3606454A"/>
    <w:rsid w:val="360C62D3"/>
    <w:rsid w:val="360C6E10"/>
    <w:rsid w:val="360D4DD7"/>
    <w:rsid w:val="361124A4"/>
    <w:rsid w:val="36132896"/>
    <w:rsid w:val="36203B2D"/>
    <w:rsid w:val="362376E7"/>
    <w:rsid w:val="36251E52"/>
    <w:rsid w:val="3627310D"/>
    <w:rsid w:val="3633222C"/>
    <w:rsid w:val="363407F7"/>
    <w:rsid w:val="3638445C"/>
    <w:rsid w:val="36434D26"/>
    <w:rsid w:val="36470DE8"/>
    <w:rsid w:val="364D39D1"/>
    <w:rsid w:val="36513CE6"/>
    <w:rsid w:val="365612E8"/>
    <w:rsid w:val="366513C8"/>
    <w:rsid w:val="3686608C"/>
    <w:rsid w:val="368E7A3C"/>
    <w:rsid w:val="368F0CB2"/>
    <w:rsid w:val="36A65F5F"/>
    <w:rsid w:val="36AD62EF"/>
    <w:rsid w:val="36B4674F"/>
    <w:rsid w:val="36C04CF9"/>
    <w:rsid w:val="36CA1F25"/>
    <w:rsid w:val="36DB260C"/>
    <w:rsid w:val="36DE0951"/>
    <w:rsid w:val="36F210B1"/>
    <w:rsid w:val="36F901E6"/>
    <w:rsid w:val="37007AC7"/>
    <w:rsid w:val="37113475"/>
    <w:rsid w:val="37133063"/>
    <w:rsid w:val="37152F66"/>
    <w:rsid w:val="371722E2"/>
    <w:rsid w:val="371D335B"/>
    <w:rsid w:val="371F6EDC"/>
    <w:rsid w:val="372A09FA"/>
    <w:rsid w:val="37330115"/>
    <w:rsid w:val="373529C0"/>
    <w:rsid w:val="374101FF"/>
    <w:rsid w:val="37537F32"/>
    <w:rsid w:val="375A3819"/>
    <w:rsid w:val="375A58F4"/>
    <w:rsid w:val="375F2D0C"/>
    <w:rsid w:val="376B4FBE"/>
    <w:rsid w:val="37807A1C"/>
    <w:rsid w:val="378974B0"/>
    <w:rsid w:val="378E3BE4"/>
    <w:rsid w:val="379837CA"/>
    <w:rsid w:val="37994C24"/>
    <w:rsid w:val="37A273E4"/>
    <w:rsid w:val="37A4695E"/>
    <w:rsid w:val="37AA79A3"/>
    <w:rsid w:val="37B253AC"/>
    <w:rsid w:val="37B73B33"/>
    <w:rsid w:val="37B75F51"/>
    <w:rsid w:val="37C87091"/>
    <w:rsid w:val="37CD3F9D"/>
    <w:rsid w:val="37D42B5B"/>
    <w:rsid w:val="37E8004A"/>
    <w:rsid w:val="37F048A0"/>
    <w:rsid w:val="37F27E10"/>
    <w:rsid w:val="380A6843"/>
    <w:rsid w:val="382932C1"/>
    <w:rsid w:val="382A51FA"/>
    <w:rsid w:val="382F4B08"/>
    <w:rsid w:val="38312A30"/>
    <w:rsid w:val="38523D46"/>
    <w:rsid w:val="385C2977"/>
    <w:rsid w:val="385E6AEF"/>
    <w:rsid w:val="386D5023"/>
    <w:rsid w:val="38975BFC"/>
    <w:rsid w:val="38995E18"/>
    <w:rsid w:val="38A00A0E"/>
    <w:rsid w:val="38A172FA"/>
    <w:rsid w:val="38A23923"/>
    <w:rsid w:val="38B10FD3"/>
    <w:rsid w:val="38B12660"/>
    <w:rsid w:val="38B92017"/>
    <w:rsid w:val="38DC7DB9"/>
    <w:rsid w:val="38DE2E10"/>
    <w:rsid w:val="38E12A24"/>
    <w:rsid w:val="38E52E0C"/>
    <w:rsid w:val="38E7522B"/>
    <w:rsid w:val="38EC5F48"/>
    <w:rsid w:val="38F172EC"/>
    <w:rsid w:val="38FA46B4"/>
    <w:rsid w:val="390C7C27"/>
    <w:rsid w:val="390D588D"/>
    <w:rsid w:val="39112852"/>
    <w:rsid w:val="39186D3D"/>
    <w:rsid w:val="391F5244"/>
    <w:rsid w:val="39225CE4"/>
    <w:rsid w:val="392635CF"/>
    <w:rsid w:val="392876F4"/>
    <w:rsid w:val="392A377B"/>
    <w:rsid w:val="393120C7"/>
    <w:rsid w:val="39331DC9"/>
    <w:rsid w:val="393E362D"/>
    <w:rsid w:val="39534219"/>
    <w:rsid w:val="3954329D"/>
    <w:rsid w:val="39551744"/>
    <w:rsid w:val="395E6FAD"/>
    <w:rsid w:val="396252C6"/>
    <w:rsid w:val="3967248F"/>
    <w:rsid w:val="39673BFA"/>
    <w:rsid w:val="396D0C84"/>
    <w:rsid w:val="396D6ECE"/>
    <w:rsid w:val="3971644D"/>
    <w:rsid w:val="397244C0"/>
    <w:rsid w:val="3974410E"/>
    <w:rsid w:val="39773AA5"/>
    <w:rsid w:val="397F27D6"/>
    <w:rsid w:val="39900FC9"/>
    <w:rsid w:val="3990461B"/>
    <w:rsid w:val="39916571"/>
    <w:rsid w:val="39972358"/>
    <w:rsid w:val="39980102"/>
    <w:rsid w:val="399A1E48"/>
    <w:rsid w:val="39AC0EFC"/>
    <w:rsid w:val="39AE1A04"/>
    <w:rsid w:val="39B527DE"/>
    <w:rsid w:val="39B7679D"/>
    <w:rsid w:val="39C550B5"/>
    <w:rsid w:val="39DC14C7"/>
    <w:rsid w:val="39DC32CF"/>
    <w:rsid w:val="39DC5B33"/>
    <w:rsid w:val="39EF3377"/>
    <w:rsid w:val="39F63CA8"/>
    <w:rsid w:val="39F85C7D"/>
    <w:rsid w:val="39FF7EFD"/>
    <w:rsid w:val="3A0C76D7"/>
    <w:rsid w:val="3A1E479F"/>
    <w:rsid w:val="3A204AEC"/>
    <w:rsid w:val="3A2200E6"/>
    <w:rsid w:val="3A2843A8"/>
    <w:rsid w:val="3A2D4580"/>
    <w:rsid w:val="3A2F07E2"/>
    <w:rsid w:val="3A3E0D77"/>
    <w:rsid w:val="3A40644A"/>
    <w:rsid w:val="3A441C9D"/>
    <w:rsid w:val="3A4E34CE"/>
    <w:rsid w:val="3A504D64"/>
    <w:rsid w:val="3A5610C1"/>
    <w:rsid w:val="3A6234A0"/>
    <w:rsid w:val="3A627DF4"/>
    <w:rsid w:val="3A791CD8"/>
    <w:rsid w:val="3A7A59B6"/>
    <w:rsid w:val="3A83258B"/>
    <w:rsid w:val="3A914FF9"/>
    <w:rsid w:val="3A9611FB"/>
    <w:rsid w:val="3AB06356"/>
    <w:rsid w:val="3AB77E36"/>
    <w:rsid w:val="3AC20A9E"/>
    <w:rsid w:val="3AC7670A"/>
    <w:rsid w:val="3ACA5143"/>
    <w:rsid w:val="3ACC7E1E"/>
    <w:rsid w:val="3ADC43DB"/>
    <w:rsid w:val="3AE20C06"/>
    <w:rsid w:val="3AEB018A"/>
    <w:rsid w:val="3AEC66D3"/>
    <w:rsid w:val="3B047A2C"/>
    <w:rsid w:val="3B101F22"/>
    <w:rsid w:val="3B112C59"/>
    <w:rsid w:val="3B124C1B"/>
    <w:rsid w:val="3B144FE3"/>
    <w:rsid w:val="3B1479D8"/>
    <w:rsid w:val="3B1A183F"/>
    <w:rsid w:val="3B247C1B"/>
    <w:rsid w:val="3B263436"/>
    <w:rsid w:val="3B2A3136"/>
    <w:rsid w:val="3B2B31E1"/>
    <w:rsid w:val="3B375496"/>
    <w:rsid w:val="3B3B31B7"/>
    <w:rsid w:val="3B43293D"/>
    <w:rsid w:val="3B44115B"/>
    <w:rsid w:val="3B532EF7"/>
    <w:rsid w:val="3B5B758E"/>
    <w:rsid w:val="3B5F7EA1"/>
    <w:rsid w:val="3B622EBC"/>
    <w:rsid w:val="3B691AD2"/>
    <w:rsid w:val="3B697A40"/>
    <w:rsid w:val="3B733F3E"/>
    <w:rsid w:val="3B7B6258"/>
    <w:rsid w:val="3B7C16F1"/>
    <w:rsid w:val="3B7D36E1"/>
    <w:rsid w:val="3B8A52AF"/>
    <w:rsid w:val="3B8A6A1F"/>
    <w:rsid w:val="3B8E1539"/>
    <w:rsid w:val="3B97118C"/>
    <w:rsid w:val="3B9B6F13"/>
    <w:rsid w:val="3BAE3267"/>
    <w:rsid w:val="3BC05AA5"/>
    <w:rsid w:val="3BC74A4B"/>
    <w:rsid w:val="3BCD738B"/>
    <w:rsid w:val="3BD3218F"/>
    <w:rsid w:val="3BE5760A"/>
    <w:rsid w:val="3BE95FBF"/>
    <w:rsid w:val="3BF736C7"/>
    <w:rsid w:val="3C0134AE"/>
    <w:rsid w:val="3C033CD5"/>
    <w:rsid w:val="3C0812EB"/>
    <w:rsid w:val="3C0C4260"/>
    <w:rsid w:val="3C0D7EBC"/>
    <w:rsid w:val="3C0F313B"/>
    <w:rsid w:val="3C193F39"/>
    <w:rsid w:val="3C2E6878"/>
    <w:rsid w:val="3C340332"/>
    <w:rsid w:val="3C35789E"/>
    <w:rsid w:val="3C3A17EA"/>
    <w:rsid w:val="3C3E6D60"/>
    <w:rsid w:val="3C4D4524"/>
    <w:rsid w:val="3C5639DE"/>
    <w:rsid w:val="3C571C05"/>
    <w:rsid w:val="3C64352B"/>
    <w:rsid w:val="3C672E2C"/>
    <w:rsid w:val="3C764FC0"/>
    <w:rsid w:val="3C8B7826"/>
    <w:rsid w:val="3C8D58BE"/>
    <w:rsid w:val="3C8E5FED"/>
    <w:rsid w:val="3C942323"/>
    <w:rsid w:val="3C943E83"/>
    <w:rsid w:val="3C9E20B1"/>
    <w:rsid w:val="3CA31014"/>
    <w:rsid w:val="3CB53A65"/>
    <w:rsid w:val="3CC05722"/>
    <w:rsid w:val="3CC102AC"/>
    <w:rsid w:val="3CD76CB4"/>
    <w:rsid w:val="3CDB50CB"/>
    <w:rsid w:val="3CE360F2"/>
    <w:rsid w:val="3CEA5162"/>
    <w:rsid w:val="3CEE5C15"/>
    <w:rsid w:val="3CF46F06"/>
    <w:rsid w:val="3CF5496B"/>
    <w:rsid w:val="3D0B4E51"/>
    <w:rsid w:val="3D115586"/>
    <w:rsid w:val="3D197739"/>
    <w:rsid w:val="3D296645"/>
    <w:rsid w:val="3D2B2775"/>
    <w:rsid w:val="3D3103CE"/>
    <w:rsid w:val="3D3130F3"/>
    <w:rsid w:val="3D3C4E22"/>
    <w:rsid w:val="3D422B64"/>
    <w:rsid w:val="3D477BF1"/>
    <w:rsid w:val="3D500385"/>
    <w:rsid w:val="3D59462B"/>
    <w:rsid w:val="3D5A44CB"/>
    <w:rsid w:val="3D5A54B8"/>
    <w:rsid w:val="3D6025AF"/>
    <w:rsid w:val="3D647CD4"/>
    <w:rsid w:val="3D6E33D0"/>
    <w:rsid w:val="3D7B49B3"/>
    <w:rsid w:val="3D84454D"/>
    <w:rsid w:val="3D8620EC"/>
    <w:rsid w:val="3D8D259B"/>
    <w:rsid w:val="3D8D2E74"/>
    <w:rsid w:val="3D940183"/>
    <w:rsid w:val="3D94569F"/>
    <w:rsid w:val="3DA1471C"/>
    <w:rsid w:val="3DAD4BED"/>
    <w:rsid w:val="3DAE1A1E"/>
    <w:rsid w:val="3DB328C2"/>
    <w:rsid w:val="3DC2604C"/>
    <w:rsid w:val="3DCC12F0"/>
    <w:rsid w:val="3DD46CC7"/>
    <w:rsid w:val="3DE41CDC"/>
    <w:rsid w:val="3DE85142"/>
    <w:rsid w:val="3DE90CA8"/>
    <w:rsid w:val="3DEB52FD"/>
    <w:rsid w:val="3DF12E5A"/>
    <w:rsid w:val="3E016AE6"/>
    <w:rsid w:val="3E0B05C2"/>
    <w:rsid w:val="3E187D1F"/>
    <w:rsid w:val="3E1C3525"/>
    <w:rsid w:val="3E200B4B"/>
    <w:rsid w:val="3E225DB0"/>
    <w:rsid w:val="3E33791B"/>
    <w:rsid w:val="3E3D069E"/>
    <w:rsid w:val="3E483582"/>
    <w:rsid w:val="3E5337D0"/>
    <w:rsid w:val="3E537DE4"/>
    <w:rsid w:val="3E554154"/>
    <w:rsid w:val="3E5F165E"/>
    <w:rsid w:val="3E6A28BE"/>
    <w:rsid w:val="3E86299B"/>
    <w:rsid w:val="3E8A2A4A"/>
    <w:rsid w:val="3E904009"/>
    <w:rsid w:val="3E996659"/>
    <w:rsid w:val="3E9E1FC0"/>
    <w:rsid w:val="3EA300A7"/>
    <w:rsid w:val="3EB93130"/>
    <w:rsid w:val="3EC3043C"/>
    <w:rsid w:val="3EC8242A"/>
    <w:rsid w:val="3EC82FB3"/>
    <w:rsid w:val="3EC8679C"/>
    <w:rsid w:val="3ECC3CBE"/>
    <w:rsid w:val="3ECE132F"/>
    <w:rsid w:val="3ED66E05"/>
    <w:rsid w:val="3ED9378A"/>
    <w:rsid w:val="3EE5288B"/>
    <w:rsid w:val="3EFD1DF1"/>
    <w:rsid w:val="3F027DD0"/>
    <w:rsid w:val="3F232D0D"/>
    <w:rsid w:val="3F257025"/>
    <w:rsid w:val="3F2763A2"/>
    <w:rsid w:val="3F293129"/>
    <w:rsid w:val="3F2E1337"/>
    <w:rsid w:val="3F2E2497"/>
    <w:rsid w:val="3F3303B1"/>
    <w:rsid w:val="3F4152FA"/>
    <w:rsid w:val="3F440641"/>
    <w:rsid w:val="3F4A339D"/>
    <w:rsid w:val="3F4A5777"/>
    <w:rsid w:val="3F553F1E"/>
    <w:rsid w:val="3F650802"/>
    <w:rsid w:val="3F66563F"/>
    <w:rsid w:val="3F6E7773"/>
    <w:rsid w:val="3F7F1757"/>
    <w:rsid w:val="3F8165CD"/>
    <w:rsid w:val="3F8E7BF9"/>
    <w:rsid w:val="3F9F1936"/>
    <w:rsid w:val="3FBF2FE8"/>
    <w:rsid w:val="3FCF3ECE"/>
    <w:rsid w:val="3FDE02D2"/>
    <w:rsid w:val="3FFB6A4F"/>
    <w:rsid w:val="40016981"/>
    <w:rsid w:val="4002562A"/>
    <w:rsid w:val="400D69C0"/>
    <w:rsid w:val="401E0B4D"/>
    <w:rsid w:val="401E1F88"/>
    <w:rsid w:val="40266EE6"/>
    <w:rsid w:val="40267F92"/>
    <w:rsid w:val="40275AB8"/>
    <w:rsid w:val="402D166A"/>
    <w:rsid w:val="403A2EC7"/>
    <w:rsid w:val="405A40DF"/>
    <w:rsid w:val="40653402"/>
    <w:rsid w:val="40654256"/>
    <w:rsid w:val="406E2D1C"/>
    <w:rsid w:val="40774C91"/>
    <w:rsid w:val="407A1956"/>
    <w:rsid w:val="407C3AE5"/>
    <w:rsid w:val="407F1C79"/>
    <w:rsid w:val="409171F4"/>
    <w:rsid w:val="40942BDE"/>
    <w:rsid w:val="409B660A"/>
    <w:rsid w:val="409C46F8"/>
    <w:rsid w:val="40A148E9"/>
    <w:rsid w:val="40A96AA7"/>
    <w:rsid w:val="40B04F11"/>
    <w:rsid w:val="40C27447"/>
    <w:rsid w:val="40CA627D"/>
    <w:rsid w:val="40D2308B"/>
    <w:rsid w:val="40D630BA"/>
    <w:rsid w:val="40D641E4"/>
    <w:rsid w:val="40DD7A15"/>
    <w:rsid w:val="41063FE9"/>
    <w:rsid w:val="41080CDA"/>
    <w:rsid w:val="411266A1"/>
    <w:rsid w:val="411E0B85"/>
    <w:rsid w:val="413362A7"/>
    <w:rsid w:val="414311A9"/>
    <w:rsid w:val="4149186F"/>
    <w:rsid w:val="415B010F"/>
    <w:rsid w:val="415E7F1E"/>
    <w:rsid w:val="416136C1"/>
    <w:rsid w:val="4163168B"/>
    <w:rsid w:val="41645CF3"/>
    <w:rsid w:val="41684FED"/>
    <w:rsid w:val="41705CAC"/>
    <w:rsid w:val="41751899"/>
    <w:rsid w:val="417852FE"/>
    <w:rsid w:val="41792489"/>
    <w:rsid w:val="417E7959"/>
    <w:rsid w:val="41833E46"/>
    <w:rsid w:val="41863A79"/>
    <w:rsid w:val="418718DD"/>
    <w:rsid w:val="418E755B"/>
    <w:rsid w:val="41975AE6"/>
    <w:rsid w:val="419A0534"/>
    <w:rsid w:val="419B5637"/>
    <w:rsid w:val="41A50C0C"/>
    <w:rsid w:val="41A7672E"/>
    <w:rsid w:val="41AB30BD"/>
    <w:rsid w:val="41C16449"/>
    <w:rsid w:val="41CB028C"/>
    <w:rsid w:val="41EA4FEF"/>
    <w:rsid w:val="41EC4267"/>
    <w:rsid w:val="41EE52C2"/>
    <w:rsid w:val="41FD4D22"/>
    <w:rsid w:val="42101E16"/>
    <w:rsid w:val="4212294F"/>
    <w:rsid w:val="421309EA"/>
    <w:rsid w:val="421337A1"/>
    <w:rsid w:val="421B33FA"/>
    <w:rsid w:val="422C1E62"/>
    <w:rsid w:val="422C3873"/>
    <w:rsid w:val="422E1456"/>
    <w:rsid w:val="422F2399"/>
    <w:rsid w:val="42310E70"/>
    <w:rsid w:val="4238215D"/>
    <w:rsid w:val="42387696"/>
    <w:rsid w:val="42472441"/>
    <w:rsid w:val="42490980"/>
    <w:rsid w:val="424A586D"/>
    <w:rsid w:val="42576B28"/>
    <w:rsid w:val="425A03C6"/>
    <w:rsid w:val="426254CD"/>
    <w:rsid w:val="426A072B"/>
    <w:rsid w:val="426E0E54"/>
    <w:rsid w:val="42746CC9"/>
    <w:rsid w:val="42782D0E"/>
    <w:rsid w:val="42794168"/>
    <w:rsid w:val="42812BEB"/>
    <w:rsid w:val="428D254A"/>
    <w:rsid w:val="42917131"/>
    <w:rsid w:val="429733C9"/>
    <w:rsid w:val="429F13E2"/>
    <w:rsid w:val="42AE6B72"/>
    <w:rsid w:val="42B07FE6"/>
    <w:rsid w:val="42B20202"/>
    <w:rsid w:val="42B368EE"/>
    <w:rsid w:val="42BE31F4"/>
    <w:rsid w:val="42BF4A33"/>
    <w:rsid w:val="42CA3CDB"/>
    <w:rsid w:val="42D85084"/>
    <w:rsid w:val="42DA1507"/>
    <w:rsid w:val="42E23496"/>
    <w:rsid w:val="42E43514"/>
    <w:rsid w:val="42E87A95"/>
    <w:rsid w:val="43011432"/>
    <w:rsid w:val="43127A8C"/>
    <w:rsid w:val="431567DE"/>
    <w:rsid w:val="431B24E0"/>
    <w:rsid w:val="431F46B8"/>
    <w:rsid w:val="432129E2"/>
    <w:rsid w:val="432B0A09"/>
    <w:rsid w:val="433A4C14"/>
    <w:rsid w:val="43441DEB"/>
    <w:rsid w:val="4345375F"/>
    <w:rsid w:val="43476B9D"/>
    <w:rsid w:val="4349122C"/>
    <w:rsid w:val="434B6E74"/>
    <w:rsid w:val="4357300A"/>
    <w:rsid w:val="43621BFB"/>
    <w:rsid w:val="43654953"/>
    <w:rsid w:val="43675239"/>
    <w:rsid w:val="437300B3"/>
    <w:rsid w:val="43756941"/>
    <w:rsid w:val="437E6337"/>
    <w:rsid w:val="437F77BC"/>
    <w:rsid w:val="43801B7A"/>
    <w:rsid w:val="438028DB"/>
    <w:rsid w:val="43830C99"/>
    <w:rsid w:val="43933756"/>
    <w:rsid w:val="439C453E"/>
    <w:rsid w:val="43B53A2B"/>
    <w:rsid w:val="43B823A9"/>
    <w:rsid w:val="43BE6232"/>
    <w:rsid w:val="43C90F7F"/>
    <w:rsid w:val="43D349E2"/>
    <w:rsid w:val="43D441A9"/>
    <w:rsid w:val="43D951C6"/>
    <w:rsid w:val="43D95633"/>
    <w:rsid w:val="43D971F8"/>
    <w:rsid w:val="43DA1716"/>
    <w:rsid w:val="43DD4E0B"/>
    <w:rsid w:val="43DE0B83"/>
    <w:rsid w:val="44011F00"/>
    <w:rsid w:val="44057C4B"/>
    <w:rsid w:val="44062C0D"/>
    <w:rsid w:val="440C6F05"/>
    <w:rsid w:val="44174544"/>
    <w:rsid w:val="441C152A"/>
    <w:rsid w:val="44320154"/>
    <w:rsid w:val="44352E99"/>
    <w:rsid w:val="44385C50"/>
    <w:rsid w:val="443E0904"/>
    <w:rsid w:val="44415838"/>
    <w:rsid w:val="4449591C"/>
    <w:rsid w:val="444F6752"/>
    <w:rsid w:val="445F7F16"/>
    <w:rsid w:val="44674FD6"/>
    <w:rsid w:val="446F1124"/>
    <w:rsid w:val="44744AF3"/>
    <w:rsid w:val="447C700B"/>
    <w:rsid w:val="447F27A2"/>
    <w:rsid w:val="4482462E"/>
    <w:rsid w:val="448B551F"/>
    <w:rsid w:val="448D2619"/>
    <w:rsid w:val="44982F38"/>
    <w:rsid w:val="44A1052F"/>
    <w:rsid w:val="44A76CF6"/>
    <w:rsid w:val="44AD1FCC"/>
    <w:rsid w:val="44BD0353"/>
    <w:rsid w:val="44C1472D"/>
    <w:rsid w:val="44C83D0E"/>
    <w:rsid w:val="44CD31E2"/>
    <w:rsid w:val="44DD62F3"/>
    <w:rsid w:val="44DE63A8"/>
    <w:rsid w:val="44DF60D4"/>
    <w:rsid w:val="44E04549"/>
    <w:rsid w:val="44E421C9"/>
    <w:rsid w:val="44F32FB8"/>
    <w:rsid w:val="44F85C75"/>
    <w:rsid w:val="450C32D1"/>
    <w:rsid w:val="45117BCB"/>
    <w:rsid w:val="452F78E8"/>
    <w:rsid w:val="45393FE2"/>
    <w:rsid w:val="453A3D5A"/>
    <w:rsid w:val="454B22CD"/>
    <w:rsid w:val="455E3D2A"/>
    <w:rsid w:val="455E543A"/>
    <w:rsid w:val="456526DC"/>
    <w:rsid w:val="456B6252"/>
    <w:rsid w:val="45830823"/>
    <w:rsid w:val="45862A66"/>
    <w:rsid w:val="45912560"/>
    <w:rsid w:val="45923676"/>
    <w:rsid w:val="45AF08BA"/>
    <w:rsid w:val="45BA3A4B"/>
    <w:rsid w:val="45C168FC"/>
    <w:rsid w:val="45C269A9"/>
    <w:rsid w:val="45CA5863"/>
    <w:rsid w:val="45E42AD7"/>
    <w:rsid w:val="45E44565"/>
    <w:rsid w:val="45ED675F"/>
    <w:rsid w:val="45FB6FE8"/>
    <w:rsid w:val="45FE6567"/>
    <w:rsid w:val="46004DE1"/>
    <w:rsid w:val="460F771A"/>
    <w:rsid w:val="46177320"/>
    <w:rsid w:val="461F1D4F"/>
    <w:rsid w:val="46226875"/>
    <w:rsid w:val="46317741"/>
    <w:rsid w:val="46383B0F"/>
    <w:rsid w:val="46450A93"/>
    <w:rsid w:val="464B7691"/>
    <w:rsid w:val="464F1BEA"/>
    <w:rsid w:val="46510993"/>
    <w:rsid w:val="465E2B27"/>
    <w:rsid w:val="4660270E"/>
    <w:rsid w:val="46647097"/>
    <w:rsid w:val="4672717E"/>
    <w:rsid w:val="46761D34"/>
    <w:rsid w:val="46792680"/>
    <w:rsid w:val="46843C64"/>
    <w:rsid w:val="468A7785"/>
    <w:rsid w:val="468D27B6"/>
    <w:rsid w:val="468D510C"/>
    <w:rsid w:val="46935C55"/>
    <w:rsid w:val="46A14816"/>
    <w:rsid w:val="46A55988"/>
    <w:rsid w:val="46A80D82"/>
    <w:rsid w:val="46AB7443"/>
    <w:rsid w:val="46AD46D2"/>
    <w:rsid w:val="46B26810"/>
    <w:rsid w:val="46BB7BAE"/>
    <w:rsid w:val="46BF304B"/>
    <w:rsid w:val="46CB0396"/>
    <w:rsid w:val="46CB3B16"/>
    <w:rsid w:val="46DB13AA"/>
    <w:rsid w:val="46DB2E7F"/>
    <w:rsid w:val="46E94533"/>
    <w:rsid w:val="46E97115"/>
    <w:rsid w:val="46EA34E6"/>
    <w:rsid w:val="46F506BE"/>
    <w:rsid w:val="46F575B9"/>
    <w:rsid w:val="46F909AA"/>
    <w:rsid w:val="46FF6008"/>
    <w:rsid w:val="470457E6"/>
    <w:rsid w:val="47094169"/>
    <w:rsid w:val="47174AD8"/>
    <w:rsid w:val="47185071"/>
    <w:rsid w:val="471861C1"/>
    <w:rsid w:val="472530E4"/>
    <w:rsid w:val="472936D2"/>
    <w:rsid w:val="472B40E0"/>
    <w:rsid w:val="47307DD7"/>
    <w:rsid w:val="47376D57"/>
    <w:rsid w:val="473A07C7"/>
    <w:rsid w:val="473C1E11"/>
    <w:rsid w:val="473E3FFB"/>
    <w:rsid w:val="473F409F"/>
    <w:rsid w:val="4741268A"/>
    <w:rsid w:val="474449A0"/>
    <w:rsid w:val="47496A9E"/>
    <w:rsid w:val="474C23A8"/>
    <w:rsid w:val="475029D2"/>
    <w:rsid w:val="475603F6"/>
    <w:rsid w:val="47571378"/>
    <w:rsid w:val="47642037"/>
    <w:rsid w:val="47656905"/>
    <w:rsid w:val="47685334"/>
    <w:rsid w:val="47722A18"/>
    <w:rsid w:val="47737A6D"/>
    <w:rsid w:val="47741D0C"/>
    <w:rsid w:val="477C493B"/>
    <w:rsid w:val="47841B24"/>
    <w:rsid w:val="478622F2"/>
    <w:rsid w:val="47876B9F"/>
    <w:rsid w:val="478A6996"/>
    <w:rsid w:val="478F54C6"/>
    <w:rsid w:val="479236A7"/>
    <w:rsid w:val="47953EA1"/>
    <w:rsid w:val="47985C20"/>
    <w:rsid w:val="479869DC"/>
    <w:rsid w:val="47A213C0"/>
    <w:rsid w:val="47AA76FA"/>
    <w:rsid w:val="47AD2D46"/>
    <w:rsid w:val="47B4036E"/>
    <w:rsid w:val="47B76453"/>
    <w:rsid w:val="47C2640D"/>
    <w:rsid w:val="47CA5946"/>
    <w:rsid w:val="47D6229D"/>
    <w:rsid w:val="47DC4284"/>
    <w:rsid w:val="47DF7B1C"/>
    <w:rsid w:val="47E8372E"/>
    <w:rsid w:val="47F21EF0"/>
    <w:rsid w:val="47F5197C"/>
    <w:rsid w:val="47F95DB7"/>
    <w:rsid w:val="481D120F"/>
    <w:rsid w:val="482105C0"/>
    <w:rsid w:val="48211E7E"/>
    <w:rsid w:val="482F2480"/>
    <w:rsid w:val="48342F88"/>
    <w:rsid w:val="483510C7"/>
    <w:rsid w:val="48477862"/>
    <w:rsid w:val="485C39F4"/>
    <w:rsid w:val="485F4BAA"/>
    <w:rsid w:val="4862142D"/>
    <w:rsid w:val="48626E30"/>
    <w:rsid w:val="48636ED0"/>
    <w:rsid w:val="48680479"/>
    <w:rsid w:val="487835F2"/>
    <w:rsid w:val="487C274E"/>
    <w:rsid w:val="48952A5D"/>
    <w:rsid w:val="489701E4"/>
    <w:rsid w:val="489839F7"/>
    <w:rsid w:val="489C5552"/>
    <w:rsid w:val="489D3C05"/>
    <w:rsid w:val="48AB0568"/>
    <w:rsid w:val="48AF7082"/>
    <w:rsid w:val="48B00D40"/>
    <w:rsid w:val="48B23A8E"/>
    <w:rsid w:val="48B55640"/>
    <w:rsid w:val="48C170BE"/>
    <w:rsid w:val="48CD0CC0"/>
    <w:rsid w:val="48D53C4F"/>
    <w:rsid w:val="48D949EA"/>
    <w:rsid w:val="48F52BF7"/>
    <w:rsid w:val="48F73D54"/>
    <w:rsid w:val="49037C95"/>
    <w:rsid w:val="4905290C"/>
    <w:rsid w:val="49063785"/>
    <w:rsid w:val="490868B8"/>
    <w:rsid w:val="491C0184"/>
    <w:rsid w:val="491C548A"/>
    <w:rsid w:val="491D1B81"/>
    <w:rsid w:val="492F531F"/>
    <w:rsid w:val="492F6636"/>
    <w:rsid w:val="492F7E36"/>
    <w:rsid w:val="493C0826"/>
    <w:rsid w:val="49405D5E"/>
    <w:rsid w:val="494D2A33"/>
    <w:rsid w:val="49561E92"/>
    <w:rsid w:val="496109D3"/>
    <w:rsid w:val="4962520E"/>
    <w:rsid w:val="49673563"/>
    <w:rsid w:val="496A1DB8"/>
    <w:rsid w:val="4971045B"/>
    <w:rsid w:val="4979031F"/>
    <w:rsid w:val="497976FA"/>
    <w:rsid w:val="4980571E"/>
    <w:rsid w:val="49833A3E"/>
    <w:rsid w:val="49896678"/>
    <w:rsid w:val="49AE68B8"/>
    <w:rsid w:val="49B274AE"/>
    <w:rsid w:val="49B609BA"/>
    <w:rsid w:val="49C60139"/>
    <w:rsid w:val="49C63B01"/>
    <w:rsid w:val="49E6704C"/>
    <w:rsid w:val="49EE6A1F"/>
    <w:rsid w:val="49EF23AD"/>
    <w:rsid w:val="49F14CC3"/>
    <w:rsid w:val="49FD0DD8"/>
    <w:rsid w:val="49FD6413"/>
    <w:rsid w:val="4A087357"/>
    <w:rsid w:val="4A0B1FA6"/>
    <w:rsid w:val="4A0C39A3"/>
    <w:rsid w:val="4A0D21C2"/>
    <w:rsid w:val="4A1B1F00"/>
    <w:rsid w:val="4A2512BA"/>
    <w:rsid w:val="4A2F5C12"/>
    <w:rsid w:val="4A301A0D"/>
    <w:rsid w:val="4A3D4FF8"/>
    <w:rsid w:val="4A3F629B"/>
    <w:rsid w:val="4A416D23"/>
    <w:rsid w:val="4A4C7AB7"/>
    <w:rsid w:val="4A541B9F"/>
    <w:rsid w:val="4A546A31"/>
    <w:rsid w:val="4A691BA3"/>
    <w:rsid w:val="4A6F4573"/>
    <w:rsid w:val="4A75264F"/>
    <w:rsid w:val="4A7D4C52"/>
    <w:rsid w:val="4A8622B6"/>
    <w:rsid w:val="4A8F0E29"/>
    <w:rsid w:val="4A9401EE"/>
    <w:rsid w:val="4A9439D1"/>
    <w:rsid w:val="4AA13962"/>
    <w:rsid w:val="4AAF6DD6"/>
    <w:rsid w:val="4AB64608"/>
    <w:rsid w:val="4AC777A1"/>
    <w:rsid w:val="4ACC7988"/>
    <w:rsid w:val="4ACF2AC4"/>
    <w:rsid w:val="4ADB40EF"/>
    <w:rsid w:val="4ADD4949"/>
    <w:rsid w:val="4ADF497B"/>
    <w:rsid w:val="4AE86A3E"/>
    <w:rsid w:val="4AF331A0"/>
    <w:rsid w:val="4AF7270C"/>
    <w:rsid w:val="4AF81756"/>
    <w:rsid w:val="4AFB4707"/>
    <w:rsid w:val="4B037587"/>
    <w:rsid w:val="4B0C10BD"/>
    <w:rsid w:val="4B15132F"/>
    <w:rsid w:val="4B1D6F30"/>
    <w:rsid w:val="4B201A81"/>
    <w:rsid w:val="4B33627A"/>
    <w:rsid w:val="4B356505"/>
    <w:rsid w:val="4B3A331C"/>
    <w:rsid w:val="4B3C501C"/>
    <w:rsid w:val="4B3D32A5"/>
    <w:rsid w:val="4B425199"/>
    <w:rsid w:val="4B503E7D"/>
    <w:rsid w:val="4B5526A6"/>
    <w:rsid w:val="4B6140D7"/>
    <w:rsid w:val="4B6A739A"/>
    <w:rsid w:val="4B6B2FC4"/>
    <w:rsid w:val="4B720A2E"/>
    <w:rsid w:val="4B816AF3"/>
    <w:rsid w:val="4B84080B"/>
    <w:rsid w:val="4B885FA4"/>
    <w:rsid w:val="4B983D0E"/>
    <w:rsid w:val="4B985ABC"/>
    <w:rsid w:val="4BBA5C6F"/>
    <w:rsid w:val="4BC3761F"/>
    <w:rsid w:val="4BC84812"/>
    <w:rsid w:val="4BD5286C"/>
    <w:rsid w:val="4BE83C66"/>
    <w:rsid w:val="4BEE2702"/>
    <w:rsid w:val="4BEF7DD1"/>
    <w:rsid w:val="4BF03667"/>
    <w:rsid w:val="4BF1539E"/>
    <w:rsid w:val="4BFE7D23"/>
    <w:rsid w:val="4C0D46FC"/>
    <w:rsid w:val="4C0D69A5"/>
    <w:rsid w:val="4C114E73"/>
    <w:rsid w:val="4C1D41C6"/>
    <w:rsid w:val="4C276414"/>
    <w:rsid w:val="4C2F01CE"/>
    <w:rsid w:val="4C30348B"/>
    <w:rsid w:val="4C457E06"/>
    <w:rsid w:val="4C486022"/>
    <w:rsid w:val="4C533964"/>
    <w:rsid w:val="4C561AA4"/>
    <w:rsid w:val="4C564748"/>
    <w:rsid w:val="4C5653EF"/>
    <w:rsid w:val="4C58759F"/>
    <w:rsid w:val="4C6E490F"/>
    <w:rsid w:val="4C6E57B5"/>
    <w:rsid w:val="4C7A3E0A"/>
    <w:rsid w:val="4C9130F6"/>
    <w:rsid w:val="4C992C68"/>
    <w:rsid w:val="4C9A24A5"/>
    <w:rsid w:val="4C9A5BA3"/>
    <w:rsid w:val="4CB30DFF"/>
    <w:rsid w:val="4CB4751A"/>
    <w:rsid w:val="4CC80B32"/>
    <w:rsid w:val="4CCF0CFC"/>
    <w:rsid w:val="4CD36081"/>
    <w:rsid w:val="4CD715B6"/>
    <w:rsid w:val="4CE34671"/>
    <w:rsid w:val="4CE7633D"/>
    <w:rsid w:val="4CF17B79"/>
    <w:rsid w:val="4CFE58B7"/>
    <w:rsid w:val="4D022BD1"/>
    <w:rsid w:val="4D0D5045"/>
    <w:rsid w:val="4D0F534D"/>
    <w:rsid w:val="4D135839"/>
    <w:rsid w:val="4D144D0B"/>
    <w:rsid w:val="4D241DA1"/>
    <w:rsid w:val="4D2874FB"/>
    <w:rsid w:val="4D3161C8"/>
    <w:rsid w:val="4D3925A5"/>
    <w:rsid w:val="4D3B252B"/>
    <w:rsid w:val="4D48415D"/>
    <w:rsid w:val="4D694853"/>
    <w:rsid w:val="4D6E3730"/>
    <w:rsid w:val="4D761DF4"/>
    <w:rsid w:val="4D7D0B22"/>
    <w:rsid w:val="4D803811"/>
    <w:rsid w:val="4D964BDE"/>
    <w:rsid w:val="4D9D16E6"/>
    <w:rsid w:val="4DA22F6F"/>
    <w:rsid w:val="4DA366F2"/>
    <w:rsid w:val="4DA65D61"/>
    <w:rsid w:val="4DA74E33"/>
    <w:rsid w:val="4DA82C5E"/>
    <w:rsid w:val="4DA90ECF"/>
    <w:rsid w:val="4DAB7D28"/>
    <w:rsid w:val="4DB90D53"/>
    <w:rsid w:val="4DC25072"/>
    <w:rsid w:val="4DC43E1F"/>
    <w:rsid w:val="4DC5673B"/>
    <w:rsid w:val="4DCA651D"/>
    <w:rsid w:val="4DCB2178"/>
    <w:rsid w:val="4DD455C4"/>
    <w:rsid w:val="4DD52FF7"/>
    <w:rsid w:val="4DEE1BA4"/>
    <w:rsid w:val="4DF25957"/>
    <w:rsid w:val="4DF85277"/>
    <w:rsid w:val="4DFC5B74"/>
    <w:rsid w:val="4E00643A"/>
    <w:rsid w:val="4E1A5E9B"/>
    <w:rsid w:val="4E204F8C"/>
    <w:rsid w:val="4E206385"/>
    <w:rsid w:val="4E220315"/>
    <w:rsid w:val="4E2B750E"/>
    <w:rsid w:val="4E372CEF"/>
    <w:rsid w:val="4E5057CD"/>
    <w:rsid w:val="4E525C89"/>
    <w:rsid w:val="4E5F70ED"/>
    <w:rsid w:val="4E6C7842"/>
    <w:rsid w:val="4E710F72"/>
    <w:rsid w:val="4E712D20"/>
    <w:rsid w:val="4E716DD6"/>
    <w:rsid w:val="4E7D41EF"/>
    <w:rsid w:val="4E8743CF"/>
    <w:rsid w:val="4E8A19A2"/>
    <w:rsid w:val="4EA73499"/>
    <w:rsid w:val="4EAF6660"/>
    <w:rsid w:val="4EB3274A"/>
    <w:rsid w:val="4EB33338"/>
    <w:rsid w:val="4EB42C0C"/>
    <w:rsid w:val="4EC112A5"/>
    <w:rsid w:val="4EC15329"/>
    <w:rsid w:val="4EC27DC2"/>
    <w:rsid w:val="4EC55A56"/>
    <w:rsid w:val="4ECC7680"/>
    <w:rsid w:val="4ECD7A91"/>
    <w:rsid w:val="4ED5661F"/>
    <w:rsid w:val="4EE33A64"/>
    <w:rsid w:val="4EE520BF"/>
    <w:rsid w:val="4EEA667A"/>
    <w:rsid w:val="4EEC2511"/>
    <w:rsid w:val="4EFE20DA"/>
    <w:rsid w:val="4F0516BA"/>
    <w:rsid w:val="4F05494C"/>
    <w:rsid w:val="4F0D50A9"/>
    <w:rsid w:val="4F11126D"/>
    <w:rsid w:val="4F1A62E3"/>
    <w:rsid w:val="4F1E19C9"/>
    <w:rsid w:val="4F20737B"/>
    <w:rsid w:val="4F254CD6"/>
    <w:rsid w:val="4F2E6E63"/>
    <w:rsid w:val="4F311C64"/>
    <w:rsid w:val="4F460289"/>
    <w:rsid w:val="4F473CD7"/>
    <w:rsid w:val="4F474CB8"/>
    <w:rsid w:val="4F5D32F2"/>
    <w:rsid w:val="4F737BC5"/>
    <w:rsid w:val="4F8306AF"/>
    <w:rsid w:val="4F897829"/>
    <w:rsid w:val="4F8B21F9"/>
    <w:rsid w:val="4F970DE9"/>
    <w:rsid w:val="4F971FC4"/>
    <w:rsid w:val="4F974A08"/>
    <w:rsid w:val="4F985CD1"/>
    <w:rsid w:val="4FA5268C"/>
    <w:rsid w:val="4FAE3B00"/>
    <w:rsid w:val="4FC804D5"/>
    <w:rsid w:val="4FC96B8B"/>
    <w:rsid w:val="4FCC1A25"/>
    <w:rsid w:val="4FDD6723"/>
    <w:rsid w:val="4FDF78E9"/>
    <w:rsid w:val="4FF22676"/>
    <w:rsid w:val="4FFE1B06"/>
    <w:rsid w:val="50047F66"/>
    <w:rsid w:val="500A40D7"/>
    <w:rsid w:val="501A0C8E"/>
    <w:rsid w:val="501A122A"/>
    <w:rsid w:val="501A2F43"/>
    <w:rsid w:val="502138A5"/>
    <w:rsid w:val="50247920"/>
    <w:rsid w:val="502E57D9"/>
    <w:rsid w:val="50593A6B"/>
    <w:rsid w:val="505A51B9"/>
    <w:rsid w:val="505A67EB"/>
    <w:rsid w:val="50654940"/>
    <w:rsid w:val="50700DB5"/>
    <w:rsid w:val="50750658"/>
    <w:rsid w:val="50765757"/>
    <w:rsid w:val="507B60D8"/>
    <w:rsid w:val="50827466"/>
    <w:rsid w:val="508C15FC"/>
    <w:rsid w:val="508D1967"/>
    <w:rsid w:val="509C3829"/>
    <w:rsid w:val="509E5922"/>
    <w:rsid w:val="50B63FD8"/>
    <w:rsid w:val="50B777F0"/>
    <w:rsid w:val="50BB47E0"/>
    <w:rsid w:val="50BD18A9"/>
    <w:rsid w:val="50C46BEE"/>
    <w:rsid w:val="50D37CC2"/>
    <w:rsid w:val="50D92558"/>
    <w:rsid w:val="50D94705"/>
    <w:rsid w:val="50DF2385"/>
    <w:rsid w:val="50E33CEC"/>
    <w:rsid w:val="50F24380"/>
    <w:rsid w:val="50FC73BD"/>
    <w:rsid w:val="5104794E"/>
    <w:rsid w:val="510F1A3E"/>
    <w:rsid w:val="510F4A72"/>
    <w:rsid w:val="511C56B7"/>
    <w:rsid w:val="511D153D"/>
    <w:rsid w:val="51205FD8"/>
    <w:rsid w:val="51363DAD"/>
    <w:rsid w:val="513C4376"/>
    <w:rsid w:val="51433D5D"/>
    <w:rsid w:val="51435D0C"/>
    <w:rsid w:val="51446169"/>
    <w:rsid w:val="514F6D7D"/>
    <w:rsid w:val="51654692"/>
    <w:rsid w:val="516B6A17"/>
    <w:rsid w:val="516E22FB"/>
    <w:rsid w:val="517765FC"/>
    <w:rsid w:val="517A638F"/>
    <w:rsid w:val="518202C7"/>
    <w:rsid w:val="519A032B"/>
    <w:rsid w:val="519D4FB2"/>
    <w:rsid w:val="519E21FD"/>
    <w:rsid w:val="51AA50F9"/>
    <w:rsid w:val="51AF10C4"/>
    <w:rsid w:val="51B06B92"/>
    <w:rsid w:val="51B07591"/>
    <w:rsid w:val="51B43002"/>
    <w:rsid w:val="51B57B6D"/>
    <w:rsid w:val="51B839E6"/>
    <w:rsid w:val="51BB1A11"/>
    <w:rsid w:val="51BD6C11"/>
    <w:rsid w:val="51CD2E5F"/>
    <w:rsid w:val="51D07D5D"/>
    <w:rsid w:val="51DA58AE"/>
    <w:rsid w:val="51DB5821"/>
    <w:rsid w:val="51DD376A"/>
    <w:rsid w:val="51E5449B"/>
    <w:rsid w:val="51E66508"/>
    <w:rsid w:val="51E847AF"/>
    <w:rsid w:val="51EA7907"/>
    <w:rsid w:val="51F7178E"/>
    <w:rsid w:val="52017EFE"/>
    <w:rsid w:val="521E5FFD"/>
    <w:rsid w:val="522D3F63"/>
    <w:rsid w:val="52353550"/>
    <w:rsid w:val="524450A3"/>
    <w:rsid w:val="52483D98"/>
    <w:rsid w:val="52510CC8"/>
    <w:rsid w:val="52583CBA"/>
    <w:rsid w:val="525E35BB"/>
    <w:rsid w:val="525F5585"/>
    <w:rsid w:val="52643FB3"/>
    <w:rsid w:val="5264494A"/>
    <w:rsid w:val="526E0E00"/>
    <w:rsid w:val="5270414C"/>
    <w:rsid w:val="52952D55"/>
    <w:rsid w:val="52B0193D"/>
    <w:rsid w:val="52B224F0"/>
    <w:rsid w:val="52B41F04"/>
    <w:rsid w:val="52B6366E"/>
    <w:rsid w:val="52C660C9"/>
    <w:rsid w:val="52CF29D7"/>
    <w:rsid w:val="52D94139"/>
    <w:rsid w:val="52E3567F"/>
    <w:rsid w:val="52ED06D4"/>
    <w:rsid w:val="52F331C3"/>
    <w:rsid w:val="52F93FBF"/>
    <w:rsid w:val="53001BB3"/>
    <w:rsid w:val="530028C4"/>
    <w:rsid w:val="53024A4D"/>
    <w:rsid w:val="530265E4"/>
    <w:rsid w:val="530A0C1B"/>
    <w:rsid w:val="53143779"/>
    <w:rsid w:val="531B3817"/>
    <w:rsid w:val="53264D65"/>
    <w:rsid w:val="532931AC"/>
    <w:rsid w:val="532F0995"/>
    <w:rsid w:val="532F74D8"/>
    <w:rsid w:val="5334431C"/>
    <w:rsid w:val="53431E6B"/>
    <w:rsid w:val="534555A6"/>
    <w:rsid w:val="53501B3A"/>
    <w:rsid w:val="5367646B"/>
    <w:rsid w:val="537514ED"/>
    <w:rsid w:val="537D2167"/>
    <w:rsid w:val="53815461"/>
    <w:rsid w:val="53987838"/>
    <w:rsid w:val="539D45B7"/>
    <w:rsid w:val="539E2F53"/>
    <w:rsid w:val="53A56FC8"/>
    <w:rsid w:val="53AB168D"/>
    <w:rsid w:val="53AD1FC2"/>
    <w:rsid w:val="53B07B30"/>
    <w:rsid w:val="53B4545D"/>
    <w:rsid w:val="53C102A5"/>
    <w:rsid w:val="53CD3590"/>
    <w:rsid w:val="53D23837"/>
    <w:rsid w:val="53D32C63"/>
    <w:rsid w:val="53DE6F83"/>
    <w:rsid w:val="53E17EA9"/>
    <w:rsid w:val="53EF3446"/>
    <w:rsid w:val="53F01264"/>
    <w:rsid w:val="53F82DF0"/>
    <w:rsid w:val="53FA37B7"/>
    <w:rsid w:val="53FA5565"/>
    <w:rsid w:val="53FC0EC4"/>
    <w:rsid w:val="5400395F"/>
    <w:rsid w:val="54062707"/>
    <w:rsid w:val="54077C82"/>
    <w:rsid w:val="540E194F"/>
    <w:rsid w:val="541233D7"/>
    <w:rsid w:val="5414737F"/>
    <w:rsid w:val="541C389D"/>
    <w:rsid w:val="541F29DD"/>
    <w:rsid w:val="5422041B"/>
    <w:rsid w:val="542B3971"/>
    <w:rsid w:val="5448592B"/>
    <w:rsid w:val="544B7B6F"/>
    <w:rsid w:val="544C7BFD"/>
    <w:rsid w:val="545029C2"/>
    <w:rsid w:val="5450301F"/>
    <w:rsid w:val="5450471C"/>
    <w:rsid w:val="545B7CBD"/>
    <w:rsid w:val="545F471D"/>
    <w:rsid w:val="54644D9B"/>
    <w:rsid w:val="54692F42"/>
    <w:rsid w:val="546A3A38"/>
    <w:rsid w:val="546E3ADE"/>
    <w:rsid w:val="54736A86"/>
    <w:rsid w:val="547651B8"/>
    <w:rsid w:val="54780EBC"/>
    <w:rsid w:val="547F33FC"/>
    <w:rsid w:val="548379B4"/>
    <w:rsid w:val="54A72293"/>
    <w:rsid w:val="54A84FC1"/>
    <w:rsid w:val="54A91A03"/>
    <w:rsid w:val="54C2646B"/>
    <w:rsid w:val="54C72B03"/>
    <w:rsid w:val="54CC69D9"/>
    <w:rsid w:val="54CC7FC3"/>
    <w:rsid w:val="54CD0339"/>
    <w:rsid w:val="54D65F23"/>
    <w:rsid w:val="54E94703"/>
    <w:rsid w:val="54EA17CF"/>
    <w:rsid w:val="54EF0AAE"/>
    <w:rsid w:val="54F647EB"/>
    <w:rsid w:val="54F77F3B"/>
    <w:rsid w:val="54F9507D"/>
    <w:rsid w:val="5503044A"/>
    <w:rsid w:val="550541C2"/>
    <w:rsid w:val="55090AE5"/>
    <w:rsid w:val="5518442B"/>
    <w:rsid w:val="5522648E"/>
    <w:rsid w:val="55257673"/>
    <w:rsid w:val="552611B1"/>
    <w:rsid w:val="55262A58"/>
    <w:rsid w:val="55316CD7"/>
    <w:rsid w:val="553271D3"/>
    <w:rsid w:val="5536081F"/>
    <w:rsid w:val="5537062A"/>
    <w:rsid w:val="55425E7B"/>
    <w:rsid w:val="55434CEA"/>
    <w:rsid w:val="554B700A"/>
    <w:rsid w:val="554F2666"/>
    <w:rsid w:val="554F7B33"/>
    <w:rsid w:val="55546EF7"/>
    <w:rsid w:val="55564A1D"/>
    <w:rsid w:val="556C60B3"/>
    <w:rsid w:val="55754E2B"/>
    <w:rsid w:val="55945D37"/>
    <w:rsid w:val="55A45A21"/>
    <w:rsid w:val="55AA0F8C"/>
    <w:rsid w:val="55B77BA9"/>
    <w:rsid w:val="55C87E5B"/>
    <w:rsid w:val="55CD5E8D"/>
    <w:rsid w:val="55DB4561"/>
    <w:rsid w:val="55DC0F43"/>
    <w:rsid w:val="55EB1F25"/>
    <w:rsid w:val="55EE0C26"/>
    <w:rsid w:val="56177866"/>
    <w:rsid w:val="561A04E3"/>
    <w:rsid w:val="562F774B"/>
    <w:rsid w:val="563E5AB2"/>
    <w:rsid w:val="563F540E"/>
    <w:rsid w:val="564414E3"/>
    <w:rsid w:val="564C522B"/>
    <w:rsid w:val="56551179"/>
    <w:rsid w:val="565C42B5"/>
    <w:rsid w:val="566118CC"/>
    <w:rsid w:val="567B7BFD"/>
    <w:rsid w:val="568850AA"/>
    <w:rsid w:val="56974290"/>
    <w:rsid w:val="56986987"/>
    <w:rsid w:val="569E667C"/>
    <w:rsid w:val="56A501F8"/>
    <w:rsid w:val="56B67C5D"/>
    <w:rsid w:val="56C055FC"/>
    <w:rsid w:val="56CB143B"/>
    <w:rsid w:val="56CC638C"/>
    <w:rsid w:val="56D3410E"/>
    <w:rsid w:val="56D51BC3"/>
    <w:rsid w:val="56DB67A7"/>
    <w:rsid w:val="56E556D3"/>
    <w:rsid w:val="56EB73E7"/>
    <w:rsid w:val="56EF34E3"/>
    <w:rsid w:val="56F049FE"/>
    <w:rsid w:val="56F33E8F"/>
    <w:rsid w:val="56FB37AA"/>
    <w:rsid w:val="56FC6F89"/>
    <w:rsid w:val="570D273C"/>
    <w:rsid w:val="571E1E61"/>
    <w:rsid w:val="57302766"/>
    <w:rsid w:val="573518D3"/>
    <w:rsid w:val="57501DED"/>
    <w:rsid w:val="575A1028"/>
    <w:rsid w:val="57634140"/>
    <w:rsid w:val="576524BB"/>
    <w:rsid w:val="576D6D93"/>
    <w:rsid w:val="577E6A3F"/>
    <w:rsid w:val="577F5FA9"/>
    <w:rsid w:val="577F68C1"/>
    <w:rsid w:val="57812F5F"/>
    <w:rsid w:val="57931F59"/>
    <w:rsid w:val="57A1557A"/>
    <w:rsid w:val="57A16858"/>
    <w:rsid w:val="57AC250F"/>
    <w:rsid w:val="57C24C91"/>
    <w:rsid w:val="57CF2668"/>
    <w:rsid w:val="57D20CF9"/>
    <w:rsid w:val="57E52ADF"/>
    <w:rsid w:val="57E70737"/>
    <w:rsid w:val="57EA2A94"/>
    <w:rsid w:val="57EC1669"/>
    <w:rsid w:val="57EE6662"/>
    <w:rsid w:val="57FC57BD"/>
    <w:rsid w:val="57FF6155"/>
    <w:rsid w:val="580140A6"/>
    <w:rsid w:val="580B6E3C"/>
    <w:rsid w:val="580C1C8E"/>
    <w:rsid w:val="580D7D81"/>
    <w:rsid w:val="58120B37"/>
    <w:rsid w:val="58131D55"/>
    <w:rsid w:val="581E62DD"/>
    <w:rsid w:val="58291B84"/>
    <w:rsid w:val="58342026"/>
    <w:rsid w:val="58462CFB"/>
    <w:rsid w:val="585673E9"/>
    <w:rsid w:val="585A65D3"/>
    <w:rsid w:val="58613E05"/>
    <w:rsid w:val="58623049"/>
    <w:rsid w:val="586A54CE"/>
    <w:rsid w:val="586C3CC6"/>
    <w:rsid w:val="58783CFA"/>
    <w:rsid w:val="587B52C1"/>
    <w:rsid w:val="588D4442"/>
    <w:rsid w:val="588E0972"/>
    <w:rsid w:val="58951088"/>
    <w:rsid w:val="58990FC0"/>
    <w:rsid w:val="58A14C54"/>
    <w:rsid w:val="58A64233"/>
    <w:rsid w:val="58AF4435"/>
    <w:rsid w:val="58BA52C3"/>
    <w:rsid w:val="58BB3DC0"/>
    <w:rsid w:val="58C07FBB"/>
    <w:rsid w:val="58CC1EB8"/>
    <w:rsid w:val="58CF5213"/>
    <w:rsid w:val="58D1792B"/>
    <w:rsid w:val="58D95B4A"/>
    <w:rsid w:val="58DD409B"/>
    <w:rsid w:val="58E236F3"/>
    <w:rsid w:val="58E6255C"/>
    <w:rsid w:val="58F015D0"/>
    <w:rsid w:val="58FE78A6"/>
    <w:rsid w:val="59056087"/>
    <w:rsid w:val="5906339C"/>
    <w:rsid w:val="59112EB9"/>
    <w:rsid w:val="59131292"/>
    <w:rsid w:val="59232A72"/>
    <w:rsid w:val="5925316F"/>
    <w:rsid w:val="5942577F"/>
    <w:rsid w:val="59511F8F"/>
    <w:rsid w:val="59580B22"/>
    <w:rsid w:val="596A0C5D"/>
    <w:rsid w:val="5988042A"/>
    <w:rsid w:val="599041ED"/>
    <w:rsid w:val="59912541"/>
    <w:rsid w:val="59924FF5"/>
    <w:rsid w:val="599817E8"/>
    <w:rsid w:val="59B56492"/>
    <w:rsid w:val="59B91A1F"/>
    <w:rsid w:val="59C35ACF"/>
    <w:rsid w:val="59C53B23"/>
    <w:rsid w:val="59D65B05"/>
    <w:rsid w:val="59ED3476"/>
    <w:rsid w:val="5A02182B"/>
    <w:rsid w:val="5A0D509A"/>
    <w:rsid w:val="5A0F7891"/>
    <w:rsid w:val="5A1B6236"/>
    <w:rsid w:val="5A2400DF"/>
    <w:rsid w:val="5A285981"/>
    <w:rsid w:val="5A347F30"/>
    <w:rsid w:val="5A38069B"/>
    <w:rsid w:val="5A552EDD"/>
    <w:rsid w:val="5A587D48"/>
    <w:rsid w:val="5A6257DB"/>
    <w:rsid w:val="5A64740A"/>
    <w:rsid w:val="5A664CCE"/>
    <w:rsid w:val="5A737E20"/>
    <w:rsid w:val="5A746011"/>
    <w:rsid w:val="5A764626"/>
    <w:rsid w:val="5A7D0C9E"/>
    <w:rsid w:val="5A7D2A4C"/>
    <w:rsid w:val="5A8A5E83"/>
    <w:rsid w:val="5A8E6A07"/>
    <w:rsid w:val="5AA20ED6"/>
    <w:rsid w:val="5AA423B5"/>
    <w:rsid w:val="5AA708CA"/>
    <w:rsid w:val="5AA775FF"/>
    <w:rsid w:val="5AAC551A"/>
    <w:rsid w:val="5AB37F0E"/>
    <w:rsid w:val="5AC02939"/>
    <w:rsid w:val="5ADA3FE6"/>
    <w:rsid w:val="5AE969BB"/>
    <w:rsid w:val="5AED2B97"/>
    <w:rsid w:val="5AF17F45"/>
    <w:rsid w:val="5AF26392"/>
    <w:rsid w:val="5AF37DCE"/>
    <w:rsid w:val="5AFD5309"/>
    <w:rsid w:val="5B102138"/>
    <w:rsid w:val="5B157129"/>
    <w:rsid w:val="5B21787C"/>
    <w:rsid w:val="5B2327FE"/>
    <w:rsid w:val="5B2A28AF"/>
    <w:rsid w:val="5B2D4026"/>
    <w:rsid w:val="5B3B4BE1"/>
    <w:rsid w:val="5B4672E2"/>
    <w:rsid w:val="5B4B20B5"/>
    <w:rsid w:val="5B4F263B"/>
    <w:rsid w:val="5B5C08B4"/>
    <w:rsid w:val="5B5E6F93"/>
    <w:rsid w:val="5B6160B4"/>
    <w:rsid w:val="5B661732"/>
    <w:rsid w:val="5B691244"/>
    <w:rsid w:val="5B767480"/>
    <w:rsid w:val="5B7A672F"/>
    <w:rsid w:val="5B7C1860"/>
    <w:rsid w:val="5B7F50BF"/>
    <w:rsid w:val="5B867F38"/>
    <w:rsid w:val="5B9207A8"/>
    <w:rsid w:val="5B9E0ECC"/>
    <w:rsid w:val="5B9F7DAC"/>
    <w:rsid w:val="5BAC3A38"/>
    <w:rsid w:val="5BB77E50"/>
    <w:rsid w:val="5BBB37E1"/>
    <w:rsid w:val="5BBB3896"/>
    <w:rsid w:val="5BD40D92"/>
    <w:rsid w:val="5BF22D70"/>
    <w:rsid w:val="5BF55195"/>
    <w:rsid w:val="5C021E11"/>
    <w:rsid w:val="5C0553DC"/>
    <w:rsid w:val="5C07081F"/>
    <w:rsid w:val="5C0C052C"/>
    <w:rsid w:val="5C0C53F2"/>
    <w:rsid w:val="5C111495"/>
    <w:rsid w:val="5C165947"/>
    <w:rsid w:val="5C1739FF"/>
    <w:rsid w:val="5C182B40"/>
    <w:rsid w:val="5C1949F7"/>
    <w:rsid w:val="5C1F7933"/>
    <w:rsid w:val="5C3405B2"/>
    <w:rsid w:val="5C4863C1"/>
    <w:rsid w:val="5C4E068B"/>
    <w:rsid w:val="5C602626"/>
    <w:rsid w:val="5C61437B"/>
    <w:rsid w:val="5C6C3BD8"/>
    <w:rsid w:val="5C797243"/>
    <w:rsid w:val="5C7A6CC5"/>
    <w:rsid w:val="5C8956D8"/>
    <w:rsid w:val="5C8C06C1"/>
    <w:rsid w:val="5C992D62"/>
    <w:rsid w:val="5C9A1694"/>
    <w:rsid w:val="5C9D1184"/>
    <w:rsid w:val="5CAC6EDF"/>
    <w:rsid w:val="5CB02287"/>
    <w:rsid w:val="5CB4328D"/>
    <w:rsid w:val="5CC24B59"/>
    <w:rsid w:val="5CCC5196"/>
    <w:rsid w:val="5CDB4FE6"/>
    <w:rsid w:val="5CDF5473"/>
    <w:rsid w:val="5CEE5E83"/>
    <w:rsid w:val="5CEF6584"/>
    <w:rsid w:val="5CF71428"/>
    <w:rsid w:val="5D1773C9"/>
    <w:rsid w:val="5D1A6C78"/>
    <w:rsid w:val="5D1C02FB"/>
    <w:rsid w:val="5D254024"/>
    <w:rsid w:val="5D292A17"/>
    <w:rsid w:val="5D2B6790"/>
    <w:rsid w:val="5D34149D"/>
    <w:rsid w:val="5D3B5726"/>
    <w:rsid w:val="5D3F048D"/>
    <w:rsid w:val="5D445AA3"/>
    <w:rsid w:val="5D4601B1"/>
    <w:rsid w:val="5D494DBC"/>
    <w:rsid w:val="5D55588E"/>
    <w:rsid w:val="5D5A0839"/>
    <w:rsid w:val="5D5A4F29"/>
    <w:rsid w:val="5D67174C"/>
    <w:rsid w:val="5D703A41"/>
    <w:rsid w:val="5D786911"/>
    <w:rsid w:val="5D7A5CAC"/>
    <w:rsid w:val="5D7B0085"/>
    <w:rsid w:val="5D7B50D7"/>
    <w:rsid w:val="5D810AA5"/>
    <w:rsid w:val="5D811B5C"/>
    <w:rsid w:val="5D8660BC"/>
    <w:rsid w:val="5D9A56C3"/>
    <w:rsid w:val="5DAB27C9"/>
    <w:rsid w:val="5DAF7B60"/>
    <w:rsid w:val="5DB46EC8"/>
    <w:rsid w:val="5DC15346"/>
    <w:rsid w:val="5DC22429"/>
    <w:rsid w:val="5DCB6A18"/>
    <w:rsid w:val="5DD371C8"/>
    <w:rsid w:val="5DDB0AAD"/>
    <w:rsid w:val="5DF37C13"/>
    <w:rsid w:val="5DF84E51"/>
    <w:rsid w:val="5E156A90"/>
    <w:rsid w:val="5E211BF7"/>
    <w:rsid w:val="5E294CFC"/>
    <w:rsid w:val="5E337E3E"/>
    <w:rsid w:val="5E3564A3"/>
    <w:rsid w:val="5E39617D"/>
    <w:rsid w:val="5E400076"/>
    <w:rsid w:val="5E4775F9"/>
    <w:rsid w:val="5E5A73BB"/>
    <w:rsid w:val="5E6572A9"/>
    <w:rsid w:val="5E6F4588"/>
    <w:rsid w:val="5E766ABA"/>
    <w:rsid w:val="5E783C56"/>
    <w:rsid w:val="5E790CA0"/>
    <w:rsid w:val="5E7945FC"/>
    <w:rsid w:val="5E930082"/>
    <w:rsid w:val="5E93121F"/>
    <w:rsid w:val="5E96232F"/>
    <w:rsid w:val="5EB351E3"/>
    <w:rsid w:val="5EB6009E"/>
    <w:rsid w:val="5EC43375"/>
    <w:rsid w:val="5ECB5E0F"/>
    <w:rsid w:val="5ED15115"/>
    <w:rsid w:val="5ED22BFF"/>
    <w:rsid w:val="5ED32946"/>
    <w:rsid w:val="5ED74E21"/>
    <w:rsid w:val="5EDD61AF"/>
    <w:rsid w:val="5EE278D0"/>
    <w:rsid w:val="5EE622DA"/>
    <w:rsid w:val="5F0454EA"/>
    <w:rsid w:val="5F070F10"/>
    <w:rsid w:val="5F0E22EC"/>
    <w:rsid w:val="5F2E07B9"/>
    <w:rsid w:val="5F4C162A"/>
    <w:rsid w:val="5F4F10AF"/>
    <w:rsid w:val="5F577D10"/>
    <w:rsid w:val="5F5A6ED0"/>
    <w:rsid w:val="5F5C4825"/>
    <w:rsid w:val="5F701D7B"/>
    <w:rsid w:val="5F727FC6"/>
    <w:rsid w:val="5F8874C5"/>
    <w:rsid w:val="5F926F9A"/>
    <w:rsid w:val="5FA562EE"/>
    <w:rsid w:val="5FB17F94"/>
    <w:rsid w:val="5FB67C3B"/>
    <w:rsid w:val="5FB7255D"/>
    <w:rsid w:val="5FBA715C"/>
    <w:rsid w:val="5FBE789B"/>
    <w:rsid w:val="5FC469D3"/>
    <w:rsid w:val="5FD862BD"/>
    <w:rsid w:val="5FDD0F28"/>
    <w:rsid w:val="5FDE4C57"/>
    <w:rsid w:val="5FE570CA"/>
    <w:rsid w:val="5FF92B75"/>
    <w:rsid w:val="5FFD3C4A"/>
    <w:rsid w:val="60085D90"/>
    <w:rsid w:val="60265BCA"/>
    <w:rsid w:val="603A2B07"/>
    <w:rsid w:val="6040415C"/>
    <w:rsid w:val="6054527B"/>
    <w:rsid w:val="60613951"/>
    <w:rsid w:val="607F45F5"/>
    <w:rsid w:val="607F6BA2"/>
    <w:rsid w:val="608E4E60"/>
    <w:rsid w:val="609A3A92"/>
    <w:rsid w:val="609E54CA"/>
    <w:rsid w:val="60A35595"/>
    <w:rsid w:val="60A652C9"/>
    <w:rsid w:val="60A77018"/>
    <w:rsid w:val="60A81050"/>
    <w:rsid w:val="60A94626"/>
    <w:rsid w:val="60B3575F"/>
    <w:rsid w:val="60BE3971"/>
    <w:rsid w:val="60C36BAA"/>
    <w:rsid w:val="60DA02C2"/>
    <w:rsid w:val="60E471F1"/>
    <w:rsid w:val="60E850DB"/>
    <w:rsid w:val="60F2534F"/>
    <w:rsid w:val="60F600EF"/>
    <w:rsid w:val="60F864F0"/>
    <w:rsid w:val="610244AA"/>
    <w:rsid w:val="61093E19"/>
    <w:rsid w:val="611304E9"/>
    <w:rsid w:val="61186287"/>
    <w:rsid w:val="61193CEB"/>
    <w:rsid w:val="61296823"/>
    <w:rsid w:val="613045F7"/>
    <w:rsid w:val="613C19CF"/>
    <w:rsid w:val="6145645F"/>
    <w:rsid w:val="614B50C1"/>
    <w:rsid w:val="61517443"/>
    <w:rsid w:val="61593AF6"/>
    <w:rsid w:val="615A3AE7"/>
    <w:rsid w:val="615E036B"/>
    <w:rsid w:val="6161797C"/>
    <w:rsid w:val="616D653E"/>
    <w:rsid w:val="61705093"/>
    <w:rsid w:val="61761FA3"/>
    <w:rsid w:val="61791AAE"/>
    <w:rsid w:val="618F5E5F"/>
    <w:rsid w:val="61AD00BB"/>
    <w:rsid w:val="61B00A1E"/>
    <w:rsid w:val="61C44FB6"/>
    <w:rsid w:val="61CA606C"/>
    <w:rsid w:val="61D12494"/>
    <w:rsid w:val="61D3123E"/>
    <w:rsid w:val="61D4596C"/>
    <w:rsid w:val="61DE243F"/>
    <w:rsid w:val="61ED2A14"/>
    <w:rsid w:val="61F21F72"/>
    <w:rsid w:val="62006316"/>
    <w:rsid w:val="62083B4D"/>
    <w:rsid w:val="62141908"/>
    <w:rsid w:val="621912AD"/>
    <w:rsid w:val="621A51B1"/>
    <w:rsid w:val="621B7911"/>
    <w:rsid w:val="62244482"/>
    <w:rsid w:val="622446F8"/>
    <w:rsid w:val="622C2A0D"/>
    <w:rsid w:val="622C3BBB"/>
    <w:rsid w:val="622F287E"/>
    <w:rsid w:val="62364403"/>
    <w:rsid w:val="62387CD2"/>
    <w:rsid w:val="623E51B7"/>
    <w:rsid w:val="62436960"/>
    <w:rsid w:val="624A76B8"/>
    <w:rsid w:val="62521D8C"/>
    <w:rsid w:val="625C6B16"/>
    <w:rsid w:val="625E3163"/>
    <w:rsid w:val="625F53CD"/>
    <w:rsid w:val="62604FDE"/>
    <w:rsid w:val="62642997"/>
    <w:rsid w:val="6267026A"/>
    <w:rsid w:val="62686E91"/>
    <w:rsid w:val="626A7D5A"/>
    <w:rsid w:val="627961EF"/>
    <w:rsid w:val="627B5880"/>
    <w:rsid w:val="627D4188"/>
    <w:rsid w:val="62856942"/>
    <w:rsid w:val="6294124F"/>
    <w:rsid w:val="629C00D6"/>
    <w:rsid w:val="629C583C"/>
    <w:rsid w:val="629D1EDE"/>
    <w:rsid w:val="629F5000"/>
    <w:rsid w:val="62AA0157"/>
    <w:rsid w:val="62C20707"/>
    <w:rsid w:val="62C54F90"/>
    <w:rsid w:val="62C751AC"/>
    <w:rsid w:val="62CA2E80"/>
    <w:rsid w:val="62CB57FE"/>
    <w:rsid w:val="62D17676"/>
    <w:rsid w:val="62D32BA1"/>
    <w:rsid w:val="62DE7627"/>
    <w:rsid w:val="62E37288"/>
    <w:rsid w:val="62EE6B0C"/>
    <w:rsid w:val="62F835B8"/>
    <w:rsid w:val="63027145"/>
    <w:rsid w:val="63075750"/>
    <w:rsid w:val="63084640"/>
    <w:rsid w:val="630E1549"/>
    <w:rsid w:val="631040EF"/>
    <w:rsid w:val="63147EC5"/>
    <w:rsid w:val="63162979"/>
    <w:rsid w:val="631D7C98"/>
    <w:rsid w:val="63286425"/>
    <w:rsid w:val="63352116"/>
    <w:rsid w:val="633571CC"/>
    <w:rsid w:val="633B709F"/>
    <w:rsid w:val="634265E1"/>
    <w:rsid w:val="6348512C"/>
    <w:rsid w:val="634D0FFB"/>
    <w:rsid w:val="634D4E50"/>
    <w:rsid w:val="635A4FE5"/>
    <w:rsid w:val="635C7A8A"/>
    <w:rsid w:val="63607B63"/>
    <w:rsid w:val="636451F8"/>
    <w:rsid w:val="636655E8"/>
    <w:rsid w:val="63715118"/>
    <w:rsid w:val="637A221F"/>
    <w:rsid w:val="637F7835"/>
    <w:rsid w:val="63827B1B"/>
    <w:rsid w:val="63864396"/>
    <w:rsid w:val="639826A5"/>
    <w:rsid w:val="639C03E7"/>
    <w:rsid w:val="63AB4186"/>
    <w:rsid w:val="63AC40B1"/>
    <w:rsid w:val="63AC7B01"/>
    <w:rsid w:val="63B069B7"/>
    <w:rsid w:val="63B96A14"/>
    <w:rsid w:val="63C85E2C"/>
    <w:rsid w:val="63D92960"/>
    <w:rsid w:val="63E1229E"/>
    <w:rsid w:val="63E35F3A"/>
    <w:rsid w:val="63EC4F0E"/>
    <w:rsid w:val="63F0276B"/>
    <w:rsid w:val="63F43CF5"/>
    <w:rsid w:val="63FF4C2E"/>
    <w:rsid w:val="640A7A27"/>
    <w:rsid w:val="64104E63"/>
    <w:rsid w:val="6416019A"/>
    <w:rsid w:val="6419743D"/>
    <w:rsid w:val="641C32D6"/>
    <w:rsid w:val="641C6E32"/>
    <w:rsid w:val="641F310C"/>
    <w:rsid w:val="642B52C7"/>
    <w:rsid w:val="642D197F"/>
    <w:rsid w:val="64351649"/>
    <w:rsid w:val="643979E4"/>
    <w:rsid w:val="64412D3D"/>
    <w:rsid w:val="6449399F"/>
    <w:rsid w:val="64505561"/>
    <w:rsid w:val="6451172E"/>
    <w:rsid w:val="645B218B"/>
    <w:rsid w:val="64615543"/>
    <w:rsid w:val="646949A2"/>
    <w:rsid w:val="646A5923"/>
    <w:rsid w:val="64752152"/>
    <w:rsid w:val="64802D6E"/>
    <w:rsid w:val="6481537F"/>
    <w:rsid w:val="64835103"/>
    <w:rsid w:val="648F1CFA"/>
    <w:rsid w:val="64A37A75"/>
    <w:rsid w:val="64B7696A"/>
    <w:rsid w:val="64BF2823"/>
    <w:rsid w:val="64D30230"/>
    <w:rsid w:val="64D81ED5"/>
    <w:rsid w:val="64D85ADD"/>
    <w:rsid w:val="64E45A26"/>
    <w:rsid w:val="64EA6F30"/>
    <w:rsid w:val="64F25DE5"/>
    <w:rsid w:val="64FA0716"/>
    <w:rsid w:val="64FD4EB5"/>
    <w:rsid w:val="65097286"/>
    <w:rsid w:val="650B4776"/>
    <w:rsid w:val="651151DE"/>
    <w:rsid w:val="65182A1E"/>
    <w:rsid w:val="65194470"/>
    <w:rsid w:val="652900ED"/>
    <w:rsid w:val="65341AB7"/>
    <w:rsid w:val="65365BD7"/>
    <w:rsid w:val="653D34A1"/>
    <w:rsid w:val="654C0A01"/>
    <w:rsid w:val="654C400E"/>
    <w:rsid w:val="655C6B59"/>
    <w:rsid w:val="656767D3"/>
    <w:rsid w:val="65686596"/>
    <w:rsid w:val="65764C68"/>
    <w:rsid w:val="65931D3A"/>
    <w:rsid w:val="659822DD"/>
    <w:rsid w:val="65A3380C"/>
    <w:rsid w:val="65AB2B63"/>
    <w:rsid w:val="65AC2438"/>
    <w:rsid w:val="65AF3DC5"/>
    <w:rsid w:val="65B44DD6"/>
    <w:rsid w:val="65B500B8"/>
    <w:rsid w:val="65D21F83"/>
    <w:rsid w:val="65D60201"/>
    <w:rsid w:val="65D95B4E"/>
    <w:rsid w:val="65DF280D"/>
    <w:rsid w:val="65E174B2"/>
    <w:rsid w:val="65F01AB4"/>
    <w:rsid w:val="65F77B57"/>
    <w:rsid w:val="65FB765F"/>
    <w:rsid w:val="65FE7F42"/>
    <w:rsid w:val="66007C45"/>
    <w:rsid w:val="660B3DE6"/>
    <w:rsid w:val="66100967"/>
    <w:rsid w:val="6622278A"/>
    <w:rsid w:val="662720D2"/>
    <w:rsid w:val="663219D1"/>
    <w:rsid w:val="66376FAC"/>
    <w:rsid w:val="663A5586"/>
    <w:rsid w:val="664663E8"/>
    <w:rsid w:val="664B7EA3"/>
    <w:rsid w:val="665304C5"/>
    <w:rsid w:val="6653533F"/>
    <w:rsid w:val="665B5E5F"/>
    <w:rsid w:val="6660552E"/>
    <w:rsid w:val="66634050"/>
    <w:rsid w:val="66646397"/>
    <w:rsid w:val="666D301C"/>
    <w:rsid w:val="66723681"/>
    <w:rsid w:val="66854BCD"/>
    <w:rsid w:val="668D06E0"/>
    <w:rsid w:val="668F4233"/>
    <w:rsid w:val="669C06FE"/>
    <w:rsid w:val="669D0FFF"/>
    <w:rsid w:val="66A37B86"/>
    <w:rsid w:val="66B131AA"/>
    <w:rsid w:val="66B23631"/>
    <w:rsid w:val="66B87247"/>
    <w:rsid w:val="66C1139D"/>
    <w:rsid w:val="66D00173"/>
    <w:rsid w:val="66D12486"/>
    <w:rsid w:val="66D4710B"/>
    <w:rsid w:val="66D87459"/>
    <w:rsid w:val="66DC5B3F"/>
    <w:rsid w:val="66E03F2D"/>
    <w:rsid w:val="66EB4340"/>
    <w:rsid w:val="66EF6A80"/>
    <w:rsid w:val="66F81E55"/>
    <w:rsid w:val="67071D58"/>
    <w:rsid w:val="670C5884"/>
    <w:rsid w:val="67105321"/>
    <w:rsid w:val="67286393"/>
    <w:rsid w:val="67366086"/>
    <w:rsid w:val="67381AD5"/>
    <w:rsid w:val="674E19F8"/>
    <w:rsid w:val="675E2286"/>
    <w:rsid w:val="676E7F3D"/>
    <w:rsid w:val="67703034"/>
    <w:rsid w:val="67704FAD"/>
    <w:rsid w:val="67705E13"/>
    <w:rsid w:val="67740045"/>
    <w:rsid w:val="677436BA"/>
    <w:rsid w:val="677E4332"/>
    <w:rsid w:val="67836156"/>
    <w:rsid w:val="67880EF4"/>
    <w:rsid w:val="67A27CC2"/>
    <w:rsid w:val="67A60B9C"/>
    <w:rsid w:val="67AD0F3F"/>
    <w:rsid w:val="67B30841"/>
    <w:rsid w:val="67C02813"/>
    <w:rsid w:val="67C5120B"/>
    <w:rsid w:val="67D440E3"/>
    <w:rsid w:val="67D514C6"/>
    <w:rsid w:val="67DA2C38"/>
    <w:rsid w:val="67DF6EC0"/>
    <w:rsid w:val="67EA233A"/>
    <w:rsid w:val="67EF30B3"/>
    <w:rsid w:val="67FE2E53"/>
    <w:rsid w:val="68061993"/>
    <w:rsid w:val="680D0939"/>
    <w:rsid w:val="68237FD2"/>
    <w:rsid w:val="68252054"/>
    <w:rsid w:val="68331294"/>
    <w:rsid w:val="68394CF3"/>
    <w:rsid w:val="684224C0"/>
    <w:rsid w:val="684557CE"/>
    <w:rsid w:val="68466D27"/>
    <w:rsid w:val="685F3791"/>
    <w:rsid w:val="685F5D48"/>
    <w:rsid w:val="686A00C3"/>
    <w:rsid w:val="686C698D"/>
    <w:rsid w:val="686D127F"/>
    <w:rsid w:val="687067F6"/>
    <w:rsid w:val="68741E62"/>
    <w:rsid w:val="6874371C"/>
    <w:rsid w:val="68747A3A"/>
    <w:rsid w:val="687731D1"/>
    <w:rsid w:val="68802A41"/>
    <w:rsid w:val="6885133E"/>
    <w:rsid w:val="689078F6"/>
    <w:rsid w:val="689304A0"/>
    <w:rsid w:val="68A5389A"/>
    <w:rsid w:val="68B65617"/>
    <w:rsid w:val="68B729D2"/>
    <w:rsid w:val="68B93D81"/>
    <w:rsid w:val="68BC7885"/>
    <w:rsid w:val="68D1337E"/>
    <w:rsid w:val="68D20407"/>
    <w:rsid w:val="68DD74D8"/>
    <w:rsid w:val="68E3352F"/>
    <w:rsid w:val="68E65278"/>
    <w:rsid w:val="68EC04DE"/>
    <w:rsid w:val="68F20AA9"/>
    <w:rsid w:val="68FC7FC0"/>
    <w:rsid w:val="69022832"/>
    <w:rsid w:val="69093CAF"/>
    <w:rsid w:val="69097784"/>
    <w:rsid w:val="690B7520"/>
    <w:rsid w:val="691200AE"/>
    <w:rsid w:val="69140A20"/>
    <w:rsid w:val="69152147"/>
    <w:rsid w:val="69285AA8"/>
    <w:rsid w:val="6931256A"/>
    <w:rsid w:val="69317031"/>
    <w:rsid w:val="69466329"/>
    <w:rsid w:val="69564B94"/>
    <w:rsid w:val="695A58A7"/>
    <w:rsid w:val="695F613F"/>
    <w:rsid w:val="69601EB7"/>
    <w:rsid w:val="69647D29"/>
    <w:rsid w:val="6977720C"/>
    <w:rsid w:val="697E40EB"/>
    <w:rsid w:val="697E74B0"/>
    <w:rsid w:val="6992357A"/>
    <w:rsid w:val="69AB1271"/>
    <w:rsid w:val="69AD77A9"/>
    <w:rsid w:val="69AF21EC"/>
    <w:rsid w:val="69B875FD"/>
    <w:rsid w:val="69B96038"/>
    <w:rsid w:val="69C76718"/>
    <w:rsid w:val="69C81164"/>
    <w:rsid w:val="69CF00C0"/>
    <w:rsid w:val="69D32689"/>
    <w:rsid w:val="69D85016"/>
    <w:rsid w:val="69DA61FE"/>
    <w:rsid w:val="69DC02CC"/>
    <w:rsid w:val="69E67C99"/>
    <w:rsid w:val="69FD5302"/>
    <w:rsid w:val="6A0456C2"/>
    <w:rsid w:val="6A0A4204"/>
    <w:rsid w:val="6A0A518E"/>
    <w:rsid w:val="6A0B1654"/>
    <w:rsid w:val="6A1F58CE"/>
    <w:rsid w:val="6A220495"/>
    <w:rsid w:val="6A2C3B47"/>
    <w:rsid w:val="6A305C56"/>
    <w:rsid w:val="6A410D55"/>
    <w:rsid w:val="6A441179"/>
    <w:rsid w:val="6A476FE2"/>
    <w:rsid w:val="6A497118"/>
    <w:rsid w:val="6A5318E5"/>
    <w:rsid w:val="6A6D40BC"/>
    <w:rsid w:val="6A6D5380"/>
    <w:rsid w:val="6A7259FE"/>
    <w:rsid w:val="6A817C93"/>
    <w:rsid w:val="6A83685F"/>
    <w:rsid w:val="6A871F0C"/>
    <w:rsid w:val="6A897C0D"/>
    <w:rsid w:val="6A8D10DF"/>
    <w:rsid w:val="6A90546D"/>
    <w:rsid w:val="6A971908"/>
    <w:rsid w:val="6AA320BF"/>
    <w:rsid w:val="6AB5211E"/>
    <w:rsid w:val="6ABF0E6A"/>
    <w:rsid w:val="6ACD0E86"/>
    <w:rsid w:val="6AD00976"/>
    <w:rsid w:val="6AD95A7D"/>
    <w:rsid w:val="6AD97F5A"/>
    <w:rsid w:val="6ADE12E5"/>
    <w:rsid w:val="6ADF06DE"/>
    <w:rsid w:val="6AF42FD3"/>
    <w:rsid w:val="6AFA59F3"/>
    <w:rsid w:val="6AFF0D97"/>
    <w:rsid w:val="6B05038A"/>
    <w:rsid w:val="6B176BC8"/>
    <w:rsid w:val="6B2B66DF"/>
    <w:rsid w:val="6B6C069F"/>
    <w:rsid w:val="6B6D4417"/>
    <w:rsid w:val="6B716202"/>
    <w:rsid w:val="6B741C4A"/>
    <w:rsid w:val="6B753F21"/>
    <w:rsid w:val="6B776695"/>
    <w:rsid w:val="6B782F1E"/>
    <w:rsid w:val="6B7925B5"/>
    <w:rsid w:val="6B8829BB"/>
    <w:rsid w:val="6B89009E"/>
    <w:rsid w:val="6B8A0EE1"/>
    <w:rsid w:val="6B8B51C2"/>
    <w:rsid w:val="6B9A59AF"/>
    <w:rsid w:val="6BA076F0"/>
    <w:rsid w:val="6BA716CC"/>
    <w:rsid w:val="6BAC4F3F"/>
    <w:rsid w:val="6BAF7BD0"/>
    <w:rsid w:val="6BC3763E"/>
    <w:rsid w:val="6BC568DE"/>
    <w:rsid w:val="6BC8789F"/>
    <w:rsid w:val="6BCA00F3"/>
    <w:rsid w:val="6BD44428"/>
    <w:rsid w:val="6BDA756C"/>
    <w:rsid w:val="6BDC755C"/>
    <w:rsid w:val="6BDD4FB6"/>
    <w:rsid w:val="6BEB340B"/>
    <w:rsid w:val="6BF47F19"/>
    <w:rsid w:val="6BF510A4"/>
    <w:rsid w:val="6BFE0F82"/>
    <w:rsid w:val="6BFF36AF"/>
    <w:rsid w:val="6C0343D2"/>
    <w:rsid w:val="6C144674"/>
    <w:rsid w:val="6C161086"/>
    <w:rsid w:val="6C2E38EE"/>
    <w:rsid w:val="6C335661"/>
    <w:rsid w:val="6C3811AE"/>
    <w:rsid w:val="6C45693C"/>
    <w:rsid w:val="6C4873D4"/>
    <w:rsid w:val="6C4E4249"/>
    <w:rsid w:val="6C5164C2"/>
    <w:rsid w:val="6C576A17"/>
    <w:rsid w:val="6C5C7421"/>
    <w:rsid w:val="6C602F3C"/>
    <w:rsid w:val="6C647BD2"/>
    <w:rsid w:val="6C671C24"/>
    <w:rsid w:val="6C774EA5"/>
    <w:rsid w:val="6C77611C"/>
    <w:rsid w:val="6C7D1340"/>
    <w:rsid w:val="6C8A7F22"/>
    <w:rsid w:val="6C8E2466"/>
    <w:rsid w:val="6C900289"/>
    <w:rsid w:val="6C973107"/>
    <w:rsid w:val="6C9D26A9"/>
    <w:rsid w:val="6CAD5413"/>
    <w:rsid w:val="6CB561E6"/>
    <w:rsid w:val="6CC02E2E"/>
    <w:rsid w:val="6CC83FFB"/>
    <w:rsid w:val="6CD04B41"/>
    <w:rsid w:val="6CD96E67"/>
    <w:rsid w:val="6CDD1263"/>
    <w:rsid w:val="6CDD463E"/>
    <w:rsid w:val="6CE27AF9"/>
    <w:rsid w:val="6CE30221"/>
    <w:rsid w:val="6CF50B68"/>
    <w:rsid w:val="6CF511CB"/>
    <w:rsid w:val="6CF83B19"/>
    <w:rsid w:val="6CFE7A1D"/>
    <w:rsid w:val="6D001895"/>
    <w:rsid w:val="6D013069"/>
    <w:rsid w:val="6D035033"/>
    <w:rsid w:val="6D0A2431"/>
    <w:rsid w:val="6D13356D"/>
    <w:rsid w:val="6D172F05"/>
    <w:rsid w:val="6D1B4843"/>
    <w:rsid w:val="6D1E383F"/>
    <w:rsid w:val="6D233B8B"/>
    <w:rsid w:val="6D242CB5"/>
    <w:rsid w:val="6D324CAD"/>
    <w:rsid w:val="6D327C15"/>
    <w:rsid w:val="6D347EA9"/>
    <w:rsid w:val="6D38376D"/>
    <w:rsid w:val="6D396CA7"/>
    <w:rsid w:val="6D3A1767"/>
    <w:rsid w:val="6D3B587B"/>
    <w:rsid w:val="6D3D7F2F"/>
    <w:rsid w:val="6D594AFC"/>
    <w:rsid w:val="6D64766A"/>
    <w:rsid w:val="6D696D90"/>
    <w:rsid w:val="6D6A6E60"/>
    <w:rsid w:val="6D6C2BD8"/>
    <w:rsid w:val="6D8D2B4F"/>
    <w:rsid w:val="6D940381"/>
    <w:rsid w:val="6D986AF3"/>
    <w:rsid w:val="6D994C12"/>
    <w:rsid w:val="6DAB236E"/>
    <w:rsid w:val="6DB60733"/>
    <w:rsid w:val="6DBB120B"/>
    <w:rsid w:val="6DBE1A43"/>
    <w:rsid w:val="6DCB287A"/>
    <w:rsid w:val="6DCF476F"/>
    <w:rsid w:val="6DD2377C"/>
    <w:rsid w:val="6DDB1B0C"/>
    <w:rsid w:val="6DE309C1"/>
    <w:rsid w:val="6DF04651"/>
    <w:rsid w:val="6DF825E5"/>
    <w:rsid w:val="6E010E59"/>
    <w:rsid w:val="6E0D3650"/>
    <w:rsid w:val="6E182D60"/>
    <w:rsid w:val="6E282CF9"/>
    <w:rsid w:val="6E2B2A93"/>
    <w:rsid w:val="6E2D2C94"/>
    <w:rsid w:val="6E461B04"/>
    <w:rsid w:val="6E582A2C"/>
    <w:rsid w:val="6E6011F9"/>
    <w:rsid w:val="6E645FA5"/>
    <w:rsid w:val="6E657628"/>
    <w:rsid w:val="6E6E1524"/>
    <w:rsid w:val="6E7961A9"/>
    <w:rsid w:val="6E7E2890"/>
    <w:rsid w:val="6E825693"/>
    <w:rsid w:val="6E881C94"/>
    <w:rsid w:val="6E9154B8"/>
    <w:rsid w:val="6E9270A8"/>
    <w:rsid w:val="6EA13BFA"/>
    <w:rsid w:val="6EAD794B"/>
    <w:rsid w:val="6EC15B86"/>
    <w:rsid w:val="6EC15FF9"/>
    <w:rsid w:val="6EC425A0"/>
    <w:rsid w:val="6EC543D7"/>
    <w:rsid w:val="6EC82F43"/>
    <w:rsid w:val="6EE54ACA"/>
    <w:rsid w:val="6EEF1D13"/>
    <w:rsid w:val="6EF9023E"/>
    <w:rsid w:val="6EFA4A61"/>
    <w:rsid w:val="6EFC4430"/>
    <w:rsid w:val="6EFF229C"/>
    <w:rsid w:val="6F045092"/>
    <w:rsid w:val="6F1928EC"/>
    <w:rsid w:val="6F1A0BE2"/>
    <w:rsid w:val="6F1A2251"/>
    <w:rsid w:val="6F1A6D0C"/>
    <w:rsid w:val="6F231DFF"/>
    <w:rsid w:val="6F2A675D"/>
    <w:rsid w:val="6F3B6D06"/>
    <w:rsid w:val="6F5C3578"/>
    <w:rsid w:val="6F63625D"/>
    <w:rsid w:val="6F6618A9"/>
    <w:rsid w:val="6F7F78D9"/>
    <w:rsid w:val="6F844DBC"/>
    <w:rsid w:val="6F8715EB"/>
    <w:rsid w:val="6F8725F7"/>
    <w:rsid w:val="6F8C1686"/>
    <w:rsid w:val="6FA65F39"/>
    <w:rsid w:val="6FAD579E"/>
    <w:rsid w:val="6FBD6232"/>
    <w:rsid w:val="6FC01F8F"/>
    <w:rsid w:val="6FC514E5"/>
    <w:rsid w:val="6FCF73F6"/>
    <w:rsid w:val="6FDC1942"/>
    <w:rsid w:val="6FE06C43"/>
    <w:rsid w:val="6FE20202"/>
    <w:rsid w:val="6FEC283D"/>
    <w:rsid w:val="6FF43359"/>
    <w:rsid w:val="6FF9096F"/>
    <w:rsid w:val="6FF93153"/>
    <w:rsid w:val="6FFA2C08"/>
    <w:rsid w:val="700500E3"/>
    <w:rsid w:val="700C21C5"/>
    <w:rsid w:val="70246D82"/>
    <w:rsid w:val="702A275D"/>
    <w:rsid w:val="702C748F"/>
    <w:rsid w:val="70382C39"/>
    <w:rsid w:val="703D65DA"/>
    <w:rsid w:val="703F08EA"/>
    <w:rsid w:val="703F5BF3"/>
    <w:rsid w:val="704551BF"/>
    <w:rsid w:val="70455963"/>
    <w:rsid w:val="70497201"/>
    <w:rsid w:val="704C260E"/>
    <w:rsid w:val="70543CE2"/>
    <w:rsid w:val="70561F0A"/>
    <w:rsid w:val="705E5D7E"/>
    <w:rsid w:val="705F4C76"/>
    <w:rsid w:val="706458F5"/>
    <w:rsid w:val="707675BB"/>
    <w:rsid w:val="708A2768"/>
    <w:rsid w:val="709D2DEC"/>
    <w:rsid w:val="709F20B3"/>
    <w:rsid w:val="70A01767"/>
    <w:rsid w:val="70A15996"/>
    <w:rsid w:val="70A55376"/>
    <w:rsid w:val="70AA46DF"/>
    <w:rsid w:val="70AC7790"/>
    <w:rsid w:val="70B800B5"/>
    <w:rsid w:val="70B82FD3"/>
    <w:rsid w:val="70B95679"/>
    <w:rsid w:val="70C224AB"/>
    <w:rsid w:val="70C432B4"/>
    <w:rsid w:val="70CA591E"/>
    <w:rsid w:val="70CC28E1"/>
    <w:rsid w:val="70CF4244"/>
    <w:rsid w:val="70D676F5"/>
    <w:rsid w:val="70DF7ED0"/>
    <w:rsid w:val="70EC65A4"/>
    <w:rsid w:val="70EE1B56"/>
    <w:rsid w:val="70F4004C"/>
    <w:rsid w:val="70F82D59"/>
    <w:rsid w:val="710515F9"/>
    <w:rsid w:val="710D5505"/>
    <w:rsid w:val="711606F7"/>
    <w:rsid w:val="711D243B"/>
    <w:rsid w:val="71275730"/>
    <w:rsid w:val="713043DC"/>
    <w:rsid w:val="7136359B"/>
    <w:rsid w:val="713C0B14"/>
    <w:rsid w:val="714960E5"/>
    <w:rsid w:val="714F1722"/>
    <w:rsid w:val="716144FC"/>
    <w:rsid w:val="71707E34"/>
    <w:rsid w:val="717179D7"/>
    <w:rsid w:val="7175261E"/>
    <w:rsid w:val="7175696F"/>
    <w:rsid w:val="7198256C"/>
    <w:rsid w:val="719C7B18"/>
    <w:rsid w:val="719E7939"/>
    <w:rsid w:val="719F49F9"/>
    <w:rsid w:val="71B95573"/>
    <w:rsid w:val="71BB5741"/>
    <w:rsid w:val="71C30E32"/>
    <w:rsid w:val="71C81EF7"/>
    <w:rsid w:val="71CE7B26"/>
    <w:rsid w:val="71D80AB5"/>
    <w:rsid w:val="71E0131C"/>
    <w:rsid w:val="71E02D3A"/>
    <w:rsid w:val="71E87E16"/>
    <w:rsid w:val="71EB7849"/>
    <w:rsid w:val="71EC1C07"/>
    <w:rsid w:val="71F24FB3"/>
    <w:rsid w:val="71F52906"/>
    <w:rsid w:val="720158B9"/>
    <w:rsid w:val="720C498A"/>
    <w:rsid w:val="720D1F2F"/>
    <w:rsid w:val="720E7528"/>
    <w:rsid w:val="72217E8B"/>
    <w:rsid w:val="72256327"/>
    <w:rsid w:val="724265FE"/>
    <w:rsid w:val="724B2369"/>
    <w:rsid w:val="724C122A"/>
    <w:rsid w:val="726C71D7"/>
    <w:rsid w:val="726D6FD7"/>
    <w:rsid w:val="72712A3F"/>
    <w:rsid w:val="727D4077"/>
    <w:rsid w:val="727E121A"/>
    <w:rsid w:val="72863AA7"/>
    <w:rsid w:val="728F7ACD"/>
    <w:rsid w:val="72943159"/>
    <w:rsid w:val="72953AF1"/>
    <w:rsid w:val="729B6C0B"/>
    <w:rsid w:val="72A44BC2"/>
    <w:rsid w:val="72AC0607"/>
    <w:rsid w:val="72AD7075"/>
    <w:rsid w:val="72B20521"/>
    <w:rsid w:val="72B80B69"/>
    <w:rsid w:val="72C4162D"/>
    <w:rsid w:val="72CC5EC7"/>
    <w:rsid w:val="72CE7E91"/>
    <w:rsid w:val="72DC7380"/>
    <w:rsid w:val="72DE30C9"/>
    <w:rsid w:val="72DE3FCB"/>
    <w:rsid w:val="72E328D4"/>
    <w:rsid w:val="72E43F2E"/>
    <w:rsid w:val="73150018"/>
    <w:rsid w:val="731A4616"/>
    <w:rsid w:val="731F472C"/>
    <w:rsid w:val="73217FC1"/>
    <w:rsid w:val="73225980"/>
    <w:rsid w:val="733F2B3D"/>
    <w:rsid w:val="73493989"/>
    <w:rsid w:val="734B1B9C"/>
    <w:rsid w:val="734C1455"/>
    <w:rsid w:val="735E1215"/>
    <w:rsid w:val="73691C33"/>
    <w:rsid w:val="7373536B"/>
    <w:rsid w:val="737522CC"/>
    <w:rsid w:val="73770563"/>
    <w:rsid w:val="7379604F"/>
    <w:rsid w:val="737A1DC7"/>
    <w:rsid w:val="737C342A"/>
    <w:rsid w:val="737D37CC"/>
    <w:rsid w:val="738B6531"/>
    <w:rsid w:val="738C4998"/>
    <w:rsid w:val="73944C37"/>
    <w:rsid w:val="739E7864"/>
    <w:rsid w:val="73A24FAD"/>
    <w:rsid w:val="73AA47FB"/>
    <w:rsid w:val="73AD7669"/>
    <w:rsid w:val="73B04BCD"/>
    <w:rsid w:val="73B65D64"/>
    <w:rsid w:val="73BC476F"/>
    <w:rsid w:val="73D14BBF"/>
    <w:rsid w:val="73D36370"/>
    <w:rsid w:val="73E221DF"/>
    <w:rsid w:val="73E26FB6"/>
    <w:rsid w:val="73E444BF"/>
    <w:rsid w:val="73EC4687"/>
    <w:rsid w:val="73F932F6"/>
    <w:rsid w:val="73FC27DC"/>
    <w:rsid w:val="73FD0584"/>
    <w:rsid w:val="740A314B"/>
    <w:rsid w:val="74126BC0"/>
    <w:rsid w:val="74150779"/>
    <w:rsid w:val="7419513C"/>
    <w:rsid w:val="7420296E"/>
    <w:rsid w:val="7423039A"/>
    <w:rsid w:val="74237D69"/>
    <w:rsid w:val="74273790"/>
    <w:rsid w:val="742B50E7"/>
    <w:rsid w:val="7434641A"/>
    <w:rsid w:val="743B1556"/>
    <w:rsid w:val="744148F7"/>
    <w:rsid w:val="74432E49"/>
    <w:rsid w:val="744732F4"/>
    <w:rsid w:val="744A3547"/>
    <w:rsid w:val="744D309E"/>
    <w:rsid w:val="744D6CEA"/>
    <w:rsid w:val="744F6BF8"/>
    <w:rsid w:val="745A5E80"/>
    <w:rsid w:val="745C1017"/>
    <w:rsid w:val="745C2583"/>
    <w:rsid w:val="746022ED"/>
    <w:rsid w:val="747B47C1"/>
    <w:rsid w:val="747B6FB9"/>
    <w:rsid w:val="748969B2"/>
    <w:rsid w:val="748E5B2A"/>
    <w:rsid w:val="749D5FFC"/>
    <w:rsid w:val="74A76C06"/>
    <w:rsid w:val="74A776A7"/>
    <w:rsid w:val="74A8311A"/>
    <w:rsid w:val="74B55A7D"/>
    <w:rsid w:val="74C11875"/>
    <w:rsid w:val="74C177D1"/>
    <w:rsid w:val="74CC659F"/>
    <w:rsid w:val="74CD1DBC"/>
    <w:rsid w:val="74D329FB"/>
    <w:rsid w:val="74D57736"/>
    <w:rsid w:val="74D76582"/>
    <w:rsid w:val="74E03EAC"/>
    <w:rsid w:val="74E30911"/>
    <w:rsid w:val="74E41769"/>
    <w:rsid w:val="74FD6AF9"/>
    <w:rsid w:val="7505436A"/>
    <w:rsid w:val="750A2CD7"/>
    <w:rsid w:val="750C6A6D"/>
    <w:rsid w:val="7514582F"/>
    <w:rsid w:val="75207767"/>
    <w:rsid w:val="75383CE8"/>
    <w:rsid w:val="75404290"/>
    <w:rsid w:val="75497CA3"/>
    <w:rsid w:val="754B359F"/>
    <w:rsid w:val="75514745"/>
    <w:rsid w:val="755334CE"/>
    <w:rsid w:val="755976A1"/>
    <w:rsid w:val="755D72AA"/>
    <w:rsid w:val="756C77A6"/>
    <w:rsid w:val="75882579"/>
    <w:rsid w:val="758B7BC5"/>
    <w:rsid w:val="75971833"/>
    <w:rsid w:val="759B4D4E"/>
    <w:rsid w:val="759E36E7"/>
    <w:rsid w:val="75A601B0"/>
    <w:rsid w:val="75A90395"/>
    <w:rsid w:val="75B27CA5"/>
    <w:rsid w:val="75C24F30"/>
    <w:rsid w:val="75C42A34"/>
    <w:rsid w:val="75C97A4F"/>
    <w:rsid w:val="75CA29A8"/>
    <w:rsid w:val="75CA6FC2"/>
    <w:rsid w:val="75D0102D"/>
    <w:rsid w:val="75D72FE8"/>
    <w:rsid w:val="75D9071B"/>
    <w:rsid w:val="75DA0B91"/>
    <w:rsid w:val="75DA6B4D"/>
    <w:rsid w:val="75DD11C7"/>
    <w:rsid w:val="75E64749"/>
    <w:rsid w:val="75EB48B6"/>
    <w:rsid w:val="75F062A3"/>
    <w:rsid w:val="75F158D8"/>
    <w:rsid w:val="75F45E61"/>
    <w:rsid w:val="75F60993"/>
    <w:rsid w:val="75FE1C7F"/>
    <w:rsid w:val="760043B5"/>
    <w:rsid w:val="76041917"/>
    <w:rsid w:val="76044DBC"/>
    <w:rsid w:val="7608238C"/>
    <w:rsid w:val="76094850"/>
    <w:rsid w:val="76095B3C"/>
    <w:rsid w:val="76096254"/>
    <w:rsid w:val="760C6BF7"/>
    <w:rsid w:val="762142B8"/>
    <w:rsid w:val="762A6911"/>
    <w:rsid w:val="762A6F77"/>
    <w:rsid w:val="762B7BC5"/>
    <w:rsid w:val="762E7C4C"/>
    <w:rsid w:val="7634625D"/>
    <w:rsid w:val="764A13AC"/>
    <w:rsid w:val="76504B2A"/>
    <w:rsid w:val="76515480"/>
    <w:rsid w:val="76544B51"/>
    <w:rsid w:val="76601709"/>
    <w:rsid w:val="76742690"/>
    <w:rsid w:val="767D65DB"/>
    <w:rsid w:val="767D7DFF"/>
    <w:rsid w:val="76830CCE"/>
    <w:rsid w:val="768D6682"/>
    <w:rsid w:val="7698178A"/>
    <w:rsid w:val="76982C90"/>
    <w:rsid w:val="769F2DDA"/>
    <w:rsid w:val="76A03E90"/>
    <w:rsid w:val="76CB270C"/>
    <w:rsid w:val="76D16297"/>
    <w:rsid w:val="76DD67D3"/>
    <w:rsid w:val="76E00191"/>
    <w:rsid w:val="76E30E67"/>
    <w:rsid w:val="76E761E8"/>
    <w:rsid w:val="76EA2DC0"/>
    <w:rsid w:val="76F529B8"/>
    <w:rsid w:val="76FC03FE"/>
    <w:rsid w:val="77130569"/>
    <w:rsid w:val="771B4FFF"/>
    <w:rsid w:val="772E7A2D"/>
    <w:rsid w:val="773310E3"/>
    <w:rsid w:val="773B71ED"/>
    <w:rsid w:val="774424D0"/>
    <w:rsid w:val="77511B2F"/>
    <w:rsid w:val="776B358A"/>
    <w:rsid w:val="776B5480"/>
    <w:rsid w:val="77795FA5"/>
    <w:rsid w:val="77880CD0"/>
    <w:rsid w:val="77885880"/>
    <w:rsid w:val="779043E2"/>
    <w:rsid w:val="779150B9"/>
    <w:rsid w:val="779D7E32"/>
    <w:rsid w:val="779D7FD8"/>
    <w:rsid w:val="77A67511"/>
    <w:rsid w:val="77AA6F77"/>
    <w:rsid w:val="77B203F2"/>
    <w:rsid w:val="77B34168"/>
    <w:rsid w:val="77B853CE"/>
    <w:rsid w:val="77BE1E71"/>
    <w:rsid w:val="77C16217"/>
    <w:rsid w:val="77C36C3C"/>
    <w:rsid w:val="77C43301"/>
    <w:rsid w:val="77CB0788"/>
    <w:rsid w:val="77CB499F"/>
    <w:rsid w:val="77DA3B38"/>
    <w:rsid w:val="77DC26B1"/>
    <w:rsid w:val="77DF0EAD"/>
    <w:rsid w:val="77FB21B6"/>
    <w:rsid w:val="77FF444C"/>
    <w:rsid w:val="78054355"/>
    <w:rsid w:val="78102276"/>
    <w:rsid w:val="78164B46"/>
    <w:rsid w:val="78250553"/>
    <w:rsid w:val="782642CC"/>
    <w:rsid w:val="78280044"/>
    <w:rsid w:val="78395DAD"/>
    <w:rsid w:val="784A5EBD"/>
    <w:rsid w:val="784D3606"/>
    <w:rsid w:val="784D556E"/>
    <w:rsid w:val="784E76DC"/>
    <w:rsid w:val="78571967"/>
    <w:rsid w:val="786A010A"/>
    <w:rsid w:val="787C42DD"/>
    <w:rsid w:val="788A5451"/>
    <w:rsid w:val="789418F0"/>
    <w:rsid w:val="789D4FA3"/>
    <w:rsid w:val="78A504C8"/>
    <w:rsid w:val="78AC0041"/>
    <w:rsid w:val="78B11DE7"/>
    <w:rsid w:val="78B13B0E"/>
    <w:rsid w:val="78B8775D"/>
    <w:rsid w:val="78C05B25"/>
    <w:rsid w:val="78C84750"/>
    <w:rsid w:val="78D855C6"/>
    <w:rsid w:val="78DA2088"/>
    <w:rsid w:val="78DF77D5"/>
    <w:rsid w:val="78E656E7"/>
    <w:rsid w:val="78E75646"/>
    <w:rsid w:val="78E901C3"/>
    <w:rsid w:val="78EB5EFD"/>
    <w:rsid w:val="78F8672E"/>
    <w:rsid w:val="79062161"/>
    <w:rsid w:val="79162D4D"/>
    <w:rsid w:val="791E26B4"/>
    <w:rsid w:val="792D38DD"/>
    <w:rsid w:val="793C27D0"/>
    <w:rsid w:val="79456D2F"/>
    <w:rsid w:val="79481F08"/>
    <w:rsid w:val="79496D88"/>
    <w:rsid w:val="794C1DA6"/>
    <w:rsid w:val="795874B4"/>
    <w:rsid w:val="7961710C"/>
    <w:rsid w:val="7962039C"/>
    <w:rsid w:val="796226B7"/>
    <w:rsid w:val="7962731E"/>
    <w:rsid w:val="796450AB"/>
    <w:rsid w:val="79780B57"/>
    <w:rsid w:val="798736BF"/>
    <w:rsid w:val="798813F5"/>
    <w:rsid w:val="79974114"/>
    <w:rsid w:val="799C5797"/>
    <w:rsid w:val="79A156EC"/>
    <w:rsid w:val="79A8041A"/>
    <w:rsid w:val="79B44348"/>
    <w:rsid w:val="79C32FEF"/>
    <w:rsid w:val="79D30053"/>
    <w:rsid w:val="79D42231"/>
    <w:rsid w:val="79DE7C8F"/>
    <w:rsid w:val="79E52441"/>
    <w:rsid w:val="7A2013FC"/>
    <w:rsid w:val="7A215327"/>
    <w:rsid w:val="7A24075A"/>
    <w:rsid w:val="7A293534"/>
    <w:rsid w:val="7A3643BA"/>
    <w:rsid w:val="7A380C3F"/>
    <w:rsid w:val="7A4C0DA0"/>
    <w:rsid w:val="7A574C10"/>
    <w:rsid w:val="7A576A80"/>
    <w:rsid w:val="7A5C7ABE"/>
    <w:rsid w:val="7A60302C"/>
    <w:rsid w:val="7A6840CE"/>
    <w:rsid w:val="7A7E219D"/>
    <w:rsid w:val="7A7F4BEA"/>
    <w:rsid w:val="7A865DC3"/>
    <w:rsid w:val="7A894151"/>
    <w:rsid w:val="7A8E51C8"/>
    <w:rsid w:val="7A904F95"/>
    <w:rsid w:val="7A97500D"/>
    <w:rsid w:val="7A975B0F"/>
    <w:rsid w:val="7A9C36A2"/>
    <w:rsid w:val="7AA615A6"/>
    <w:rsid w:val="7AA9318C"/>
    <w:rsid w:val="7AB76C4F"/>
    <w:rsid w:val="7ABD6E5B"/>
    <w:rsid w:val="7AC06311"/>
    <w:rsid w:val="7AC330B7"/>
    <w:rsid w:val="7AC91B64"/>
    <w:rsid w:val="7ACC2256"/>
    <w:rsid w:val="7ACE7B72"/>
    <w:rsid w:val="7AD54BB5"/>
    <w:rsid w:val="7ADB19DB"/>
    <w:rsid w:val="7ADC193F"/>
    <w:rsid w:val="7AE832A5"/>
    <w:rsid w:val="7AF67F85"/>
    <w:rsid w:val="7AFB1A3F"/>
    <w:rsid w:val="7B036EB4"/>
    <w:rsid w:val="7B095ECF"/>
    <w:rsid w:val="7B0D3C52"/>
    <w:rsid w:val="7B12491B"/>
    <w:rsid w:val="7B1810CF"/>
    <w:rsid w:val="7B2C61C2"/>
    <w:rsid w:val="7B315461"/>
    <w:rsid w:val="7B390BF2"/>
    <w:rsid w:val="7B4162C7"/>
    <w:rsid w:val="7B480D0D"/>
    <w:rsid w:val="7B4C7AD1"/>
    <w:rsid w:val="7B534E2D"/>
    <w:rsid w:val="7B591ED1"/>
    <w:rsid w:val="7B6302AC"/>
    <w:rsid w:val="7B683189"/>
    <w:rsid w:val="7B6E66F2"/>
    <w:rsid w:val="7B762213"/>
    <w:rsid w:val="7B785367"/>
    <w:rsid w:val="7B7A2964"/>
    <w:rsid w:val="7B8E4662"/>
    <w:rsid w:val="7B98535A"/>
    <w:rsid w:val="7BA83698"/>
    <w:rsid w:val="7BA93249"/>
    <w:rsid w:val="7BAE48FC"/>
    <w:rsid w:val="7BAF5F2E"/>
    <w:rsid w:val="7BB83DF8"/>
    <w:rsid w:val="7BBA2E35"/>
    <w:rsid w:val="7BC45C03"/>
    <w:rsid w:val="7BC45DE2"/>
    <w:rsid w:val="7BC76B4E"/>
    <w:rsid w:val="7BC9569A"/>
    <w:rsid w:val="7BCC163B"/>
    <w:rsid w:val="7BD81D81"/>
    <w:rsid w:val="7BD965EC"/>
    <w:rsid w:val="7BDF360D"/>
    <w:rsid w:val="7BE66796"/>
    <w:rsid w:val="7BFF4559"/>
    <w:rsid w:val="7C0827FE"/>
    <w:rsid w:val="7C1A756B"/>
    <w:rsid w:val="7C1B1028"/>
    <w:rsid w:val="7C226546"/>
    <w:rsid w:val="7C266245"/>
    <w:rsid w:val="7C27745C"/>
    <w:rsid w:val="7C2B2034"/>
    <w:rsid w:val="7C3043FE"/>
    <w:rsid w:val="7C36614C"/>
    <w:rsid w:val="7C366302"/>
    <w:rsid w:val="7C455132"/>
    <w:rsid w:val="7C4E1254"/>
    <w:rsid w:val="7C4F607B"/>
    <w:rsid w:val="7C54745D"/>
    <w:rsid w:val="7C556A53"/>
    <w:rsid w:val="7C583982"/>
    <w:rsid w:val="7C701FB9"/>
    <w:rsid w:val="7C7D0B32"/>
    <w:rsid w:val="7C804B0D"/>
    <w:rsid w:val="7C833A9B"/>
    <w:rsid w:val="7C885555"/>
    <w:rsid w:val="7C8C5EFB"/>
    <w:rsid w:val="7CA31AB6"/>
    <w:rsid w:val="7CA4518D"/>
    <w:rsid w:val="7CB41BA4"/>
    <w:rsid w:val="7CBE2D25"/>
    <w:rsid w:val="7CBE5D37"/>
    <w:rsid w:val="7CC0084B"/>
    <w:rsid w:val="7CC61BD9"/>
    <w:rsid w:val="7CC70B1A"/>
    <w:rsid w:val="7CCB376D"/>
    <w:rsid w:val="7CCC2D03"/>
    <w:rsid w:val="7CD17149"/>
    <w:rsid w:val="7CD730F8"/>
    <w:rsid w:val="7CEA32F9"/>
    <w:rsid w:val="7CEF7B71"/>
    <w:rsid w:val="7CF659DD"/>
    <w:rsid w:val="7CFB094E"/>
    <w:rsid w:val="7D027F2A"/>
    <w:rsid w:val="7D061726"/>
    <w:rsid w:val="7D0A1A32"/>
    <w:rsid w:val="7D0C1069"/>
    <w:rsid w:val="7D0E4B5B"/>
    <w:rsid w:val="7D1868D9"/>
    <w:rsid w:val="7D191B92"/>
    <w:rsid w:val="7D1B6EB8"/>
    <w:rsid w:val="7D33504E"/>
    <w:rsid w:val="7D362C54"/>
    <w:rsid w:val="7D363C81"/>
    <w:rsid w:val="7D3C08AA"/>
    <w:rsid w:val="7D3D410B"/>
    <w:rsid w:val="7D4928DE"/>
    <w:rsid w:val="7D494CE4"/>
    <w:rsid w:val="7D4C641E"/>
    <w:rsid w:val="7D5C493C"/>
    <w:rsid w:val="7D8605C7"/>
    <w:rsid w:val="7D8F6B8C"/>
    <w:rsid w:val="7DAE540F"/>
    <w:rsid w:val="7DB07FBB"/>
    <w:rsid w:val="7DB520AD"/>
    <w:rsid w:val="7DD535C7"/>
    <w:rsid w:val="7DD80B95"/>
    <w:rsid w:val="7DDC0344"/>
    <w:rsid w:val="7DDD367E"/>
    <w:rsid w:val="7DE7105B"/>
    <w:rsid w:val="7DE75F71"/>
    <w:rsid w:val="7DEA41A0"/>
    <w:rsid w:val="7DF1781A"/>
    <w:rsid w:val="7DF5241B"/>
    <w:rsid w:val="7DF7247F"/>
    <w:rsid w:val="7E066731"/>
    <w:rsid w:val="7E0C5874"/>
    <w:rsid w:val="7E0D5730"/>
    <w:rsid w:val="7E153475"/>
    <w:rsid w:val="7E1C1F79"/>
    <w:rsid w:val="7E1F2DD5"/>
    <w:rsid w:val="7E2A39F6"/>
    <w:rsid w:val="7E3C6DB1"/>
    <w:rsid w:val="7E4313B6"/>
    <w:rsid w:val="7E480690"/>
    <w:rsid w:val="7E503E50"/>
    <w:rsid w:val="7E513527"/>
    <w:rsid w:val="7E6071B0"/>
    <w:rsid w:val="7E804FCB"/>
    <w:rsid w:val="7E8E42BF"/>
    <w:rsid w:val="7E90670A"/>
    <w:rsid w:val="7E9212CE"/>
    <w:rsid w:val="7E9552F4"/>
    <w:rsid w:val="7E971EEC"/>
    <w:rsid w:val="7E9842E4"/>
    <w:rsid w:val="7EA63A70"/>
    <w:rsid w:val="7EA6705B"/>
    <w:rsid w:val="7EA67F14"/>
    <w:rsid w:val="7ED44F77"/>
    <w:rsid w:val="7ED544B5"/>
    <w:rsid w:val="7EDB49B6"/>
    <w:rsid w:val="7EE01021"/>
    <w:rsid w:val="7EEF0F32"/>
    <w:rsid w:val="7EF249D0"/>
    <w:rsid w:val="7F0C3E44"/>
    <w:rsid w:val="7F0D0F48"/>
    <w:rsid w:val="7F110E3B"/>
    <w:rsid w:val="7F1629A4"/>
    <w:rsid w:val="7F1B5E8E"/>
    <w:rsid w:val="7F280929"/>
    <w:rsid w:val="7F2E4552"/>
    <w:rsid w:val="7F3022EC"/>
    <w:rsid w:val="7F3360A4"/>
    <w:rsid w:val="7F3950C2"/>
    <w:rsid w:val="7F3A08BE"/>
    <w:rsid w:val="7F3A609B"/>
    <w:rsid w:val="7F484886"/>
    <w:rsid w:val="7F490B8E"/>
    <w:rsid w:val="7F4E3073"/>
    <w:rsid w:val="7F5117A9"/>
    <w:rsid w:val="7F5E259D"/>
    <w:rsid w:val="7F6B5FB7"/>
    <w:rsid w:val="7F7119F3"/>
    <w:rsid w:val="7F853AB6"/>
    <w:rsid w:val="7F8D4C51"/>
    <w:rsid w:val="7F9D305D"/>
    <w:rsid w:val="7FA23687"/>
    <w:rsid w:val="7FA2692E"/>
    <w:rsid w:val="7FA534FA"/>
    <w:rsid w:val="7FA71F3A"/>
    <w:rsid w:val="7FBA3C77"/>
    <w:rsid w:val="7FC379A1"/>
    <w:rsid w:val="7FC638A9"/>
    <w:rsid w:val="7FCB1D09"/>
    <w:rsid w:val="7FDD0932"/>
    <w:rsid w:val="7FE15B6A"/>
    <w:rsid w:val="7FE84467"/>
    <w:rsid w:val="7FF07C1F"/>
    <w:rsid w:val="7FF67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paragraph" w:styleId="4">
    <w:name w:val="heading 1"/>
    <w:basedOn w:val="1"/>
    <w:next w:val="1"/>
    <w:qFormat/>
    <w:uiPriority w:val="0"/>
    <w:pPr>
      <w:keepNext/>
      <w:keepLines/>
      <w:outlineLvl w:val="0"/>
    </w:pPr>
    <w:rPr>
      <w:b/>
      <w:kern w:val="44"/>
      <w:sz w:val="44"/>
    </w:rPr>
  </w:style>
  <w:style w:type="paragraph" w:styleId="5">
    <w:name w:val="heading 2"/>
    <w:basedOn w:val="1"/>
    <w:next w:val="1"/>
    <w:link w:val="32"/>
    <w:unhideWhenUsed/>
    <w:qFormat/>
    <w:uiPriority w:val="0"/>
    <w:pPr>
      <w:keepNext/>
      <w:keepLines/>
      <w:spacing w:line="500" w:lineRule="exact"/>
      <w:outlineLvl w:val="1"/>
    </w:pPr>
    <w:rPr>
      <w:rFonts w:ascii="Arial" w:hAnsi="Arial" w:eastAsia="黑体"/>
      <w:b/>
      <w:sz w:val="28"/>
    </w:rPr>
  </w:style>
  <w:style w:type="paragraph" w:styleId="6">
    <w:name w:val="heading 3"/>
    <w:basedOn w:val="1"/>
    <w:next w:val="1"/>
    <w:unhideWhenUsed/>
    <w:qFormat/>
    <w:uiPriority w:val="0"/>
    <w:pPr>
      <w:outlineLvl w:val="2"/>
    </w:pPr>
    <w:rPr>
      <w:rFonts w:hint="eastAsia" w:cs="Times New Roman"/>
      <w:b/>
      <w:kern w:val="0"/>
      <w:sz w:val="27"/>
      <w:szCs w:val="27"/>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1">
    <w:name w:val="Normal Indent"/>
    <w:basedOn w:val="1"/>
    <w:qFormat/>
    <w:uiPriority w:val="0"/>
    <w:pPr>
      <w:ind w:firstLine="420" w:firstLineChars="200"/>
    </w:pPr>
  </w:style>
  <w:style w:type="paragraph" w:styleId="12">
    <w:name w:val="annotation text"/>
    <w:basedOn w:val="1"/>
    <w:link w:val="71"/>
    <w:qFormat/>
    <w:uiPriority w:val="0"/>
  </w:style>
  <w:style w:type="paragraph" w:styleId="13">
    <w:name w:val="Body Text"/>
    <w:basedOn w:val="1"/>
    <w:next w:val="1"/>
    <w:qFormat/>
    <w:uiPriority w:val="0"/>
    <w:pPr>
      <w:spacing w:after="120"/>
    </w:pPr>
    <w:rPr>
      <w:rFonts w:ascii="Times New Roman"/>
    </w:rPr>
  </w:style>
  <w:style w:type="paragraph" w:styleId="14">
    <w:name w:val="Body Text Indent"/>
    <w:basedOn w:val="1"/>
    <w:qFormat/>
    <w:uiPriority w:val="0"/>
    <w:pPr>
      <w:ind w:firstLine="538" w:firstLineChars="168"/>
    </w:pPr>
    <w:rPr>
      <w:rFonts w:ascii="仿宋_GB2312" w:eastAsia="仿宋_GB2312"/>
      <w:sz w:val="32"/>
    </w:rPr>
  </w:style>
  <w:style w:type="paragraph" w:styleId="15">
    <w:name w:val="toc 3"/>
    <w:basedOn w:val="1"/>
    <w:next w:val="1"/>
    <w:qFormat/>
    <w:uiPriority w:val="0"/>
    <w:pPr>
      <w:wordWrap w:val="0"/>
      <w:topLinePunct/>
      <w:spacing w:line="400" w:lineRule="exact"/>
      <w:ind w:left="840" w:leftChars="400"/>
    </w:pPr>
    <w:rPr>
      <w:sz w:val="21"/>
    </w:rPr>
  </w:style>
  <w:style w:type="paragraph" w:styleId="16">
    <w:name w:val="Balloon Text"/>
    <w:basedOn w:val="1"/>
    <w:link w:val="73"/>
    <w:qFormat/>
    <w:uiPriority w:val="0"/>
    <w:pPr>
      <w:spacing w:line="240" w:lineRule="auto"/>
    </w:pPr>
    <w:rPr>
      <w:sz w:val="18"/>
      <w:szCs w:val="18"/>
    </w:rPr>
  </w:style>
  <w:style w:type="paragraph" w:styleId="17">
    <w:name w:val="footer"/>
    <w:basedOn w:val="1"/>
    <w:link w:val="31"/>
    <w:qFormat/>
    <w:uiPriority w:val="0"/>
    <w:pPr>
      <w:spacing w:line="240" w:lineRule="auto"/>
    </w:pPr>
    <w:rPr>
      <w:sz w:val="18"/>
      <w:szCs w:val="18"/>
    </w:rPr>
  </w:style>
  <w:style w:type="paragraph" w:styleId="18">
    <w:name w:val="header"/>
    <w:basedOn w:val="1"/>
    <w:link w:val="30"/>
    <w:qFormat/>
    <w:uiPriority w:val="0"/>
    <w:pPr>
      <w:pBdr>
        <w:bottom w:val="single" w:color="auto" w:sz="6" w:space="1"/>
      </w:pBdr>
      <w:wordWrap w:val="0"/>
      <w:topLinePunct/>
      <w:spacing w:line="240" w:lineRule="auto"/>
      <w:jc w:val="center"/>
    </w:pPr>
    <w:rPr>
      <w:sz w:val="18"/>
      <w:szCs w:val="18"/>
    </w:rPr>
  </w:style>
  <w:style w:type="paragraph" w:styleId="19">
    <w:name w:val="toc 1"/>
    <w:basedOn w:val="1"/>
    <w:next w:val="1"/>
    <w:qFormat/>
    <w:uiPriority w:val="0"/>
    <w:pPr>
      <w:tabs>
        <w:tab w:val="right" w:leader="dot" w:pos="0"/>
        <w:tab w:val="right" w:leader="dot" w:pos="9746"/>
      </w:tabs>
      <w:wordWrap w:val="0"/>
      <w:topLinePunct/>
      <w:spacing w:line="400" w:lineRule="exact"/>
    </w:pPr>
    <w:rPr>
      <w:sz w:val="21"/>
    </w:rPr>
  </w:style>
  <w:style w:type="paragraph" w:styleId="20">
    <w:name w:val="toc 6"/>
    <w:basedOn w:val="1"/>
    <w:next w:val="1"/>
    <w:qFormat/>
    <w:uiPriority w:val="0"/>
    <w:pPr>
      <w:ind w:left="2100"/>
    </w:pPr>
  </w:style>
  <w:style w:type="paragraph" w:styleId="21">
    <w:name w:val="toc 2"/>
    <w:basedOn w:val="1"/>
    <w:next w:val="1"/>
    <w:qFormat/>
    <w:uiPriority w:val="0"/>
    <w:pPr>
      <w:wordWrap w:val="0"/>
      <w:topLinePunct/>
      <w:spacing w:line="400" w:lineRule="exact"/>
      <w:ind w:left="420" w:leftChars="200"/>
    </w:pPr>
    <w:rPr>
      <w:sz w:val="21"/>
    </w:rPr>
  </w:style>
  <w:style w:type="paragraph" w:styleId="22">
    <w:name w:val="Normal (Web)"/>
    <w:basedOn w:val="1"/>
    <w:qFormat/>
    <w:uiPriority w:val="0"/>
    <w:pPr>
      <w:spacing w:beforeAutospacing="1" w:afterAutospacing="1"/>
    </w:pPr>
    <w:rPr>
      <w:rFonts w:cs="Times New Roman"/>
      <w:kern w:val="0"/>
    </w:rPr>
  </w:style>
  <w:style w:type="paragraph" w:styleId="23">
    <w:name w:val="Title"/>
    <w:basedOn w:val="1"/>
    <w:next w:val="1"/>
    <w:qFormat/>
    <w:uiPriority w:val="10"/>
    <w:pPr>
      <w:spacing w:before="240" w:after="60"/>
      <w:jc w:val="center"/>
    </w:pPr>
    <w:rPr>
      <w:rFonts w:ascii="Cambria" w:hAnsi="Cambria" w:eastAsia="方正小标宋简体" w:cs="Times New Roman"/>
      <w:bCs/>
      <w:sz w:val="36"/>
      <w:szCs w:val="32"/>
    </w:rPr>
  </w:style>
  <w:style w:type="paragraph" w:styleId="24">
    <w:name w:val="annotation subject"/>
    <w:basedOn w:val="12"/>
    <w:next w:val="12"/>
    <w:link w:val="72"/>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qFormat/>
    <w:uiPriority w:val="0"/>
    <w:rPr>
      <w:color w:val="0000FF"/>
      <w:u w:val="single"/>
    </w:rPr>
  </w:style>
  <w:style w:type="character" w:styleId="29">
    <w:name w:val="annotation reference"/>
    <w:basedOn w:val="27"/>
    <w:qFormat/>
    <w:uiPriority w:val="0"/>
    <w:rPr>
      <w:sz w:val="21"/>
      <w:szCs w:val="21"/>
    </w:rPr>
  </w:style>
  <w:style w:type="character" w:customStyle="1" w:styleId="30">
    <w:name w:val="页眉 Char"/>
    <w:basedOn w:val="27"/>
    <w:link w:val="18"/>
    <w:qFormat/>
    <w:uiPriority w:val="0"/>
    <w:rPr>
      <w:rFonts w:ascii="宋体" w:hAnsi="宋体" w:eastAsia="宋体" w:cstheme="minorBidi"/>
      <w:kern w:val="2"/>
      <w:sz w:val="18"/>
      <w:szCs w:val="18"/>
    </w:rPr>
  </w:style>
  <w:style w:type="character" w:customStyle="1" w:styleId="31">
    <w:name w:val="页脚 Char"/>
    <w:basedOn w:val="27"/>
    <w:link w:val="17"/>
    <w:qFormat/>
    <w:uiPriority w:val="0"/>
    <w:rPr>
      <w:rFonts w:ascii="宋体" w:hAnsi="宋体" w:eastAsia="宋体" w:cstheme="minorBidi"/>
      <w:kern w:val="2"/>
      <w:sz w:val="18"/>
      <w:szCs w:val="18"/>
    </w:rPr>
  </w:style>
  <w:style w:type="character" w:customStyle="1" w:styleId="32">
    <w:name w:val="标题 2 Char"/>
    <w:basedOn w:val="27"/>
    <w:link w:val="5"/>
    <w:qFormat/>
    <w:uiPriority w:val="0"/>
    <w:rPr>
      <w:rFonts w:ascii="Arial" w:hAnsi="Arial" w:eastAsia="黑体"/>
      <w:b/>
      <w:sz w:val="28"/>
    </w:rPr>
  </w:style>
  <w:style w:type="paragraph" w:customStyle="1" w:styleId="33">
    <w:name w:val="05、“(一)”正文三级标题"/>
    <w:basedOn w:val="1"/>
    <w:link w:val="58"/>
    <w:qFormat/>
    <w:uiPriority w:val="0"/>
    <w:pPr>
      <w:numPr>
        <w:ilvl w:val="1"/>
        <w:numId w:val="1"/>
      </w:numPr>
      <w:wordWrap w:val="0"/>
      <w:topLinePunct/>
      <w:ind w:firstLine="803" w:firstLineChars="200"/>
    </w:pPr>
  </w:style>
  <w:style w:type="paragraph" w:customStyle="1" w:styleId="34">
    <w:name w:val="00、封面正文(与其他内容无关的格式)"/>
    <w:basedOn w:val="1"/>
    <w:qFormat/>
    <w:uiPriority w:val="0"/>
  </w:style>
  <w:style w:type="paragraph" w:customStyle="1" w:styleId="35">
    <w:name w:val="15、“一、”二级标题"/>
    <w:basedOn w:val="1"/>
    <w:qFormat/>
    <w:uiPriority w:val="0"/>
    <w:pPr>
      <w:numPr>
        <w:ilvl w:val="1"/>
        <w:numId w:val="3"/>
      </w:numPr>
      <w:wordWrap w:val="0"/>
      <w:topLinePunct/>
      <w:ind w:firstLine="803" w:firstLineChars="200"/>
      <w:outlineLvl w:val="1"/>
    </w:pPr>
    <w:rPr>
      <w:b/>
    </w:rPr>
  </w:style>
  <w:style w:type="paragraph" w:customStyle="1" w:styleId="36">
    <w:name w:val="06、“1.”正文四级标题"/>
    <w:basedOn w:val="1"/>
    <w:link w:val="60"/>
    <w:qFormat/>
    <w:uiPriority w:val="0"/>
    <w:pPr>
      <w:numPr>
        <w:ilvl w:val="2"/>
        <w:numId w:val="1"/>
      </w:numPr>
      <w:wordWrap w:val="0"/>
      <w:topLinePunct/>
      <w:ind w:firstLine="803" w:firstLineChars="200"/>
    </w:pPr>
    <w:rPr>
      <w:snapToGrid w:val="0"/>
    </w:rPr>
  </w:style>
  <w:style w:type="paragraph" w:customStyle="1" w:styleId="37">
    <w:name w:val="07、“1.1”正文五级标题"/>
    <w:basedOn w:val="1"/>
    <w:link w:val="52"/>
    <w:qFormat/>
    <w:uiPriority w:val="0"/>
    <w:pPr>
      <w:numPr>
        <w:ilvl w:val="3"/>
        <w:numId w:val="1"/>
      </w:numPr>
      <w:ind w:firstLine="803" w:firstLineChars="200"/>
    </w:pPr>
  </w:style>
  <w:style w:type="paragraph" w:customStyle="1" w:styleId="38">
    <w:name w:val="08、“(1)”正文六级标题"/>
    <w:basedOn w:val="1"/>
    <w:link w:val="61"/>
    <w:qFormat/>
    <w:uiPriority w:val="0"/>
    <w:pPr>
      <w:numPr>
        <w:ilvl w:val="4"/>
        <w:numId w:val="1"/>
      </w:numPr>
      <w:ind w:firstLine="803" w:firstLineChars="200"/>
    </w:pPr>
    <w:rPr>
      <w:snapToGrid w:val="0"/>
    </w:rPr>
  </w:style>
  <w:style w:type="paragraph" w:customStyle="1" w:styleId="39">
    <w:name w:val="09、“1.”表格内一级标题"/>
    <w:basedOn w:val="1"/>
    <w:qFormat/>
    <w:uiPriority w:val="0"/>
    <w:pPr>
      <w:numPr>
        <w:ilvl w:val="0"/>
        <w:numId w:val="4"/>
      </w:numPr>
      <w:wordWrap w:val="0"/>
      <w:topLinePunct/>
      <w:spacing w:line="360" w:lineRule="exact"/>
      <w:ind w:left="48" w:leftChars="20"/>
    </w:pPr>
    <w:rPr>
      <w:snapToGrid w:val="0"/>
      <w:sz w:val="21"/>
    </w:rPr>
  </w:style>
  <w:style w:type="paragraph" w:customStyle="1" w:styleId="40">
    <w:name w:val="10、“1.1”表格内二级标题"/>
    <w:basedOn w:val="1"/>
    <w:link w:val="51"/>
    <w:qFormat/>
    <w:uiPriority w:val="0"/>
    <w:pPr>
      <w:numPr>
        <w:ilvl w:val="1"/>
        <w:numId w:val="4"/>
      </w:numPr>
      <w:wordWrap w:val="0"/>
      <w:topLinePunct/>
      <w:spacing w:line="360" w:lineRule="exact"/>
      <w:ind w:left="48" w:leftChars="20"/>
    </w:pPr>
    <w:rPr>
      <w:snapToGrid w:val="0"/>
      <w:sz w:val="21"/>
    </w:rPr>
  </w:style>
  <w:style w:type="paragraph" w:customStyle="1" w:styleId="41">
    <w:name w:val="11、“1.1.1”表格内三级标题"/>
    <w:basedOn w:val="1"/>
    <w:qFormat/>
    <w:uiPriority w:val="0"/>
    <w:pPr>
      <w:numPr>
        <w:ilvl w:val="2"/>
        <w:numId w:val="4"/>
      </w:numPr>
      <w:wordWrap w:val="0"/>
      <w:topLinePunct/>
      <w:spacing w:line="360" w:lineRule="exact"/>
      <w:ind w:left="48" w:leftChars="20"/>
    </w:pPr>
    <w:rPr>
      <w:snapToGrid w:val="0"/>
      <w:sz w:val="21"/>
    </w:rPr>
  </w:style>
  <w:style w:type="paragraph" w:customStyle="1" w:styleId="42">
    <w:name w:val="12、表格内左对齐正文"/>
    <w:basedOn w:val="1"/>
    <w:link w:val="62"/>
    <w:qFormat/>
    <w:uiPriority w:val="0"/>
    <w:pPr>
      <w:wordWrap w:val="0"/>
      <w:topLinePunct/>
      <w:spacing w:line="360" w:lineRule="exact"/>
      <w:ind w:left="48" w:leftChars="20"/>
    </w:pPr>
    <w:rPr>
      <w:snapToGrid w:val="0"/>
      <w:sz w:val="21"/>
    </w:rPr>
  </w:style>
  <w:style w:type="paragraph" w:customStyle="1" w:styleId="43">
    <w:name w:val="01、普通正文"/>
    <w:basedOn w:val="1"/>
    <w:link w:val="56"/>
    <w:qFormat/>
    <w:uiPriority w:val="0"/>
    <w:pPr>
      <w:wordWrap w:val="0"/>
      <w:topLinePunct/>
    </w:pPr>
    <w:rPr>
      <w:snapToGrid w:val="0"/>
    </w:rPr>
  </w:style>
  <w:style w:type="paragraph" w:customStyle="1" w:styleId="44">
    <w:name w:val="20、第五章“(一)”三级标题"/>
    <w:basedOn w:val="43"/>
    <w:link w:val="53"/>
    <w:qFormat/>
    <w:uiPriority w:val="0"/>
    <w:pPr>
      <w:pageBreakBefore/>
      <w:spacing w:before="50" w:beforeLines="50" w:after="50" w:afterLines="50"/>
      <w:jc w:val="center"/>
      <w:outlineLvl w:val="2"/>
    </w:pPr>
    <w:rPr>
      <w:b/>
      <w:sz w:val="28"/>
    </w:rPr>
  </w:style>
  <w:style w:type="paragraph" w:customStyle="1" w:styleId="45">
    <w:name w:val="13、表格内居中正文"/>
    <w:basedOn w:val="1"/>
    <w:qFormat/>
    <w:uiPriority w:val="0"/>
    <w:pPr>
      <w:wordWrap w:val="0"/>
      <w:topLinePunct/>
      <w:spacing w:line="360" w:lineRule="exact"/>
      <w:jc w:val="center"/>
    </w:pPr>
    <w:rPr>
      <w:sz w:val="21"/>
    </w:rPr>
  </w:style>
  <w:style w:type="paragraph" w:customStyle="1" w:styleId="46">
    <w:name w:val="02、首行缩进2字符正文"/>
    <w:basedOn w:val="1"/>
    <w:link w:val="55"/>
    <w:qFormat/>
    <w:uiPriority w:val="0"/>
    <w:pPr>
      <w:wordWrap w:val="0"/>
      <w:topLinePunct/>
      <w:ind w:firstLine="480" w:firstLineChars="200"/>
    </w:pPr>
  </w:style>
  <w:style w:type="paragraph" w:customStyle="1" w:styleId="47">
    <w:name w:val="03、“注：”正文(加粗，首行缩进2字符)"/>
    <w:basedOn w:val="43"/>
    <w:link w:val="57"/>
    <w:qFormat/>
    <w:uiPriority w:val="0"/>
    <w:pPr>
      <w:ind w:firstLine="480" w:firstLineChars="200"/>
    </w:pPr>
    <w:rPr>
      <w:b/>
    </w:rPr>
  </w:style>
  <w:style w:type="paragraph" w:customStyle="1" w:styleId="48">
    <w:name w:val="14、“第一章”一级标题"/>
    <w:basedOn w:val="43"/>
    <w:qFormat/>
    <w:uiPriority w:val="0"/>
    <w:pPr>
      <w:numPr>
        <w:ilvl w:val="0"/>
        <w:numId w:val="3"/>
      </w:numPr>
      <w:spacing w:before="50" w:beforeLines="50" w:after="50" w:afterLines="50" w:line="240" w:lineRule="auto"/>
      <w:jc w:val="center"/>
      <w:outlineLvl w:val="0"/>
    </w:pPr>
    <w:rPr>
      <w:b/>
      <w:sz w:val="36"/>
    </w:rPr>
  </w:style>
  <w:style w:type="paragraph" w:customStyle="1" w:styleId="49">
    <w:name w:val="16、“(一)”三级标题"/>
    <w:basedOn w:val="43"/>
    <w:link w:val="54"/>
    <w:qFormat/>
    <w:uiPriority w:val="0"/>
    <w:pPr>
      <w:numPr>
        <w:ilvl w:val="2"/>
        <w:numId w:val="3"/>
      </w:numPr>
      <w:ind w:firstLine="803" w:firstLineChars="200"/>
      <w:outlineLvl w:val="2"/>
    </w:pPr>
    <w:rPr>
      <w:b/>
    </w:rPr>
  </w:style>
  <w:style w:type="paragraph" w:customStyle="1" w:styleId="50">
    <w:name w:val="04“一、”正文二级标题"/>
    <w:basedOn w:val="43"/>
    <w:link w:val="59"/>
    <w:qFormat/>
    <w:uiPriority w:val="0"/>
    <w:pPr>
      <w:ind w:firstLine="803" w:firstLineChars="200"/>
    </w:pPr>
  </w:style>
  <w:style w:type="character" w:customStyle="1" w:styleId="51">
    <w:name w:val="10、“1.1”表格内二级标题 Char"/>
    <w:link w:val="40"/>
    <w:qFormat/>
    <w:uiPriority w:val="0"/>
    <w:rPr>
      <w:rFonts w:ascii="宋体" w:hAnsi="宋体" w:eastAsia="宋体"/>
      <w:snapToGrid w:val="0"/>
      <w:sz w:val="21"/>
    </w:rPr>
  </w:style>
  <w:style w:type="character" w:customStyle="1" w:styleId="52">
    <w:name w:val="07、“1.1”正文五级标题 Char"/>
    <w:link w:val="37"/>
    <w:qFormat/>
    <w:uiPriority w:val="0"/>
    <w:rPr>
      <w:rFonts w:ascii="宋体" w:hAnsi="宋体" w:eastAsia="宋体"/>
    </w:rPr>
  </w:style>
  <w:style w:type="character" w:customStyle="1" w:styleId="53">
    <w:name w:val="18、第三章“(一)”三级标题 Char"/>
    <w:link w:val="44"/>
    <w:qFormat/>
    <w:uiPriority w:val="0"/>
    <w:rPr>
      <w:rFonts w:ascii="宋体" w:hAnsi="宋体" w:eastAsia="宋体"/>
      <w:b/>
      <w:snapToGrid w:val="0"/>
      <w:kern w:val="2"/>
      <w:sz w:val="28"/>
      <w:szCs w:val="24"/>
    </w:rPr>
  </w:style>
  <w:style w:type="character" w:customStyle="1" w:styleId="54">
    <w:name w:val="16、“(一)”三级标题 Char"/>
    <w:link w:val="49"/>
    <w:qFormat/>
    <w:uiPriority w:val="0"/>
    <w:rPr>
      <w:rFonts w:ascii="宋体" w:hAnsi="宋体" w:eastAsia="宋体"/>
      <w:b/>
    </w:rPr>
  </w:style>
  <w:style w:type="character" w:customStyle="1" w:styleId="55">
    <w:name w:val="02、首行缩进2字符正文 Char"/>
    <w:link w:val="46"/>
    <w:qFormat/>
    <w:uiPriority w:val="0"/>
    <w:rPr>
      <w:rFonts w:ascii="宋体" w:hAnsi="宋体" w:eastAsia="宋体"/>
    </w:rPr>
  </w:style>
  <w:style w:type="character" w:customStyle="1" w:styleId="56">
    <w:name w:val="01、普通正文 Char"/>
    <w:link w:val="43"/>
    <w:qFormat/>
    <w:uiPriority w:val="0"/>
    <w:rPr>
      <w:rFonts w:ascii="宋体" w:hAnsi="宋体" w:eastAsia="宋体"/>
      <w:snapToGrid w:val="0"/>
    </w:rPr>
  </w:style>
  <w:style w:type="character" w:customStyle="1" w:styleId="57">
    <w:name w:val="03、“注：”正文(加粗，首行缩进2字符) Char"/>
    <w:link w:val="47"/>
    <w:qFormat/>
    <w:uiPriority w:val="0"/>
    <w:rPr>
      <w:b/>
    </w:rPr>
  </w:style>
  <w:style w:type="character" w:customStyle="1" w:styleId="58">
    <w:name w:val="05、“(一)”正文三级标题 Char"/>
    <w:link w:val="33"/>
    <w:qFormat/>
    <w:uiPriority w:val="0"/>
    <w:rPr>
      <w:rFonts w:ascii="宋体" w:hAnsi="宋体" w:eastAsia="宋体"/>
    </w:rPr>
  </w:style>
  <w:style w:type="character" w:customStyle="1" w:styleId="59">
    <w:name w:val="04“一、”正文二级标题 Char"/>
    <w:link w:val="50"/>
    <w:qFormat/>
    <w:uiPriority w:val="0"/>
  </w:style>
  <w:style w:type="character" w:customStyle="1" w:styleId="60">
    <w:name w:val="06、“1.”正文四级标题 Char"/>
    <w:link w:val="36"/>
    <w:qFormat/>
    <w:uiPriority w:val="0"/>
    <w:rPr>
      <w:rFonts w:ascii="宋体" w:hAnsi="宋体" w:eastAsia="宋体"/>
      <w:snapToGrid w:val="0"/>
    </w:rPr>
  </w:style>
  <w:style w:type="character" w:customStyle="1" w:styleId="61">
    <w:name w:val="08、“(1)”正文六级标题 Char"/>
    <w:link w:val="38"/>
    <w:qFormat/>
    <w:uiPriority w:val="0"/>
    <w:rPr>
      <w:rFonts w:ascii="宋体" w:hAnsi="宋体" w:eastAsia="宋体"/>
      <w:snapToGrid w:val="0"/>
    </w:rPr>
  </w:style>
  <w:style w:type="character" w:customStyle="1" w:styleId="62">
    <w:name w:val="12、表格内左对齐正文 Char"/>
    <w:link w:val="42"/>
    <w:qFormat/>
    <w:uiPriority w:val="0"/>
    <w:rPr>
      <w:rFonts w:ascii="宋体" w:hAnsi="宋体" w:eastAsia="宋体"/>
      <w:snapToGrid w:val="0"/>
      <w:sz w:val="21"/>
    </w:rPr>
  </w:style>
  <w:style w:type="paragraph" w:customStyle="1" w:styleId="63">
    <w:name w:val="17“1.”四级标题"/>
    <w:basedOn w:val="46"/>
    <w:link w:val="67"/>
    <w:qFormat/>
    <w:uiPriority w:val="0"/>
    <w:pPr>
      <w:numPr>
        <w:ilvl w:val="3"/>
        <w:numId w:val="3"/>
      </w:numPr>
      <w:ind w:firstLine="803"/>
    </w:pPr>
  </w:style>
  <w:style w:type="paragraph" w:customStyle="1" w:styleId="64">
    <w:name w:val="18、“1.1”五级标题"/>
    <w:basedOn w:val="63"/>
    <w:qFormat/>
    <w:uiPriority w:val="0"/>
    <w:pPr>
      <w:numPr>
        <w:ilvl w:val="4"/>
      </w:numPr>
      <w:ind w:firstLine="803"/>
    </w:pPr>
  </w:style>
  <w:style w:type="paragraph" w:customStyle="1" w:styleId="65">
    <w:name w:val="19、“(1)”六级标题"/>
    <w:basedOn w:val="63"/>
    <w:qFormat/>
    <w:uiPriority w:val="0"/>
    <w:pPr>
      <w:numPr>
        <w:ilvl w:val="5"/>
      </w:numPr>
      <w:ind w:firstLine="803"/>
    </w:pPr>
  </w:style>
  <w:style w:type="paragraph" w:customStyle="1" w:styleId="66">
    <w:name w:val="21、合同二级标题序号"/>
    <w:basedOn w:val="43"/>
    <w:qFormat/>
    <w:uiPriority w:val="0"/>
    <w:pPr>
      <w:numPr>
        <w:ilvl w:val="0"/>
        <w:numId w:val="5"/>
      </w:numPr>
      <w:ind w:firstLine="803" w:firstLineChars="200"/>
      <w:outlineLvl w:val="1"/>
    </w:pPr>
    <w:rPr>
      <w:b/>
    </w:rPr>
  </w:style>
  <w:style w:type="character" w:customStyle="1" w:styleId="67">
    <w:name w:val="17“1.”四级标题 Char"/>
    <w:link w:val="63"/>
    <w:qFormat/>
    <w:uiPriority w:val="0"/>
    <w:rPr>
      <w:rFonts w:ascii="宋体" w:hAnsi="宋体" w:eastAsia="宋体"/>
    </w:rPr>
  </w:style>
  <w:style w:type="paragraph" w:customStyle="1" w:styleId="68">
    <w:name w:val="正文首行缩进两字符"/>
    <w:basedOn w:val="1"/>
    <w:qFormat/>
    <w:uiPriority w:val="0"/>
    <w:pPr>
      <w:spacing w:line="360" w:lineRule="auto"/>
      <w:ind w:firstLine="200" w:firstLineChars="200"/>
      <w:jc w:val="both"/>
    </w:pPr>
    <w:rPr>
      <w:sz w:val="21"/>
      <w:szCs w:val="20"/>
    </w:rPr>
  </w:style>
  <w:style w:type="paragraph" w:customStyle="1" w:styleId="69">
    <w:name w:val="样式 首行缩进:  2 字符"/>
    <w:basedOn w:val="1"/>
    <w:qFormat/>
    <w:uiPriority w:val="0"/>
    <w:pPr>
      <w:ind w:firstLine="420" w:firstLineChars="200"/>
      <w:jc w:val="both"/>
    </w:pPr>
    <w:rPr>
      <w:rFonts w:cs="宋体"/>
      <w:sz w:val="21"/>
      <w:szCs w:val="20"/>
    </w:rPr>
  </w:style>
  <w:style w:type="paragraph" w:customStyle="1" w:styleId="70">
    <w:name w:val="21、第三章“(一)”三级标题"/>
    <w:basedOn w:val="43"/>
    <w:qFormat/>
    <w:uiPriority w:val="0"/>
    <w:pPr>
      <w:pageBreakBefore/>
      <w:numPr>
        <w:ilvl w:val="0"/>
        <w:numId w:val="6"/>
      </w:numPr>
      <w:spacing w:before="50" w:beforeLines="50" w:after="50" w:afterLines="50"/>
      <w:jc w:val="center"/>
      <w:outlineLvl w:val="2"/>
    </w:pPr>
    <w:rPr>
      <w:b/>
      <w:sz w:val="28"/>
    </w:rPr>
  </w:style>
  <w:style w:type="character" w:customStyle="1" w:styleId="71">
    <w:name w:val="批注文字 Char"/>
    <w:basedOn w:val="27"/>
    <w:link w:val="12"/>
    <w:qFormat/>
    <w:uiPriority w:val="0"/>
    <w:rPr>
      <w:rFonts w:ascii="宋体" w:hAnsi="宋体" w:eastAsia="宋体"/>
      <w:kern w:val="2"/>
      <w:sz w:val="24"/>
      <w:szCs w:val="24"/>
    </w:rPr>
  </w:style>
  <w:style w:type="character" w:customStyle="1" w:styleId="72">
    <w:name w:val="批注主题 Char"/>
    <w:basedOn w:val="71"/>
    <w:link w:val="24"/>
    <w:qFormat/>
    <w:uiPriority w:val="0"/>
    <w:rPr>
      <w:rFonts w:ascii="宋体" w:hAnsi="宋体" w:eastAsia="宋体"/>
      <w:b/>
      <w:bCs/>
      <w:kern w:val="2"/>
      <w:sz w:val="24"/>
      <w:szCs w:val="24"/>
    </w:rPr>
  </w:style>
  <w:style w:type="character" w:customStyle="1" w:styleId="73">
    <w:name w:val="批注框文本 Char"/>
    <w:basedOn w:val="27"/>
    <w:link w:val="16"/>
    <w:qFormat/>
    <w:uiPriority w:val="0"/>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2B78D-7FED-4909-824E-5094CC60E2DE}">
  <ds:schemaRefs/>
</ds:datastoreItem>
</file>

<file path=docProps/app.xml><?xml version="1.0" encoding="utf-8"?>
<Properties xmlns="http://schemas.openxmlformats.org/officeDocument/2006/extended-properties" xmlns:vt="http://schemas.openxmlformats.org/officeDocument/2006/docPropsVTypes">
  <Template>Normal</Template>
  <Pages>105</Pages>
  <Words>10518</Words>
  <Characters>59959</Characters>
  <Lines>499</Lines>
  <Paragraphs>140</Paragraphs>
  <TotalTime>10</TotalTime>
  <ScaleCrop>false</ScaleCrop>
  <LinksUpToDate>false</LinksUpToDate>
  <CharactersWithSpaces>70337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2018-12-21T06:31:00Z</dcterms:created>
  <dc:creator>Lenovo</dc:creator>
  <cp:lastModifiedBy>494476397</cp:lastModifiedBy>
  <cp:lastPrinted>2023-11-22T07:30:00Z</cp:lastPrinted>
  <dcterms:modified xsi:type="dcterms:W3CDTF">2023-12-21T07:47:16Z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22C68CCFA0B34421ABC1E66A5AD855DC_13</vt:lpwstr>
  </property>
</Properties>
</file>