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spacing w:before="120" w:beforeLines="50" w:line="360" w:lineRule="auto"/>
        <w:rPr>
          <w:b/>
          <w:bCs/>
          <w:color w:val="auto"/>
          <w:sz w:val="40"/>
          <w:szCs w:val="40"/>
          <w:highlight w:val="none"/>
        </w:rPr>
      </w:pPr>
      <w:bookmarkStart w:id="0" w:name="_Toc578"/>
      <w:bookmarkStart w:id="1" w:name="_Toc5725"/>
      <w:bookmarkStart w:id="2" w:name="_Toc6478"/>
      <w:r>
        <w:rPr>
          <w:rFonts w:hint="eastAsia"/>
          <w:b/>
          <w:bCs/>
          <w:color w:val="auto"/>
          <w:sz w:val="40"/>
          <w:szCs w:val="40"/>
          <w:highlight w:val="none"/>
        </w:rPr>
        <w:t>项目编号：QXZB-2023-1257B</w:t>
      </w:r>
    </w:p>
    <w:p>
      <w:pPr>
        <w:pStyle w:val="36"/>
        <w:spacing w:line="360" w:lineRule="auto"/>
        <w:rPr>
          <w:b/>
          <w:bCs/>
          <w:color w:val="auto"/>
          <w:sz w:val="40"/>
          <w:szCs w:val="40"/>
          <w:highlight w:val="none"/>
        </w:rPr>
      </w:pPr>
      <w:r>
        <w:rPr>
          <w:rFonts w:hint="eastAsia"/>
          <w:b/>
          <w:bCs/>
          <w:color w:val="auto"/>
          <w:sz w:val="40"/>
          <w:szCs w:val="40"/>
          <w:highlight w:val="none"/>
        </w:rPr>
        <w:t xml:space="preserve">项目名称：成都市技师学院沥青路面维修工程项目 </w:t>
      </w:r>
    </w:p>
    <w:p>
      <w:pPr>
        <w:pStyle w:val="36"/>
        <w:wordWrap w:val="0"/>
        <w:topLinePunct/>
        <w:spacing w:before="3600" w:beforeLines="1500" w:after="3600" w:afterLines="1500" w:line="240" w:lineRule="auto"/>
        <w:jc w:val="center"/>
        <w:rPr>
          <w:b/>
          <w:bCs/>
          <w:color w:val="auto"/>
          <w:sz w:val="96"/>
          <w:szCs w:val="96"/>
          <w:highlight w:val="none"/>
        </w:rPr>
      </w:pPr>
      <w:r>
        <w:rPr>
          <w:rFonts w:hint="eastAsia" w:asciiTheme="minorEastAsia" w:hAnsiTheme="minorEastAsia" w:eastAsiaTheme="minorEastAsia" w:cstheme="minorEastAsia"/>
          <w:b/>
          <w:color w:val="auto"/>
          <w:sz w:val="96"/>
          <w:szCs w:val="96"/>
          <w:highlight w:val="none"/>
        </w:rPr>
        <w:t>竞争性谈判文件</w:t>
      </w:r>
    </w:p>
    <w:p>
      <w:pPr>
        <w:pStyle w:val="36"/>
        <w:spacing w:line="360" w:lineRule="auto"/>
        <w:jc w:val="center"/>
        <w:rPr>
          <w:b/>
          <w:bCs/>
          <w:color w:val="auto"/>
          <w:sz w:val="28"/>
          <w:szCs w:val="28"/>
          <w:highlight w:val="none"/>
        </w:rPr>
      </w:pPr>
      <w:r>
        <w:rPr>
          <w:rFonts w:hint="eastAsia"/>
          <w:b/>
          <w:bCs/>
          <w:color w:val="auto"/>
          <w:sz w:val="28"/>
          <w:szCs w:val="28"/>
          <w:highlight w:val="none"/>
        </w:rPr>
        <w:t>中国·四川</w:t>
      </w:r>
    </w:p>
    <w:p>
      <w:pPr>
        <w:pStyle w:val="36"/>
        <w:spacing w:line="360" w:lineRule="auto"/>
        <w:ind w:left="2400" w:leftChars="1000"/>
        <w:rPr>
          <w:b/>
          <w:bCs/>
          <w:color w:val="auto"/>
          <w:sz w:val="28"/>
          <w:szCs w:val="28"/>
          <w:highlight w:val="none"/>
        </w:rPr>
      </w:pPr>
      <w:r>
        <w:rPr>
          <w:rFonts w:hint="eastAsia"/>
          <w:b/>
          <w:bCs/>
          <w:color w:val="auto"/>
          <w:sz w:val="28"/>
          <w:szCs w:val="28"/>
          <w:highlight w:val="none"/>
        </w:rPr>
        <w:t xml:space="preserve">采   购   人：成都市技师学院         </w:t>
      </w:r>
    </w:p>
    <w:p>
      <w:pPr>
        <w:pStyle w:val="36"/>
        <w:spacing w:line="360" w:lineRule="auto"/>
        <w:ind w:left="2400" w:leftChars="1000"/>
        <w:rPr>
          <w:b/>
          <w:bCs/>
          <w:color w:val="auto"/>
          <w:sz w:val="28"/>
          <w:szCs w:val="28"/>
          <w:highlight w:val="none"/>
        </w:rPr>
      </w:pPr>
      <w:r>
        <w:rPr>
          <w:rFonts w:hint="eastAsia"/>
          <w:b/>
          <w:bCs/>
          <w:color w:val="auto"/>
          <w:sz w:val="28"/>
          <w:szCs w:val="28"/>
          <w:highlight w:val="none"/>
        </w:rPr>
        <w:t>采购代理机构：四川乾新招投标代理有限公司</w:t>
      </w:r>
    </w:p>
    <w:p>
      <w:pPr>
        <w:pStyle w:val="36"/>
        <w:spacing w:line="360" w:lineRule="auto"/>
        <w:ind w:left="2400" w:leftChars="1000"/>
        <w:rPr>
          <w:b/>
          <w:bCs/>
          <w:color w:val="auto"/>
          <w:sz w:val="28"/>
          <w:szCs w:val="28"/>
          <w:highlight w:val="none"/>
        </w:rPr>
      </w:pPr>
      <w:r>
        <w:rPr>
          <w:rFonts w:hint="eastAsia"/>
          <w:b/>
          <w:bCs/>
          <w:color w:val="auto"/>
          <w:sz w:val="28"/>
          <w:szCs w:val="28"/>
          <w:highlight w:val="none"/>
        </w:rPr>
        <w:t>文  件 编 制：由采购人和采购代理机构共同编制</w:t>
      </w:r>
    </w:p>
    <w:p>
      <w:pPr>
        <w:pStyle w:val="36"/>
        <w:spacing w:line="360" w:lineRule="auto"/>
        <w:jc w:val="center"/>
        <w:rPr>
          <w:b/>
          <w:bCs/>
          <w:color w:val="auto"/>
          <w:sz w:val="28"/>
          <w:szCs w:val="28"/>
          <w:highlight w:val="none"/>
        </w:rPr>
        <w:sectPr>
          <w:headerReference r:id="rId7" w:type="first"/>
          <w:footerReference r:id="rId9" w:type="first"/>
          <w:headerReference r:id="rId5" w:type="default"/>
          <w:headerReference r:id="rId6" w:type="even"/>
          <w:footerReference r:id="rId8" w:type="even"/>
          <w:pgSz w:w="11906" w:h="16838"/>
          <w:pgMar w:top="1440" w:right="1083" w:bottom="1440" w:left="1083" w:header="851" w:footer="992" w:gutter="0"/>
          <w:pgNumType w:start="0"/>
          <w:cols w:space="720" w:num="1"/>
          <w:titlePg/>
          <w:docGrid w:linePitch="312" w:charSpace="0"/>
        </w:sectPr>
      </w:pPr>
      <w:r>
        <w:rPr>
          <w:rFonts w:hint="eastAsia"/>
          <w:b/>
          <w:bCs/>
          <w:color w:val="auto"/>
          <w:sz w:val="28"/>
          <w:szCs w:val="28"/>
          <w:highlight w:val="none"/>
        </w:rPr>
        <w:t>2023年12月</w:t>
      </w:r>
    </w:p>
    <w:p>
      <w:pPr>
        <w:pStyle w:val="36"/>
        <w:jc w:val="center"/>
        <w:rPr>
          <w:color w:val="auto"/>
          <w:highlight w:val="none"/>
        </w:rPr>
      </w:pPr>
      <w:r>
        <w:rPr>
          <w:rFonts w:hint="eastAsia"/>
          <w:color w:val="auto"/>
          <w:highlight w:val="none"/>
        </w:rPr>
        <w:t>目  录</w:t>
      </w:r>
      <w:bookmarkEnd w:id="0"/>
      <w:bookmarkEnd w:id="1"/>
    </w:p>
    <w:p>
      <w:pPr>
        <w:pStyle w:val="19"/>
        <w:tabs>
          <w:tab w:val="clear" w:pos="0"/>
        </w:tabs>
        <w:rPr>
          <w:color w:val="auto"/>
          <w:highlight w:val="none"/>
        </w:rPr>
      </w:pPr>
      <w:bookmarkStart w:id="3" w:name="_Toc15794"/>
      <w:bookmarkStart w:id="4" w:name="_Toc26242"/>
      <w:bookmarkStart w:id="5" w:name="_Toc28748"/>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"_Toc11220" </w:instrText>
      </w:r>
      <w:r>
        <w:rPr>
          <w:color w:val="auto"/>
          <w:highlight w:val="none"/>
        </w:rPr>
        <w:fldChar w:fldCharType="separate"/>
      </w:r>
      <w:r>
        <w:rPr>
          <w:rFonts w:hint="eastAsia" w:cs="宋体"/>
          <w:color w:val="auto"/>
          <w:highlight w:val="none"/>
        </w:rPr>
        <w:t xml:space="preserve">第一章 </w:t>
      </w:r>
      <w:r>
        <w:rPr>
          <w:rFonts w:hint="eastAsia"/>
          <w:color w:val="auto"/>
          <w:highlight w:val="none"/>
        </w:rPr>
        <w:t>竞争性谈判邀请公告</w:t>
      </w:r>
      <w:r>
        <w:rPr>
          <w:color w:val="auto"/>
          <w:highlight w:val="none"/>
        </w:rPr>
        <w:tab/>
      </w:r>
      <w:r>
        <w:rPr>
          <w:color w:val="auto"/>
          <w:highlight w:val="none"/>
        </w:rPr>
        <w:fldChar w:fldCharType="begin"/>
      </w:r>
      <w:r>
        <w:rPr>
          <w:color w:val="auto"/>
          <w:highlight w:val="none"/>
        </w:rPr>
        <w:instrText xml:space="preserve"> PAGEREF _Toc11220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9"/>
        <w:tabs>
          <w:tab w:val="clear" w:pos="0"/>
        </w:tabs>
        <w:rPr>
          <w:color w:val="auto"/>
          <w:highlight w:val="none"/>
        </w:rPr>
      </w:pPr>
      <w:r>
        <w:rPr>
          <w:color w:val="auto"/>
          <w:highlight w:val="none"/>
        </w:rPr>
        <w:fldChar w:fldCharType="begin"/>
      </w:r>
      <w:r>
        <w:rPr>
          <w:color w:val="auto"/>
          <w:highlight w:val="none"/>
        </w:rPr>
        <w:instrText xml:space="preserve"> HYPERLINK \l "_Toc23338" </w:instrText>
      </w:r>
      <w:r>
        <w:rPr>
          <w:color w:val="auto"/>
          <w:highlight w:val="none"/>
        </w:rPr>
        <w:fldChar w:fldCharType="separate"/>
      </w:r>
      <w:r>
        <w:rPr>
          <w:rFonts w:hint="eastAsia" w:cs="宋体"/>
          <w:color w:val="auto"/>
          <w:highlight w:val="none"/>
        </w:rPr>
        <w:t xml:space="preserve">第二章 </w:t>
      </w:r>
      <w:r>
        <w:rPr>
          <w:rFonts w:hint="eastAsia" w:asciiTheme="minorEastAsia" w:hAnsiTheme="minorEastAsia" w:eastAsiaTheme="minorEastAsia" w:cstheme="minorEastAsia"/>
          <w:color w:val="auto"/>
          <w:szCs w:val="36"/>
          <w:highlight w:val="none"/>
        </w:rPr>
        <w:t>谈判须知</w:t>
      </w:r>
      <w:r>
        <w:rPr>
          <w:color w:val="auto"/>
          <w:highlight w:val="none"/>
        </w:rPr>
        <w:tab/>
      </w:r>
      <w:r>
        <w:rPr>
          <w:color w:val="auto"/>
          <w:highlight w:val="none"/>
        </w:rPr>
        <w:fldChar w:fldCharType="begin"/>
      </w:r>
      <w:r>
        <w:rPr>
          <w:color w:val="auto"/>
          <w:highlight w:val="none"/>
        </w:rPr>
        <w:instrText xml:space="preserve"> PAGEREF _Toc23338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"_Toc2360" </w:instrText>
      </w:r>
      <w:r>
        <w:rPr>
          <w:color w:val="auto"/>
          <w:highlight w:val="none"/>
        </w:rPr>
        <w:fldChar w:fldCharType="separate"/>
      </w:r>
      <w:r>
        <w:rPr>
          <w:rFonts w:hint="eastAsia" w:cs="宋体"/>
          <w:color w:val="auto"/>
          <w:szCs w:val="32"/>
          <w:highlight w:val="none"/>
        </w:rPr>
        <w:t xml:space="preserve">一、 </w:t>
      </w:r>
      <w:r>
        <w:rPr>
          <w:rFonts w:hint="eastAsia"/>
          <w:color w:val="auto"/>
          <w:szCs w:val="32"/>
          <w:highlight w:val="none"/>
        </w:rPr>
        <w:t>谈判须知前附表</w:t>
      </w:r>
      <w:r>
        <w:rPr>
          <w:color w:val="auto"/>
          <w:highlight w:val="none"/>
        </w:rPr>
        <w:tab/>
      </w:r>
      <w:r>
        <w:rPr>
          <w:color w:val="auto"/>
          <w:highlight w:val="none"/>
        </w:rPr>
        <w:fldChar w:fldCharType="begin"/>
      </w:r>
      <w:r>
        <w:rPr>
          <w:color w:val="auto"/>
          <w:highlight w:val="none"/>
        </w:rPr>
        <w:instrText xml:space="preserve"> PAGEREF _Toc2360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"_Toc22159" </w:instrText>
      </w:r>
      <w:r>
        <w:rPr>
          <w:color w:val="auto"/>
          <w:highlight w:val="none"/>
        </w:rPr>
        <w:fldChar w:fldCharType="separate"/>
      </w:r>
      <w:r>
        <w:rPr>
          <w:rFonts w:hint="eastAsia" w:cs="宋体"/>
          <w:color w:val="auto"/>
          <w:szCs w:val="32"/>
          <w:highlight w:val="none"/>
        </w:rPr>
        <w:t xml:space="preserve">二、 </w:t>
      </w:r>
      <w:r>
        <w:rPr>
          <w:rFonts w:hint="eastAsia" w:asciiTheme="minorEastAsia" w:hAnsiTheme="minorEastAsia" w:eastAsiaTheme="minorEastAsia" w:cstheme="minorEastAsia"/>
          <w:color w:val="auto"/>
          <w:szCs w:val="32"/>
          <w:highlight w:val="none"/>
        </w:rPr>
        <w:t>总则</w:t>
      </w:r>
      <w:r>
        <w:rPr>
          <w:color w:val="auto"/>
          <w:highlight w:val="none"/>
        </w:rPr>
        <w:tab/>
      </w:r>
      <w:r>
        <w:rPr>
          <w:color w:val="auto"/>
          <w:highlight w:val="none"/>
        </w:rPr>
        <w:fldChar w:fldCharType="begin"/>
      </w:r>
      <w:r>
        <w:rPr>
          <w:color w:val="auto"/>
          <w:highlight w:val="none"/>
        </w:rPr>
        <w:instrText xml:space="preserve"> PAGEREF _Toc22159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"_Toc1268" </w:instrText>
      </w:r>
      <w:r>
        <w:rPr>
          <w:color w:val="auto"/>
          <w:highlight w:val="none"/>
        </w:rPr>
        <w:fldChar w:fldCharType="separate"/>
      </w:r>
      <w:r>
        <w:rPr>
          <w:rFonts w:hint="eastAsia" w:cs="宋体"/>
          <w:color w:val="auto"/>
          <w:szCs w:val="32"/>
          <w:highlight w:val="none"/>
        </w:rPr>
        <w:t xml:space="preserve">三、 </w:t>
      </w:r>
      <w:r>
        <w:rPr>
          <w:rFonts w:hint="eastAsia"/>
          <w:color w:val="auto"/>
          <w:szCs w:val="32"/>
          <w:highlight w:val="none"/>
        </w:rPr>
        <w:t>竞争性谈判文件</w:t>
      </w:r>
      <w:r>
        <w:rPr>
          <w:color w:val="auto"/>
          <w:highlight w:val="none"/>
        </w:rPr>
        <w:tab/>
      </w:r>
      <w:r>
        <w:rPr>
          <w:color w:val="auto"/>
          <w:highlight w:val="none"/>
        </w:rPr>
        <w:fldChar w:fldCharType="begin"/>
      </w:r>
      <w:r>
        <w:rPr>
          <w:color w:val="auto"/>
          <w:highlight w:val="none"/>
        </w:rPr>
        <w:instrText xml:space="preserve"> PAGEREF _Toc1268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"_Toc8123" </w:instrText>
      </w:r>
      <w:r>
        <w:rPr>
          <w:color w:val="auto"/>
          <w:highlight w:val="none"/>
        </w:rPr>
        <w:fldChar w:fldCharType="separate"/>
      </w:r>
      <w:r>
        <w:rPr>
          <w:rFonts w:hint="eastAsia" w:cs="宋体"/>
          <w:color w:val="auto"/>
          <w:highlight w:val="none"/>
        </w:rPr>
        <w:t xml:space="preserve">(一) </w:t>
      </w:r>
      <w:r>
        <w:rPr>
          <w:rFonts w:hint="eastAsia"/>
          <w:color w:val="auto"/>
          <w:highlight w:val="none"/>
        </w:rPr>
        <w:t>竞争性谈判文件的构成</w:t>
      </w:r>
      <w:r>
        <w:rPr>
          <w:color w:val="auto"/>
          <w:highlight w:val="none"/>
        </w:rPr>
        <w:tab/>
      </w:r>
      <w:r>
        <w:rPr>
          <w:color w:val="auto"/>
          <w:highlight w:val="none"/>
        </w:rPr>
        <w:fldChar w:fldCharType="begin"/>
      </w:r>
      <w:r>
        <w:rPr>
          <w:color w:val="auto"/>
          <w:highlight w:val="none"/>
        </w:rPr>
        <w:instrText xml:space="preserve"> PAGEREF _Toc8123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"_Toc25074" </w:instrText>
      </w:r>
      <w:r>
        <w:rPr>
          <w:color w:val="auto"/>
          <w:highlight w:val="none"/>
        </w:rPr>
        <w:fldChar w:fldCharType="separate"/>
      </w:r>
      <w:r>
        <w:rPr>
          <w:rFonts w:hint="eastAsia" w:cs="宋体"/>
          <w:color w:val="auto"/>
          <w:highlight w:val="none"/>
        </w:rPr>
        <w:t xml:space="preserve">(二) </w:t>
      </w:r>
      <w:r>
        <w:rPr>
          <w:rFonts w:hint="eastAsia"/>
          <w:color w:val="auto"/>
          <w:highlight w:val="none"/>
        </w:rPr>
        <w:t>竞争性谈判文件包含内容</w:t>
      </w:r>
      <w:r>
        <w:rPr>
          <w:color w:val="auto"/>
          <w:highlight w:val="none"/>
        </w:rPr>
        <w:tab/>
      </w:r>
      <w:r>
        <w:rPr>
          <w:color w:val="auto"/>
          <w:highlight w:val="none"/>
        </w:rPr>
        <w:fldChar w:fldCharType="begin"/>
      </w:r>
      <w:r>
        <w:rPr>
          <w:color w:val="auto"/>
          <w:highlight w:val="none"/>
        </w:rPr>
        <w:instrText xml:space="preserve"> PAGEREF _Toc25074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"_Toc5720" </w:instrText>
      </w:r>
      <w:r>
        <w:rPr>
          <w:color w:val="auto"/>
          <w:highlight w:val="none"/>
        </w:rPr>
        <w:fldChar w:fldCharType="separate"/>
      </w:r>
      <w:r>
        <w:rPr>
          <w:rFonts w:hint="eastAsia" w:cs="宋体"/>
          <w:color w:val="auto"/>
          <w:highlight w:val="none"/>
        </w:rPr>
        <w:t xml:space="preserve">(三) </w:t>
      </w:r>
      <w:r>
        <w:rPr>
          <w:rFonts w:hint="eastAsia"/>
          <w:color w:val="auto"/>
          <w:highlight w:val="none"/>
        </w:rPr>
        <w:t>竞争性谈判文件的澄清和修改</w:t>
      </w:r>
      <w:r>
        <w:rPr>
          <w:color w:val="auto"/>
          <w:highlight w:val="none"/>
        </w:rPr>
        <w:tab/>
      </w:r>
      <w:r>
        <w:rPr>
          <w:color w:val="auto"/>
          <w:highlight w:val="none"/>
        </w:rPr>
        <w:fldChar w:fldCharType="begin"/>
      </w:r>
      <w:r>
        <w:rPr>
          <w:color w:val="auto"/>
          <w:highlight w:val="none"/>
        </w:rPr>
        <w:instrText xml:space="preserve"> PAGEREF _Toc5720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"_Toc12282" </w:instrText>
      </w:r>
      <w:r>
        <w:rPr>
          <w:color w:val="auto"/>
          <w:highlight w:val="none"/>
        </w:rPr>
        <w:fldChar w:fldCharType="separate"/>
      </w:r>
      <w:r>
        <w:rPr>
          <w:rFonts w:hint="eastAsia" w:cs="宋体"/>
          <w:color w:val="auto"/>
          <w:highlight w:val="none"/>
        </w:rPr>
        <w:t xml:space="preserve">(四) </w:t>
      </w:r>
      <w:r>
        <w:rPr>
          <w:rFonts w:hint="eastAsia"/>
          <w:color w:val="auto"/>
          <w:highlight w:val="none"/>
        </w:rPr>
        <w:t>实质性变动</w:t>
      </w:r>
      <w:r>
        <w:rPr>
          <w:color w:val="auto"/>
          <w:highlight w:val="none"/>
        </w:rPr>
        <w:tab/>
      </w:r>
      <w:r>
        <w:rPr>
          <w:color w:val="auto"/>
          <w:highlight w:val="none"/>
        </w:rPr>
        <w:fldChar w:fldCharType="begin"/>
      </w:r>
      <w:r>
        <w:rPr>
          <w:color w:val="auto"/>
          <w:highlight w:val="none"/>
        </w:rPr>
        <w:instrText xml:space="preserve"> PAGEREF _Toc12282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"_Toc1735" </w:instrText>
      </w:r>
      <w:r>
        <w:rPr>
          <w:color w:val="auto"/>
          <w:highlight w:val="none"/>
        </w:rPr>
        <w:fldChar w:fldCharType="separate"/>
      </w:r>
      <w:r>
        <w:rPr>
          <w:rFonts w:hint="eastAsia" w:cs="宋体"/>
          <w:color w:val="auto"/>
          <w:highlight w:val="none"/>
        </w:rPr>
        <w:t xml:space="preserve">(五) </w:t>
      </w:r>
      <w:r>
        <w:rPr>
          <w:rFonts w:hint="eastAsia"/>
          <w:color w:val="auto"/>
          <w:highlight w:val="none"/>
        </w:rPr>
        <w:t>答疑会和现场考察</w:t>
      </w:r>
      <w:r>
        <w:rPr>
          <w:color w:val="auto"/>
          <w:highlight w:val="none"/>
        </w:rPr>
        <w:tab/>
      </w:r>
      <w:r>
        <w:rPr>
          <w:color w:val="auto"/>
          <w:highlight w:val="none"/>
        </w:rPr>
        <w:fldChar w:fldCharType="begin"/>
      </w:r>
      <w:r>
        <w:rPr>
          <w:color w:val="auto"/>
          <w:highlight w:val="none"/>
        </w:rPr>
        <w:instrText xml:space="preserve"> PAGEREF _Toc1735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"_Toc32436" </w:instrText>
      </w:r>
      <w:r>
        <w:rPr>
          <w:color w:val="auto"/>
          <w:highlight w:val="none"/>
        </w:rPr>
        <w:fldChar w:fldCharType="separate"/>
      </w:r>
      <w:r>
        <w:rPr>
          <w:rFonts w:hint="eastAsia" w:cs="宋体"/>
          <w:color w:val="auto"/>
          <w:szCs w:val="32"/>
          <w:highlight w:val="none"/>
        </w:rPr>
        <w:t xml:space="preserve">四、 </w:t>
      </w:r>
      <w:r>
        <w:rPr>
          <w:rFonts w:hint="eastAsia"/>
          <w:color w:val="auto"/>
          <w:szCs w:val="32"/>
          <w:highlight w:val="none"/>
        </w:rPr>
        <w:t>响应文件</w:t>
      </w:r>
      <w:r>
        <w:rPr>
          <w:color w:val="auto"/>
          <w:highlight w:val="none"/>
        </w:rPr>
        <w:tab/>
      </w:r>
      <w:r>
        <w:rPr>
          <w:color w:val="auto"/>
          <w:highlight w:val="none"/>
        </w:rPr>
        <w:fldChar w:fldCharType="begin"/>
      </w:r>
      <w:r>
        <w:rPr>
          <w:color w:val="auto"/>
          <w:highlight w:val="none"/>
        </w:rPr>
        <w:instrText xml:space="preserve"> PAGEREF _Toc32436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"_Toc11162" </w:instrText>
      </w:r>
      <w:r>
        <w:rPr>
          <w:color w:val="auto"/>
          <w:highlight w:val="none"/>
        </w:rPr>
        <w:fldChar w:fldCharType="separate"/>
      </w:r>
      <w:r>
        <w:rPr>
          <w:rFonts w:hint="eastAsia" w:cs="宋体"/>
          <w:color w:val="auto"/>
          <w:highlight w:val="none"/>
        </w:rPr>
        <w:t xml:space="preserve">(一) </w:t>
      </w:r>
      <w:r>
        <w:rPr>
          <w:rFonts w:hint="eastAsia"/>
          <w:color w:val="auto"/>
          <w:highlight w:val="none"/>
        </w:rPr>
        <w:t>响应文件的语言(实质性要求)</w:t>
      </w:r>
      <w:r>
        <w:rPr>
          <w:color w:val="auto"/>
          <w:highlight w:val="none"/>
        </w:rPr>
        <w:tab/>
      </w:r>
      <w:r>
        <w:rPr>
          <w:color w:val="auto"/>
          <w:highlight w:val="none"/>
        </w:rPr>
        <w:fldChar w:fldCharType="begin"/>
      </w:r>
      <w:r>
        <w:rPr>
          <w:color w:val="auto"/>
          <w:highlight w:val="none"/>
        </w:rPr>
        <w:instrText xml:space="preserve"> PAGEREF _Toc11162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"_Toc2518" </w:instrText>
      </w:r>
      <w:r>
        <w:rPr>
          <w:color w:val="auto"/>
          <w:highlight w:val="none"/>
        </w:rPr>
        <w:fldChar w:fldCharType="separate"/>
      </w:r>
      <w:r>
        <w:rPr>
          <w:rFonts w:hint="eastAsia" w:cs="宋体"/>
          <w:color w:val="auto"/>
          <w:highlight w:val="none"/>
        </w:rPr>
        <w:t xml:space="preserve">(二) </w:t>
      </w:r>
      <w:r>
        <w:rPr>
          <w:rFonts w:hint="eastAsia"/>
          <w:color w:val="auto"/>
          <w:highlight w:val="none"/>
        </w:rPr>
        <w:t>计量单位(实质性要求)</w:t>
      </w:r>
      <w:r>
        <w:rPr>
          <w:color w:val="auto"/>
          <w:highlight w:val="none"/>
        </w:rPr>
        <w:tab/>
      </w:r>
      <w:r>
        <w:rPr>
          <w:color w:val="auto"/>
          <w:highlight w:val="none"/>
        </w:rPr>
        <w:fldChar w:fldCharType="begin"/>
      </w:r>
      <w:r>
        <w:rPr>
          <w:color w:val="auto"/>
          <w:highlight w:val="none"/>
        </w:rPr>
        <w:instrText xml:space="preserve"> PAGEREF _Toc2518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"_Toc6029" </w:instrText>
      </w:r>
      <w:r>
        <w:rPr>
          <w:color w:val="auto"/>
          <w:highlight w:val="none"/>
        </w:rPr>
        <w:fldChar w:fldCharType="separate"/>
      </w:r>
      <w:r>
        <w:rPr>
          <w:rFonts w:hint="eastAsia" w:cs="宋体"/>
          <w:color w:val="auto"/>
          <w:highlight w:val="none"/>
        </w:rPr>
        <w:t xml:space="preserve">(三) </w:t>
      </w:r>
      <w:r>
        <w:rPr>
          <w:rFonts w:hint="eastAsia"/>
          <w:color w:val="auto"/>
          <w:highlight w:val="none"/>
        </w:rPr>
        <w:t>报价货币(实质性要求)</w:t>
      </w:r>
      <w:r>
        <w:rPr>
          <w:color w:val="auto"/>
          <w:highlight w:val="none"/>
        </w:rPr>
        <w:tab/>
      </w:r>
      <w:r>
        <w:rPr>
          <w:color w:val="auto"/>
          <w:highlight w:val="none"/>
        </w:rPr>
        <w:fldChar w:fldCharType="begin"/>
      </w:r>
      <w:r>
        <w:rPr>
          <w:color w:val="auto"/>
          <w:highlight w:val="none"/>
        </w:rPr>
        <w:instrText xml:space="preserve"> PAGEREF _Toc6029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"_Toc12179" </w:instrText>
      </w:r>
      <w:r>
        <w:rPr>
          <w:color w:val="auto"/>
          <w:highlight w:val="none"/>
        </w:rPr>
        <w:fldChar w:fldCharType="separate"/>
      </w:r>
      <w:r>
        <w:rPr>
          <w:rFonts w:hint="eastAsia" w:cs="宋体"/>
          <w:color w:val="auto"/>
          <w:highlight w:val="none"/>
        </w:rPr>
        <w:t xml:space="preserve">(四) </w:t>
      </w:r>
      <w:r>
        <w:rPr>
          <w:rFonts w:hint="eastAsia"/>
          <w:color w:val="auto"/>
          <w:highlight w:val="none"/>
        </w:rPr>
        <w:t>知识产权(实质性要求)</w:t>
      </w:r>
      <w:r>
        <w:rPr>
          <w:color w:val="auto"/>
          <w:highlight w:val="none"/>
        </w:rPr>
        <w:tab/>
      </w:r>
      <w:r>
        <w:rPr>
          <w:color w:val="auto"/>
          <w:highlight w:val="none"/>
        </w:rPr>
        <w:fldChar w:fldCharType="begin"/>
      </w:r>
      <w:r>
        <w:rPr>
          <w:color w:val="auto"/>
          <w:highlight w:val="none"/>
        </w:rPr>
        <w:instrText xml:space="preserve"> PAGEREF _Toc12179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"_Toc13485" </w:instrText>
      </w:r>
      <w:r>
        <w:rPr>
          <w:color w:val="auto"/>
          <w:highlight w:val="none"/>
        </w:rPr>
        <w:fldChar w:fldCharType="separate"/>
      </w:r>
      <w:r>
        <w:rPr>
          <w:rFonts w:hint="eastAsia" w:cs="宋体"/>
          <w:color w:val="auto"/>
          <w:highlight w:val="none"/>
        </w:rPr>
        <w:t xml:space="preserve">(五) </w:t>
      </w:r>
      <w:r>
        <w:rPr>
          <w:rFonts w:hint="eastAsia"/>
          <w:color w:val="auto"/>
          <w:highlight w:val="none"/>
        </w:rPr>
        <w:t>响应文件格式要求</w:t>
      </w:r>
      <w:r>
        <w:rPr>
          <w:color w:val="auto"/>
          <w:highlight w:val="none"/>
        </w:rPr>
        <w:tab/>
      </w:r>
      <w:r>
        <w:rPr>
          <w:color w:val="auto"/>
          <w:highlight w:val="none"/>
        </w:rPr>
        <w:fldChar w:fldCharType="begin"/>
      </w:r>
      <w:r>
        <w:rPr>
          <w:color w:val="auto"/>
          <w:highlight w:val="none"/>
        </w:rPr>
        <w:instrText xml:space="preserve"> PAGEREF _Toc13485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"_Toc19406" </w:instrText>
      </w:r>
      <w:r>
        <w:rPr>
          <w:color w:val="auto"/>
          <w:highlight w:val="none"/>
        </w:rPr>
        <w:fldChar w:fldCharType="separate"/>
      </w:r>
      <w:r>
        <w:rPr>
          <w:rFonts w:hint="eastAsia" w:cs="宋体"/>
          <w:color w:val="auto"/>
          <w:highlight w:val="none"/>
        </w:rPr>
        <w:t xml:space="preserve">(六) </w:t>
      </w:r>
      <w:r>
        <w:rPr>
          <w:rFonts w:hint="eastAsia"/>
          <w:color w:val="auto"/>
          <w:highlight w:val="none"/>
        </w:rPr>
        <w:t>谈判有效期(实质性要求)</w:t>
      </w:r>
      <w:r>
        <w:rPr>
          <w:color w:val="auto"/>
          <w:highlight w:val="none"/>
        </w:rPr>
        <w:tab/>
      </w:r>
      <w:r>
        <w:rPr>
          <w:color w:val="auto"/>
          <w:highlight w:val="none"/>
        </w:rPr>
        <w:fldChar w:fldCharType="begin"/>
      </w:r>
      <w:r>
        <w:rPr>
          <w:color w:val="auto"/>
          <w:highlight w:val="none"/>
        </w:rPr>
        <w:instrText xml:space="preserve"> PAGEREF _Toc19406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"_Toc10573" </w:instrText>
      </w:r>
      <w:r>
        <w:rPr>
          <w:color w:val="auto"/>
          <w:highlight w:val="none"/>
        </w:rPr>
        <w:fldChar w:fldCharType="separate"/>
      </w:r>
      <w:r>
        <w:rPr>
          <w:rFonts w:hint="eastAsia" w:cs="宋体"/>
          <w:color w:val="auto"/>
          <w:highlight w:val="none"/>
        </w:rPr>
        <w:t xml:space="preserve">(七) </w:t>
      </w:r>
      <w:r>
        <w:rPr>
          <w:rFonts w:hint="eastAsia"/>
          <w:color w:val="auto"/>
          <w:highlight w:val="none"/>
        </w:rPr>
        <w:t>联合体谈判(实质性要求)</w:t>
      </w:r>
      <w:r>
        <w:rPr>
          <w:color w:val="auto"/>
          <w:highlight w:val="none"/>
        </w:rPr>
        <w:tab/>
      </w:r>
      <w:r>
        <w:rPr>
          <w:color w:val="auto"/>
          <w:highlight w:val="none"/>
        </w:rPr>
        <w:fldChar w:fldCharType="begin"/>
      </w:r>
      <w:r>
        <w:rPr>
          <w:color w:val="auto"/>
          <w:highlight w:val="none"/>
        </w:rPr>
        <w:instrText xml:space="preserve"> PAGEREF _Toc10573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"_Toc9631" </w:instrText>
      </w:r>
      <w:r>
        <w:rPr>
          <w:color w:val="auto"/>
          <w:highlight w:val="none"/>
        </w:rPr>
        <w:fldChar w:fldCharType="separate"/>
      </w:r>
      <w:r>
        <w:rPr>
          <w:rFonts w:hint="eastAsia" w:cs="宋体"/>
          <w:color w:val="auto"/>
          <w:highlight w:val="none"/>
        </w:rPr>
        <w:t xml:space="preserve">(八) </w:t>
      </w:r>
      <w:r>
        <w:rPr>
          <w:rFonts w:hint="eastAsia"/>
          <w:color w:val="auto"/>
          <w:highlight w:val="none"/>
        </w:rPr>
        <w:t>响应文件组成(实质性要求)</w:t>
      </w:r>
      <w:r>
        <w:rPr>
          <w:color w:val="auto"/>
          <w:highlight w:val="none"/>
        </w:rPr>
        <w:tab/>
      </w:r>
      <w:r>
        <w:rPr>
          <w:color w:val="auto"/>
          <w:highlight w:val="none"/>
        </w:rPr>
        <w:fldChar w:fldCharType="begin"/>
      </w:r>
      <w:r>
        <w:rPr>
          <w:color w:val="auto"/>
          <w:highlight w:val="none"/>
        </w:rPr>
        <w:instrText xml:space="preserve"> PAGEREF _Toc9631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"_Toc14830" </w:instrText>
      </w:r>
      <w:r>
        <w:rPr>
          <w:color w:val="auto"/>
          <w:highlight w:val="none"/>
        </w:rPr>
        <w:fldChar w:fldCharType="separate"/>
      </w:r>
      <w:r>
        <w:rPr>
          <w:rFonts w:hint="eastAsia" w:cs="宋体"/>
          <w:color w:val="auto"/>
          <w:highlight w:val="none"/>
        </w:rPr>
        <w:t xml:space="preserve">(九) </w:t>
      </w:r>
      <w:r>
        <w:rPr>
          <w:rFonts w:hint="eastAsia"/>
          <w:color w:val="auto"/>
          <w:highlight w:val="none"/>
        </w:rPr>
        <w:t>报价要求(实质性要求)</w:t>
      </w:r>
      <w:r>
        <w:rPr>
          <w:color w:val="auto"/>
          <w:highlight w:val="none"/>
        </w:rPr>
        <w:tab/>
      </w:r>
      <w:r>
        <w:rPr>
          <w:color w:val="auto"/>
          <w:highlight w:val="none"/>
        </w:rPr>
        <w:fldChar w:fldCharType="begin"/>
      </w:r>
      <w:r>
        <w:rPr>
          <w:color w:val="auto"/>
          <w:highlight w:val="none"/>
        </w:rPr>
        <w:instrText xml:space="preserve"> PAGEREF _Toc14830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"_Toc18977" </w:instrText>
      </w:r>
      <w:r>
        <w:rPr>
          <w:color w:val="auto"/>
          <w:highlight w:val="none"/>
        </w:rPr>
        <w:fldChar w:fldCharType="separate"/>
      </w:r>
      <w:r>
        <w:rPr>
          <w:rFonts w:hint="eastAsia" w:cs="宋体"/>
          <w:color w:val="auto"/>
          <w:highlight w:val="none"/>
        </w:rPr>
        <w:t xml:space="preserve">(十) </w:t>
      </w:r>
      <w:r>
        <w:rPr>
          <w:rFonts w:hint="eastAsia"/>
          <w:color w:val="auto"/>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_Toc18977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"_Toc14169" </w:instrText>
      </w:r>
      <w:r>
        <w:rPr>
          <w:color w:val="auto"/>
          <w:highlight w:val="none"/>
        </w:rPr>
        <w:fldChar w:fldCharType="separate"/>
      </w:r>
      <w:r>
        <w:rPr>
          <w:rFonts w:hint="eastAsia" w:cs="宋体"/>
          <w:color w:val="auto"/>
          <w:highlight w:val="none"/>
        </w:rPr>
        <w:t xml:space="preserve">(十一) </w:t>
      </w:r>
      <w:r>
        <w:rPr>
          <w:rFonts w:hint="eastAsia"/>
          <w:color w:val="auto"/>
          <w:highlight w:val="none"/>
        </w:rPr>
        <w:t>响应文件的密封和标注</w:t>
      </w:r>
      <w:r>
        <w:rPr>
          <w:color w:val="auto"/>
          <w:highlight w:val="none"/>
        </w:rPr>
        <w:tab/>
      </w:r>
      <w:r>
        <w:rPr>
          <w:color w:val="auto"/>
          <w:highlight w:val="none"/>
        </w:rPr>
        <w:fldChar w:fldCharType="begin"/>
      </w:r>
      <w:r>
        <w:rPr>
          <w:color w:val="auto"/>
          <w:highlight w:val="none"/>
        </w:rPr>
        <w:instrText xml:space="preserve"> PAGEREF _Toc14169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"_Toc18093" </w:instrText>
      </w:r>
      <w:r>
        <w:rPr>
          <w:color w:val="auto"/>
          <w:highlight w:val="none"/>
        </w:rPr>
        <w:fldChar w:fldCharType="separate"/>
      </w:r>
      <w:r>
        <w:rPr>
          <w:rFonts w:hint="eastAsia" w:cs="宋体"/>
          <w:color w:val="auto"/>
          <w:highlight w:val="none"/>
        </w:rPr>
        <w:t xml:space="preserve">(十二) </w:t>
      </w:r>
      <w:r>
        <w:rPr>
          <w:rFonts w:hint="eastAsia"/>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_Toc18093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"_Toc17004" </w:instrText>
      </w:r>
      <w:r>
        <w:rPr>
          <w:color w:val="auto"/>
          <w:highlight w:val="none"/>
        </w:rPr>
        <w:fldChar w:fldCharType="separate"/>
      </w:r>
      <w:r>
        <w:rPr>
          <w:rFonts w:hint="eastAsia" w:cs="宋体"/>
          <w:color w:val="auto"/>
          <w:highlight w:val="none"/>
        </w:rPr>
        <w:t xml:space="preserve">(十三) </w:t>
      </w:r>
      <w:r>
        <w:rPr>
          <w:rFonts w:hint="eastAsia"/>
          <w:color w:val="auto"/>
          <w:highlight w:val="none"/>
        </w:rPr>
        <w:t>响应文件的修改和撤回</w:t>
      </w:r>
      <w:r>
        <w:rPr>
          <w:color w:val="auto"/>
          <w:highlight w:val="none"/>
        </w:rPr>
        <w:tab/>
      </w:r>
      <w:r>
        <w:rPr>
          <w:color w:val="auto"/>
          <w:highlight w:val="none"/>
        </w:rPr>
        <w:fldChar w:fldCharType="begin"/>
      </w:r>
      <w:r>
        <w:rPr>
          <w:color w:val="auto"/>
          <w:highlight w:val="none"/>
        </w:rPr>
        <w:instrText xml:space="preserve"> PAGEREF _Toc17004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"_Toc1514" </w:instrText>
      </w:r>
      <w:r>
        <w:rPr>
          <w:color w:val="auto"/>
          <w:highlight w:val="none"/>
        </w:rPr>
        <w:fldChar w:fldCharType="separate"/>
      </w:r>
      <w:r>
        <w:rPr>
          <w:rFonts w:hint="eastAsia" w:cs="宋体"/>
          <w:color w:val="auto"/>
          <w:highlight w:val="none"/>
        </w:rPr>
        <w:t xml:space="preserve">(十四) </w:t>
      </w:r>
      <w:r>
        <w:rPr>
          <w:rFonts w:hint="eastAsia"/>
          <w:color w:val="auto"/>
          <w:highlight w:val="none"/>
        </w:rPr>
        <w:t>谈判保证金</w:t>
      </w:r>
      <w:r>
        <w:rPr>
          <w:rFonts w:hint="eastAsia" w:cs="宋体"/>
          <w:color w:val="auto"/>
          <w:highlight w:val="none"/>
        </w:rPr>
        <w:t>(实质性要求)</w:t>
      </w:r>
      <w:r>
        <w:rPr>
          <w:color w:val="auto"/>
          <w:highlight w:val="none"/>
        </w:rPr>
        <w:tab/>
      </w:r>
      <w:r>
        <w:rPr>
          <w:color w:val="auto"/>
          <w:highlight w:val="none"/>
        </w:rPr>
        <w:fldChar w:fldCharType="begin"/>
      </w:r>
      <w:r>
        <w:rPr>
          <w:color w:val="auto"/>
          <w:highlight w:val="none"/>
        </w:rPr>
        <w:instrText xml:space="preserve"> PAGEREF _Toc1514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"_Toc15213" </w:instrText>
      </w:r>
      <w:r>
        <w:rPr>
          <w:color w:val="auto"/>
          <w:highlight w:val="none"/>
        </w:rPr>
        <w:fldChar w:fldCharType="separate"/>
      </w:r>
      <w:r>
        <w:rPr>
          <w:rFonts w:hint="eastAsia" w:cs="宋体"/>
          <w:color w:val="auto"/>
          <w:szCs w:val="32"/>
          <w:highlight w:val="none"/>
        </w:rPr>
        <w:t xml:space="preserve">五、 </w:t>
      </w:r>
      <w:r>
        <w:rPr>
          <w:rFonts w:hint="eastAsia"/>
          <w:color w:val="auto"/>
          <w:szCs w:val="32"/>
          <w:highlight w:val="none"/>
        </w:rPr>
        <w:t>谈判会</w:t>
      </w:r>
      <w:r>
        <w:rPr>
          <w:color w:val="auto"/>
          <w:highlight w:val="none"/>
        </w:rPr>
        <w:tab/>
      </w:r>
      <w:r>
        <w:rPr>
          <w:color w:val="auto"/>
          <w:highlight w:val="none"/>
        </w:rPr>
        <w:fldChar w:fldCharType="begin"/>
      </w:r>
      <w:r>
        <w:rPr>
          <w:color w:val="auto"/>
          <w:highlight w:val="none"/>
        </w:rPr>
        <w:instrText xml:space="preserve"> PAGEREF _Toc15213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"_Toc28250" </w:instrText>
      </w:r>
      <w:r>
        <w:rPr>
          <w:color w:val="auto"/>
          <w:highlight w:val="none"/>
        </w:rPr>
        <w:fldChar w:fldCharType="separate"/>
      </w:r>
      <w:r>
        <w:rPr>
          <w:rFonts w:hint="eastAsia" w:cs="宋体"/>
          <w:color w:val="auto"/>
          <w:szCs w:val="32"/>
          <w:highlight w:val="none"/>
        </w:rPr>
        <w:t xml:space="preserve">六、 </w:t>
      </w:r>
      <w:r>
        <w:rPr>
          <w:rFonts w:hint="eastAsia"/>
          <w:color w:val="auto"/>
          <w:szCs w:val="32"/>
          <w:highlight w:val="none"/>
        </w:rPr>
        <w:t>成交事项</w:t>
      </w:r>
      <w:r>
        <w:rPr>
          <w:color w:val="auto"/>
          <w:highlight w:val="none"/>
        </w:rPr>
        <w:tab/>
      </w:r>
      <w:r>
        <w:rPr>
          <w:color w:val="auto"/>
          <w:highlight w:val="none"/>
        </w:rPr>
        <w:fldChar w:fldCharType="begin"/>
      </w:r>
      <w:r>
        <w:rPr>
          <w:color w:val="auto"/>
          <w:highlight w:val="none"/>
        </w:rPr>
        <w:instrText xml:space="preserve"> PAGEREF _Toc28250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"_Toc8420" </w:instrText>
      </w:r>
      <w:r>
        <w:rPr>
          <w:color w:val="auto"/>
          <w:highlight w:val="none"/>
        </w:rPr>
        <w:fldChar w:fldCharType="separate"/>
      </w:r>
      <w:r>
        <w:rPr>
          <w:rFonts w:hint="eastAsia" w:cs="宋体"/>
          <w:color w:val="auto"/>
          <w:highlight w:val="none"/>
        </w:rPr>
        <w:t xml:space="preserve">(一) </w:t>
      </w:r>
      <w:r>
        <w:rPr>
          <w:rFonts w:hint="eastAsia"/>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_Toc8420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"_Toc5704" </w:instrText>
      </w:r>
      <w:r>
        <w:rPr>
          <w:color w:val="auto"/>
          <w:highlight w:val="none"/>
        </w:rPr>
        <w:fldChar w:fldCharType="separate"/>
      </w:r>
      <w:r>
        <w:rPr>
          <w:rFonts w:hint="eastAsia" w:cs="宋体"/>
          <w:color w:val="auto"/>
          <w:highlight w:val="none"/>
        </w:rPr>
        <w:t xml:space="preserve">(二) </w:t>
      </w:r>
      <w:r>
        <w:rPr>
          <w:rFonts w:hint="eastAsia"/>
          <w:color w:val="auto"/>
          <w:highlight w:val="none"/>
        </w:rPr>
        <w:t>成交结果</w:t>
      </w:r>
      <w:r>
        <w:rPr>
          <w:color w:val="auto"/>
          <w:highlight w:val="none"/>
        </w:rPr>
        <w:tab/>
      </w:r>
      <w:r>
        <w:rPr>
          <w:color w:val="auto"/>
          <w:highlight w:val="none"/>
        </w:rPr>
        <w:fldChar w:fldCharType="begin"/>
      </w:r>
      <w:r>
        <w:rPr>
          <w:color w:val="auto"/>
          <w:highlight w:val="none"/>
        </w:rPr>
        <w:instrText xml:space="preserve"> PAGEREF _Toc5704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"_Toc579" </w:instrText>
      </w:r>
      <w:r>
        <w:rPr>
          <w:color w:val="auto"/>
          <w:highlight w:val="none"/>
        </w:rPr>
        <w:fldChar w:fldCharType="separate"/>
      </w:r>
      <w:r>
        <w:rPr>
          <w:rFonts w:hint="eastAsia" w:cs="宋体"/>
          <w:color w:val="auto"/>
          <w:highlight w:val="none"/>
        </w:rPr>
        <w:t xml:space="preserve">(三) </w:t>
      </w:r>
      <w:r>
        <w:rPr>
          <w:rFonts w:hint="eastAsia"/>
          <w:color w:val="auto"/>
          <w:highlight w:val="none"/>
        </w:rPr>
        <w:t>成交通知书</w:t>
      </w:r>
      <w:r>
        <w:rPr>
          <w:color w:val="auto"/>
          <w:highlight w:val="none"/>
        </w:rPr>
        <w:tab/>
      </w:r>
      <w:r>
        <w:rPr>
          <w:color w:val="auto"/>
          <w:highlight w:val="none"/>
        </w:rPr>
        <w:fldChar w:fldCharType="begin"/>
      </w:r>
      <w:r>
        <w:rPr>
          <w:color w:val="auto"/>
          <w:highlight w:val="none"/>
        </w:rPr>
        <w:instrText xml:space="preserve"> PAGEREF _Toc579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"_Toc3312" </w:instrText>
      </w:r>
      <w:r>
        <w:rPr>
          <w:color w:val="auto"/>
          <w:highlight w:val="none"/>
        </w:rPr>
        <w:fldChar w:fldCharType="separate"/>
      </w:r>
      <w:r>
        <w:rPr>
          <w:rFonts w:hint="eastAsia" w:cs="宋体"/>
          <w:color w:val="auto"/>
          <w:szCs w:val="32"/>
          <w:highlight w:val="none"/>
        </w:rPr>
        <w:t xml:space="preserve">七、 </w:t>
      </w:r>
      <w:r>
        <w:rPr>
          <w:rFonts w:hint="eastAsia"/>
          <w:color w:val="auto"/>
          <w:szCs w:val="32"/>
          <w:highlight w:val="none"/>
        </w:rPr>
        <w:t>合同事项</w:t>
      </w:r>
      <w:r>
        <w:rPr>
          <w:color w:val="auto"/>
          <w:highlight w:val="none"/>
        </w:rPr>
        <w:tab/>
      </w:r>
      <w:r>
        <w:rPr>
          <w:color w:val="auto"/>
          <w:highlight w:val="none"/>
        </w:rPr>
        <w:fldChar w:fldCharType="begin"/>
      </w:r>
      <w:r>
        <w:rPr>
          <w:color w:val="auto"/>
          <w:highlight w:val="none"/>
        </w:rPr>
        <w:instrText xml:space="preserve"> PAGEREF _Toc3312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"_Toc11452" </w:instrText>
      </w:r>
      <w:r>
        <w:rPr>
          <w:color w:val="auto"/>
          <w:highlight w:val="none"/>
        </w:rPr>
        <w:fldChar w:fldCharType="separate"/>
      </w:r>
      <w:r>
        <w:rPr>
          <w:rFonts w:hint="eastAsia" w:cs="宋体"/>
          <w:bCs/>
          <w:color w:val="auto"/>
          <w:highlight w:val="none"/>
        </w:rPr>
        <w:t xml:space="preserve">(一) </w:t>
      </w:r>
      <w:r>
        <w:rPr>
          <w:rFonts w:hint="eastAsia"/>
          <w:bCs/>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_Toc11452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"_Toc11875" </w:instrText>
      </w:r>
      <w:r>
        <w:rPr>
          <w:color w:val="auto"/>
          <w:highlight w:val="none"/>
        </w:rPr>
        <w:fldChar w:fldCharType="separate"/>
      </w:r>
      <w:r>
        <w:rPr>
          <w:rFonts w:hint="eastAsia" w:cs="宋体"/>
          <w:bCs/>
          <w:color w:val="auto"/>
          <w:highlight w:val="none"/>
        </w:rPr>
        <w:t xml:space="preserve">(二) </w:t>
      </w:r>
      <w:r>
        <w:rPr>
          <w:rFonts w:hint="eastAsia"/>
          <w:color w:val="auto"/>
          <w:highlight w:val="none"/>
        </w:rPr>
        <w:t>合同分包</w:t>
      </w:r>
      <w:r>
        <w:rPr>
          <w:rFonts w:hint="eastAsia"/>
          <w:bCs/>
          <w:color w:val="auto"/>
          <w:highlight w:val="none"/>
        </w:rPr>
        <w:t>(实质性要求)</w:t>
      </w:r>
      <w:r>
        <w:rPr>
          <w:color w:val="auto"/>
          <w:highlight w:val="none"/>
        </w:rPr>
        <w:tab/>
      </w:r>
      <w:r>
        <w:rPr>
          <w:color w:val="auto"/>
          <w:highlight w:val="none"/>
        </w:rPr>
        <w:fldChar w:fldCharType="begin"/>
      </w:r>
      <w:r>
        <w:rPr>
          <w:color w:val="auto"/>
          <w:highlight w:val="none"/>
        </w:rPr>
        <w:instrText xml:space="preserve"> PAGEREF _Toc11875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"_Toc28603" </w:instrText>
      </w:r>
      <w:r>
        <w:rPr>
          <w:color w:val="auto"/>
          <w:highlight w:val="none"/>
        </w:rPr>
        <w:fldChar w:fldCharType="separate"/>
      </w:r>
      <w:r>
        <w:rPr>
          <w:rFonts w:hint="eastAsia" w:cs="宋体"/>
          <w:bCs/>
          <w:color w:val="auto"/>
          <w:highlight w:val="none"/>
        </w:rPr>
        <w:t xml:space="preserve">(三) </w:t>
      </w:r>
      <w:r>
        <w:rPr>
          <w:rFonts w:hint="eastAsia"/>
          <w:color w:val="auto"/>
          <w:highlight w:val="none"/>
        </w:rPr>
        <w:t>合同转包</w:t>
      </w:r>
      <w:r>
        <w:rPr>
          <w:rFonts w:hint="eastAsia"/>
          <w:bCs/>
          <w:color w:val="auto"/>
          <w:highlight w:val="none"/>
        </w:rPr>
        <w:t>(实质性要求)</w:t>
      </w:r>
      <w:r>
        <w:rPr>
          <w:color w:val="auto"/>
          <w:highlight w:val="none"/>
        </w:rPr>
        <w:tab/>
      </w:r>
      <w:r>
        <w:rPr>
          <w:color w:val="auto"/>
          <w:highlight w:val="none"/>
        </w:rPr>
        <w:fldChar w:fldCharType="begin"/>
      </w:r>
      <w:r>
        <w:rPr>
          <w:color w:val="auto"/>
          <w:highlight w:val="none"/>
        </w:rPr>
        <w:instrText xml:space="preserve"> PAGEREF _Toc28603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"_Toc23675" </w:instrText>
      </w:r>
      <w:r>
        <w:rPr>
          <w:color w:val="auto"/>
          <w:highlight w:val="none"/>
        </w:rPr>
        <w:fldChar w:fldCharType="separate"/>
      </w:r>
      <w:r>
        <w:rPr>
          <w:rFonts w:hint="eastAsia" w:cs="宋体"/>
          <w:bCs/>
          <w:color w:val="auto"/>
          <w:highlight w:val="none"/>
        </w:rPr>
        <w:t xml:space="preserve">(四) </w:t>
      </w:r>
      <w:r>
        <w:rPr>
          <w:rFonts w:hint="eastAsia"/>
          <w:bCs/>
          <w:color w:val="auto"/>
          <w:highlight w:val="none"/>
        </w:rPr>
        <w:t>补充合同</w:t>
      </w:r>
      <w:r>
        <w:rPr>
          <w:color w:val="auto"/>
          <w:highlight w:val="none"/>
        </w:rPr>
        <w:tab/>
      </w:r>
      <w:r>
        <w:rPr>
          <w:color w:val="auto"/>
          <w:highlight w:val="none"/>
        </w:rPr>
        <w:fldChar w:fldCharType="begin"/>
      </w:r>
      <w:r>
        <w:rPr>
          <w:color w:val="auto"/>
          <w:highlight w:val="none"/>
        </w:rPr>
        <w:instrText xml:space="preserve"> PAGEREF _Toc23675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"_Toc14546" </w:instrText>
      </w:r>
      <w:r>
        <w:rPr>
          <w:color w:val="auto"/>
          <w:highlight w:val="none"/>
        </w:rPr>
        <w:fldChar w:fldCharType="separate"/>
      </w:r>
      <w:r>
        <w:rPr>
          <w:rFonts w:hint="eastAsia" w:cs="宋体"/>
          <w:bCs/>
          <w:color w:val="auto"/>
          <w:highlight w:val="none"/>
        </w:rPr>
        <w:t xml:space="preserve">(五) </w:t>
      </w:r>
      <w:r>
        <w:rPr>
          <w:rFonts w:hint="eastAsia"/>
          <w:bCs/>
          <w:color w:val="auto"/>
          <w:highlight w:val="none"/>
        </w:rPr>
        <w:t>履行合同</w:t>
      </w:r>
      <w:r>
        <w:rPr>
          <w:color w:val="auto"/>
          <w:highlight w:val="none"/>
        </w:rPr>
        <w:tab/>
      </w:r>
      <w:r>
        <w:rPr>
          <w:color w:val="auto"/>
          <w:highlight w:val="none"/>
        </w:rPr>
        <w:fldChar w:fldCharType="begin"/>
      </w:r>
      <w:r>
        <w:rPr>
          <w:color w:val="auto"/>
          <w:highlight w:val="none"/>
        </w:rPr>
        <w:instrText xml:space="preserve"> PAGEREF _Toc14546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"_Toc23865" </w:instrText>
      </w:r>
      <w:r>
        <w:rPr>
          <w:color w:val="auto"/>
          <w:highlight w:val="none"/>
        </w:rPr>
        <w:fldChar w:fldCharType="separate"/>
      </w:r>
      <w:r>
        <w:rPr>
          <w:rFonts w:hint="eastAsia" w:cs="宋体"/>
          <w:bCs/>
          <w:color w:val="auto"/>
          <w:highlight w:val="none"/>
        </w:rPr>
        <w:t xml:space="preserve">(六) </w:t>
      </w:r>
      <w:r>
        <w:rPr>
          <w:rFonts w:hint="eastAsia"/>
          <w:bCs/>
          <w:color w:val="auto"/>
          <w:highlight w:val="none"/>
        </w:rPr>
        <w:t>付款方式及履约验收</w:t>
      </w:r>
      <w:r>
        <w:rPr>
          <w:color w:val="auto"/>
          <w:highlight w:val="none"/>
        </w:rPr>
        <w:tab/>
      </w:r>
      <w:r>
        <w:rPr>
          <w:color w:val="auto"/>
          <w:highlight w:val="none"/>
        </w:rPr>
        <w:fldChar w:fldCharType="begin"/>
      </w:r>
      <w:r>
        <w:rPr>
          <w:color w:val="auto"/>
          <w:highlight w:val="none"/>
        </w:rPr>
        <w:instrText xml:space="preserve"> PAGEREF _Toc23865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"_Toc8240" </w:instrText>
      </w:r>
      <w:r>
        <w:rPr>
          <w:color w:val="auto"/>
          <w:highlight w:val="none"/>
        </w:rPr>
        <w:fldChar w:fldCharType="separate"/>
      </w:r>
      <w:r>
        <w:rPr>
          <w:rFonts w:hint="eastAsia" w:cs="宋体"/>
          <w:color w:val="auto"/>
          <w:szCs w:val="32"/>
          <w:highlight w:val="none"/>
        </w:rPr>
        <w:t xml:space="preserve">八、 </w:t>
      </w:r>
      <w:r>
        <w:rPr>
          <w:rFonts w:hint="eastAsia"/>
          <w:color w:val="auto"/>
          <w:szCs w:val="32"/>
          <w:highlight w:val="none"/>
        </w:rPr>
        <w:t>谈判纪律要求</w:t>
      </w:r>
      <w:r>
        <w:rPr>
          <w:color w:val="auto"/>
          <w:highlight w:val="none"/>
        </w:rPr>
        <w:tab/>
      </w:r>
      <w:r>
        <w:rPr>
          <w:color w:val="auto"/>
          <w:highlight w:val="none"/>
        </w:rPr>
        <w:fldChar w:fldCharType="begin"/>
      </w:r>
      <w:r>
        <w:rPr>
          <w:color w:val="auto"/>
          <w:highlight w:val="none"/>
        </w:rPr>
        <w:instrText xml:space="preserve"> PAGEREF _Toc8240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"_Toc29048" </w:instrText>
      </w:r>
      <w:r>
        <w:rPr>
          <w:color w:val="auto"/>
          <w:highlight w:val="none"/>
        </w:rPr>
        <w:fldChar w:fldCharType="separate"/>
      </w:r>
      <w:r>
        <w:rPr>
          <w:rFonts w:hint="eastAsia"/>
          <w:color w:val="auto"/>
          <w:highlight w:val="none"/>
        </w:rPr>
        <w:t>(一) 供应商参加本项目采购活动不得具有的情形</w:t>
      </w:r>
      <w:r>
        <w:rPr>
          <w:color w:val="auto"/>
          <w:highlight w:val="none"/>
        </w:rPr>
        <w:tab/>
      </w:r>
      <w:r>
        <w:rPr>
          <w:color w:val="auto"/>
          <w:highlight w:val="none"/>
        </w:rPr>
        <w:fldChar w:fldCharType="begin"/>
      </w:r>
      <w:r>
        <w:rPr>
          <w:color w:val="auto"/>
          <w:highlight w:val="none"/>
        </w:rPr>
        <w:instrText xml:space="preserve"> PAGEREF _Toc29048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"_Toc28420" </w:instrText>
      </w:r>
      <w:r>
        <w:rPr>
          <w:color w:val="auto"/>
          <w:highlight w:val="none"/>
        </w:rPr>
        <w:fldChar w:fldCharType="separate"/>
      </w:r>
      <w:r>
        <w:rPr>
          <w:rFonts w:hint="eastAsia"/>
          <w:color w:val="auto"/>
          <w:highlight w:val="none"/>
        </w:rPr>
        <w:t>(二) 谈判现场纪律要求</w:t>
      </w:r>
      <w:r>
        <w:rPr>
          <w:color w:val="auto"/>
          <w:highlight w:val="none"/>
        </w:rPr>
        <w:tab/>
      </w:r>
      <w:r>
        <w:rPr>
          <w:color w:val="auto"/>
          <w:highlight w:val="none"/>
        </w:rPr>
        <w:fldChar w:fldCharType="begin"/>
      </w:r>
      <w:r>
        <w:rPr>
          <w:color w:val="auto"/>
          <w:highlight w:val="none"/>
        </w:rPr>
        <w:instrText xml:space="preserve"> PAGEREF _Toc28420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"_Toc8809" </w:instrText>
      </w:r>
      <w:r>
        <w:rPr>
          <w:color w:val="auto"/>
          <w:highlight w:val="none"/>
        </w:rPr>
        <w:fldChar w:fldCharType="separate"/>
      </w:r>
      <w:r>
        <w:rPr>
          <w:rFonts w:hint="eastAsia" w:cs="宋体"/>
          <w:color w:val="auto"/>
          <w:szCs w:val="32"/>
          <w:highlight w:val="none"/>
        </w:rPr>
        <w:t xml:space="preserve">九、 </w:t>
      </w:r>
      <w:r>
        <w:rPr>
          <w:rFonts w:hint="eastAsia"/>
          <w:color w:val="auto"/>
          <w:szCs w:val="32"/>
          <w:highlight w:val="none"/>
        </w:rPr>
        <w:t>其他</w:t>
      </w:r>
      <w:r>
        <w:rPr>
          <w:color w:val="auto"/>
          <w:highlight w:val="none"/>
        </w:rPr>
        <w:tab/>
      </w:r>
      <w:r>
        <w:rPr>
          <w:color w:val="auto"/>
          <w:highlight w:val="none"/>
        </w:rPr>
        <w:fldChar w:fldCharType="begin"/>
      </w:r>
      <w:r>
        <w:rPr>
          <w:color w:val="auto"/>
          <w:highlight w:val="none"/>
        </w:rPr>
        <w:instrText xml:space="preserve"> PAGEREF _Toc8809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"_Toc17293" </w:instrText>
      </w:r>
      <w:r>
        <w:rPr>
          <w:color w:val="auto"/>
          <w:highlight w:val="none"/>
        </w:rPr>
        <w:fldChar w:fldCharType="separate"/>
      </w:r>
      <w:r>
        <w:rPr>
          <w:rFonts w:hint="eastAsia" w:cs="宋体"/>
          <w:color w:val="auto"/>
          <w:highlight w:val="none"/>
        </w:rPr>
        <w:t xml:space="preserve">(一) </w:t>
      </w:r>
      <w:r>
        <w:rPr>
          <w:rFonts w:hint="eastAsia"/>
          <w:color w:val="auto"/>
          <w:highlight w:val="none"/>
        </w:rPr>
        <w:t>询问、质疑、投诉</w:t>
      </w:r>
      <w:r>
        <w:rPr>
          <w:color w:val="auto"/>
          <w:highlight w:val="none"/>
        </w:rPr>
        <w:tab/>
      </w:r>
      <w:r>
        <w:rPr>
          <w:color w:val="auto"/>
          <w:highlight w:val="none"/>
        </w:rPr>
        <w:fldChar w:fldCharType="begin"/>
      </w:r>
      <w:r>
        <w:rPr>
          <w:color w:val="auto"/>
          <w:highlight w:val="none"/>
        </w:rPr>
        <w:instrText xml:space="preserve"> PAGEREF _Toc17293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"_Toc12243" </w:instrText>
      </w:r>
      <w:r>
        <w:rPr>
          <w:color w:val="auto"/>
          <w:highlight w:val="none"/>
        </w:rPr>
        <w:fldChar w:fldCharType="separate"/>
      </w:r>
      <w:r>
        <w:rPr>
          <w:rFonts w:hint="eastAsia" w:cs="宋体"/>
          <w:color w:val="auto"/>
          <w:highlight w:val="none"/>
        </w:rPr>
        <w:t xml:space="preserve">(二) </w:t>
      </w:r>
      <w:r>
        <w:rPr>
          <w:rFonts w:hint="eastAsia"/>
          <w:color w:val="auto"/>
          <w:highlight w:val="none"/>
        </w:rPr>
        <w:t>关于行贿犯罪档案查询工作的规定</w:t>
      </w:r>
      <w:r>
        <w:rPr>
          <w:color w:val="auto"/>
          <w:highlight w:val="none"/>
        </w:rPr>
        <w:tab/>
      </w:r>
      <w:r>
        <w:rPr>
          <w:color w:val="auto"/>
          <w:highlight w:val="none"/>
        </w:rPr>
        <w:fldChar w:fldCharType="begin"/>
      </w:r>
      <w:r>
        <w:rPr>
          <w:color w:val="auto"/>
          <w:highlight w:val="none"/>
        </w:rPr>
        <w:instrText xml:space="preserve"> PAGEREF _Toc12243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"_Toc14043" </w:instrText>
      </w:r>
      <w:r>
        <w:rPr>
          <w:color w:val="auto"/>
          <w:highlight w:val="none"/>
        </w:rPr>
        <w:fldChar w:fldCharType="separate"/>
      </w:r>
      <w:r>
        <w:rPr>
          <w:rFonts w:hint="eastAsia" w:cs="宋体"/>
          <w:color w:val="auto"/>
          <w:highlight w:val="none"/>
        </w:rPr>
        <w:t xml:space="preserve">(三) </w:t>
      </w:r>
      <w:r>
        <w:rPr>
          <w:rFonts w:hint="eastAsia"/>
          <w:color w:val="auto"/>
          <w:highlight w:val="none"/>
        </w:rPr>
        <w:t>供应商信用信息查询</w:t>
      </w:r>
      <w:r>
        <w:rPr>
          <w:color w:val="auto"/>
          <w:highlight w:val="none"/>
        </w:rPr>
        <w:tab/>
      </w:r>
      <w:r>
        <w:rPr>
          <w:color w:val="auto"/>
          <w:highlight w:val="none"/>
        </w:rPr>
        <w:fldChar w:fldCharType="begin"/>
      </w:r>
      <w:r>
        <w:rPr>
          <w:color w:val="auto"/>
          <w:highlight w:val="none"/>
        </w:rPr>
        <w:instrText xml:space="preserve"> PAGEREF _Toc14043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"_Toc19815" </w:instrText>
      </w:r>
      <w:r>
        <w:rPr>
          <w:color w:val="auto"/>
          <w:highlight w:val="none"/>
        </w:rPr>
        <w:fldChar w:fldCharType="separate"/>
      </w:r>
      <w:r>
        <w:rPr>
          <w:rFonts w:hint="eastAsia" w:cs="宋体"/>
          <w:color w:val="auto"/>
          <w:highlight w:val="none"/>
        </w:rPr>
        <w:t xml:space="preserve">(四) </w:t>
      </w:r>
      <w:r>
        <w:rPr>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_Toc19815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"_Toc4008" </w:instrText>
      </w:r>
      <w:r>
        <w:rPr>
          <w:color w:val="auto"/>
          <w:highlight w:val="none"/>
        </w:rPr>
        <w:fldChar w:fldCharType="separate"/>
      </w:r>
      <w:r>
        <w:rPr>
          <w:rFonts w:hint="eastAsia" w:cs="宋体"/>
          <w:color w:val="auto"/>
          <w:highlight w:val="none"/>
        </w:rPr>
        <w:t xml:space="preserve">(五) </w:t>
      </w:r>
      <w:r>
        <w:rPr>
          <w:rFonts w:hint="eastAsia"/>
          <w:color w:val="auto"/>
          <w:highlight w:val="none"/>
        </w:rPr>
        <w:t>回避</w:t>
      </w:r>
      <w:r>
        <w:rPr>
          <w:color w:val="auto"/>
          <w:highlight w:val="none"/>
        </w:rPr>
        <w:tab/>
      </w:r>
      <w:r>
        <w:rPr>
          <w:color w:val="auto"/>
          <w:highlight w:val="none"/>
        </w:rPr>
        <w:fldChar w:fldCharType="begin"/>
      </w:r>
      <w:r>
        <w:rPr>
          <w:color w:val="auto"/>
          <w:highlight w:val="none"/>
        </w:rPr>
        <w:instrText xml:space="preserve"> PAGEREF _Toc4008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"_Toc17495" </w:instrText>
      </w:r>
      <w:r>
        <w:rPr>
          <w:color w:val="auto"/>
          <w:highlight w:val="none"/>
        </w:rPr>
        <w:fldChar w:fldCharType="separate"/>
      </w:r>
      <w:r>
        <w:rPr>
          <w:rFonts w:hint="eastAsia" w:cs="宋体"/>
          <w:color w:val="auto"/>
          <w:highlight w:val="none"/>
        </w:rPr>
        <w:t xml:space="preserve">(六) </w:t>
      </w:r>
      <w:r>
        <w:rPr>
          <w:rFonts w:hint="eastAsia"/>
          <w:color w:val="auto"/>
          <w:highlight w:val="none"/>
        </w:rPr>
        <w:t>解释说明</w:t>
      </w:r>
      <w:r>
        <w:rPr>
          <w:color w:val="auto"/>
          <w:highlight w:val="none"/>
        </w:rPr>
        <w:tab/>
      </w:r>
      <w:r>
        <w:rPr>
          <w:color w:val="auto"/>
          <w:highlight w:val="none"/>
        </w:rPr>
        <w:fldChar w:fldCharType="begin"/>
      </w:r>
      <w:r>
        <w:rPr>
          <w:color w:val="auto"/>
          <w:highlight w:val="none"/>
        </w:rPr>
        <w:instrText xml:space="preserve"> PAGEREF _Toc17495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9"/>
        <w:tabs>
          <w:tab w:val="clear" w:pos="0"/>
        </w:tabs>
        <w:rPr>
          <w:color w:val="auto"/>
          <w:highlight w:val="none"/>
        </w:rPr>
      </w:pPr>
      <w:r>
        <w:rPr>
          <w:color w:val="auto"/>
          <w:highlight w:val="none"/>
        </w:rPr>
        <w:fldChar w:fldCharType="begin"/>
      </w:r>
      <w:r>
        <w:rPr>
          <w:color w:val="auto"/>
          <w:highlight w:val="none"/>
        </w:rPr>
        <w:instrText xml:space="preserve"> HYPERLINK \l "_Toc11586" </w:instrText>
      </w:r>
      <w:r>
        <w:rPr>
          <w:color w:val="auto"/>
          <w:highlight w:val="none"/>
        </w:rPr>
        <w:fldChar w:fldCharType="separate"/>
      </w:r>
      <w:r>
        <w:rPr>
          <w:rFonts w:hint="eastAsia" w:cs="宋体"/>
          <w:color w:val="auto"/>
          <w:highlight w:val="none"/>
        </w:rPr>
        <w:t xml:space="preserve">第三章 </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_Toc11586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"_Toc13070" </w:instrText>
      </w:r>
      <w:r>
        <w:rPr>
          <w:color w:val="auto"/>
          <w:highlight w:val="none"/>
        </w:rPr>
        <w:fldChar w:fldCharType="separate"/>
      </w:r>
      <w:r>
        <w:rPr>
          <w:rFonts w:hint="eastAsia"/>
          <w:color w:val="auto"/>
          <w:szCs w:val="32"/>
          <w:highlight w:val="none"/>
        </w:rPr>
        <w:t>第一部分 资格、资质性及其他类似效力响应文件(格式)</w:t>
      </w:r>
      <w:r>
        <w:rPr>
          <w:color w:val="auto"/>
          <w:highlight w:val="none"/>
        </w:rPr>
        <w:tab/>
      </w:r>
      <w:r>
        <w:rPr>
          <w:color w:val="auto"/>
          <w:highlight w:val="none"/>
        </w:rPr>
        <w:fldChar w:fldCharType="begin"/>
      </w:r>
      <w:r>
        <w:rPr>
          <w:color w:val="auto"/>
          <w:highlight w:val="none"/>
        </w:rPr>
        <w:instrText xml:space="preserve"> PAGEREF _Toc13070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"_Toc8116" </w:instrText>
      </w:r>
      <w:r>
        <w:rPr>
          <w:color w:val="auto"/>
          <w:highlight w:val="none"/>
        </w:rPr>
        <w:fldChar w:fldCharType="separate"/>
      </w:r>
      <w:r>
        <w:rPr>
          <w:rFonts w:hint="eastAsia"/>
          <w:color w:val="auto"/>
          <w:highlight w:val="none"/>
        </w:rPr>
        <w:t>一、 法定代表人/单位负责人授权书</w:t>
      </w:r>
      <w:r>
        <w:rPr>
          <w:color w:val="auto"/>
          <w:highlight w:val="none"/>
        </w:rPr>
        <w:tab/>
      </w:r>
      <w:r>
        <w:rPr>
          <w:color w:val="auto"/>
          <w:highlight w:val="none"/>
        </w:rPr>
        <w:fldChar w:fldCharType="begin"/>
      </w:r>
      <w:r>
        <w:rPr>
          <w:color w:val="auto"/>
          <w:highlight w:val="none"/>
        </w:rPr>
        <w:instrText xml:space="preserve"> PAGEREF _Toc8116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"_Toc24721" </w:instrText>
      </w:r>
      <w:r>
        <w:rPr>
          <w:color w:val="auto"/>
          <w:highlight w:val="none"/>
        </w:rPr>
        <w:fldChar w:fldCharType="separate"/>
      </w:r>
      <w:r>
        <w:rPr>
          <w:rFonts w:hint="eastAsia"/>
          <w:color w:val="auto"/>
          <w:highlight w:val="none"/>
        </w:rPr>
        <w:t>一、 法定代表人/单位负责人身份证明书</w:t>
      </w:r>
      <w:r>
        <w:rPr>
          <w:color w:val="auto"/>
          <w:highlight w:val="none"/>
        </w:rPr>
        <w:tab/>
      </w:r>
      <w:r>
        <w:rPr>
          <w:color w:val="auto"/>
          <w:highlight w:val="none"/>
        </w:rPr>
        <w:fldChar w:fldCharType="begin"/>
      </w:r>
      <w:r>
        <w:rPr>
          <w:color w:val="auto"/>
          <w:highlight w:val="none"/>
        </w:rPr>
        <w:instrText xml:space="preserve"> PAGEREF _Toc24721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"_Toc18112" </w:instrText>
      </w:r>
      <w:r>
        <w:rPr>
          <w:color w:val="auto"/>
          <w:highlight w:val="none"/>
        </w:rPr>
        <w:fldChar w:fldCharType="separate"/>
      </w:r>
      <w:r>
        <w:rPr>
          <w:rFonts w:hint="eastAsia"/>
          <w:color w:val="auto"/>
          <w:highlight w:val="none"/>
        </w:rPr>
        <w:t>二、 供应商具有独立承担民事责任的能力的证明材料</w:t>
      </w:r>
      <w:r>
        <w:rPr>
          <w:color w:val="auto"/>
          <w:highlight w:val="none"/>
        </w:rPr>
        <w:tab/>
      </w:r>
      <w:r>
        <w:rPr>
          <w:color w:val="auto"/>
          <w:highlight w:val="none"/>
        </w:rPr>
        <w:fldChar w:fldCharType="begin"/>
      </w:r>
      <w:r>
        <w:rPr>
          <w:color w:val="auto"/>
          <w:highlight w:val="none"/>
        </w:rPr>
        <w:instrText xml:space="preserve"> PAGEREF _Toc18112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"_Toc8781" </w:instrText>
      </w:r>
      <w:r>
        <w:rPr>
          <w:color w:val="auto"/>
          <w:highlight w:val="none"/>
        </w:rPr>
        <w:fldChar w:fldCharType="separate"/>
      </w:r>
      <w:r>
        <w:rPr>
          <w:rFonts w:hint="eastAsia"/>
          <w:color w:val="auto"/>
          <w:highlight w:val="none"/>
        </w:rPr>
        <w:t>三、 供应商具有良好的商业信誉和健全的财务会计制度的证明材料</w:t>
      </w:r>
      <w:r>
        <w:rPr>
          <w:color w:val="auto"/>
          <w:highlight w:val="none"/>
        </w:rPr>
        <w:tab/>
      </w:r>
      <w:r>
        <w:rPr>
          <w:color w:val="auto"/>
          <w:highlight w:val="none"/>
        </w:rPr>
        <w:fldChar w:fldCharType="begin"/>
      </w:r>
      <w:r>
        <w:rPr>
          <w:color w:val="auto"/>
          <w:highlight w:val="none"/>
        </w:rPr>
        <w:instrText xml:space="preserve"> PAGEREF _Toc8781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"_Toc3081" </w:instrText>
      </w:r>
      <w:r>
        <w:rPr>
          <w:color w:val="auto"/>
          <w:highlight w:val="none"/>
        </w:rPr>
        <w:fldChar w:fldCharType="separate"/>
      </w:r>
      <w:r>
        <w:rPr>
          <w:rFonts w:hint="eastAsia"/>
          <w:color w:val="auto"/>
          <w:highlight w:val="none"/>
        </w:rPr>
        <w:t>四、 供应商有依法缴纳税收和社会保障资金的良好记录的证明材料</w:t>
      </w:r>
      <w:r>
        <w:rPr>
          <w:color w:val="auto"/>
          <w:highlight w:val="none"/>
        </w:rPr>
        <w:tab/>
      </w:r>
      <w:r>
        <w:rPr>
          <w:color w:val="auto"/>
          <w:highlight w:val="none"/>
        </w:rPr>
        <w:fldChar w:fldCharType="begin"/>
      </w:r>
      <w:r>
        <w:rPr>
          <w:color w:val="auto"/>
          <w:highlight w:val="none"/>
        </w:rPr>
        <w:instrText xml:space="preserve"> PAGEREF _Toc3081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"_Toc12464" </w:instrText>
      </w:r>
      <w:r>
        <w:rPr>
          <w:color w:val="auto"/>
          <w:highlight w:val="none"/>
        </w:rPr>
        <w:fldChar w:fldCharType="separate"/>
      </w:r>
      <w:r>
        <w:rPr>
          <w:rFonts w:hint="eastAsia"/>
          <w:color w:val="auto"/>
          <w:highlight w:val="none"/>
        </w:rPr>
        <w:t>五、 供应商具有履行合同所必需的设备和专业技术能力证明材料</w:t>
      </w:r>
      <w:r>
        <w:rPr>
          <w:color w:val="auto"/>
          <w:highlight w:val="none"/>
        </w:rPr>
        <w:tab/>
      </w:r>
      <w:r>
        <w:rPr>
          <w:color w:val="auto"/>
          <w:highlight w:val="none"/>
        </w:rPr>
        <w:fldChar w:fldCharType="begin"/>
      </w:r>
      <w:r>
        <w:rPr>
          <w:color w:val="auto"/>
          <w:highlight w:val="none"/>
        </w:rPr>
        <w:instrText xml:space="preserve"> PAGEREF _Toc12464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"_Toc13168" </w:instrText>
      </w:r>
      <w:r>
        <w:rPr>
          <w:color w:val="auto"/>
          <w:highlight w:val="none"/>
        </w:rPr>
        <w:fldChar w:fldCharType="separate"/>
      </w:r>
      <w:r>
        <w:rPr>
          <w:rFonts w:hint="eastAsia"/>
          <w:color w:val="auto"/>
          <w:highlight w:val="none"/>
        </w:rPr>
        <w:t>六、 供应商参加采购活动前三年内，在经营活动中没有重大违法记录的证明材料</w:t>
      </w:r>
      <w:r>
        <w:rPr>
          <w:color w:val="auto"/>
          <w:highlight w:val="none"/>
        </w:rPr>
        <w:tab/>
      </w:r>
      <w:r>
        <w:rPr>
          <w:color w:val="auto"/>
          <w:highlight w:val="none"/>
        </w:rPr>
        <w:fldChar w:fldCharType="begin"/>
      </w:r>
      <w:r>
        <w:rPr>
          <w:color w:val="auto"/>
          <w:highlight w:val="none"/>
        </w:rPr>
        <w:instrText xml:space="preserve"> PAGEREF _Toc13168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"_Toc32005" </w:instrText>
      </w:r>
      <w:r>
        <w:rPr>
          <w:color w:val="auto"/>
          <w:highlight w:val="none"/>
        </w:rPr>
        <w:fldChar w:fldCharType="separate"/>
      </w:r>
      <w:r>
        <w:rPr>
          <w:rFonts w:hint="eastAsia"/>
          <w:color w:val="auto"/>
          <w:highlight w:val="none"/>
          <w:lang w:val="zh-CN"/>
        </w:rPr>
        <w:t xml:space="preserve">七、 </w:t>
      </w:r>
      <w:r>
        <w:rPr>
          <w:rFonts w:hint="eastAsia"/>
          <w:color w:val="auto"/>
          <w:highlight w:val="none"/>
        </w:rPr>
        <w:t>供应商单位</w:t>
      </w:r>
      <w:r>
        <w:rPr>
          <w:rFonts w:hint="eastAsia"/>
          <w:color w:val="auto"/>
          <w:highlight w:val="none"/>
          <w:lang w:val="zh-CN"/>
        </w:rPr>
        <w:t>及其现任法定代表人、主要负责人不得具有行贿犯罪记录</w:t>
      </w:r>
      <w:r>
        <w:rPr>
          <w:rFonts w:hint="eastAsia"/>
          <w:color w:val="auto"/>
          <w:highlight w:val="none"/>
        </w:rPr>
        <w:t>的承诺函</w:t>
      </w:r>
      <w:r>
        <w:rPr>
          <w:color w:val="auto"/>
          <w:highlight w:val="none"/>
        </w:rPr>
        <w:tab/>
      </w:r>
      <w:r>
        <w:rPr>
          <w:color w:val="auto"/>
          <w:highlight w:val="none"/>
        </w:rPr>
        <w:fldChar w:fldCharType="begin"/>
      </w:r>
      <w:r>
        <w:rPr>
          <w:color w:val="auto"/>
          <w:highlight w:val="none"/>
        </w:rPr>
        <w:instrText xml:space="preserve"> PAGEREF _Toc32005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"_Toc12728" </w:instrText>
      </w:r>
      <w:r>
        <w:rPr>
          <w:color w:val="auto"/>
          <w:highlight w:val="none"/>
        </w:rPr>
        <w:fldChar w:fldCharType="separate"/>
      </w:r>
      <w:r>
        <w:rPr>
          <w:rFonts w:hint="eastAsia"/>
          <w:color w:val="auto"/>
          <w:highlight w:val="none"/>
        </w:rPr>
        <w:t>八、 根据采购项目的特殊要求，规定供应商提供的特定条件的证明材料</w:t>
      </w:r>
      <w:r>
        <w:rPr>
          <w:color w:val="auto"/>
          <w:highlight w:val="none"/>
        </w:rPr>
        <w:tab/>
      </w:r>
      <w:r>
        <w:rPr>
          <w:color w:val="auto"/>
          <w:highlight w:val="none"/>
        </w:rPr>
        <w:fldChar w:fldCharType="begin"/>
      </w:r>
      <w:r>
        <w:rPr>
          <w:color w:val="auto"/>
          <w:highlight w:val="none"/>
        </w:rPr>
        <w:instrText xml:space="preserve"> PAGEREF _Toc12728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"_Toc23049" </w:instrText>
      </w:r>
      <w:r>
        <w:rPr>
          <w:color w:val="auto"/>
          <w:highlight w:val="none"/>
        </w:rPr>
        <w:fldChar w:fldCharType="separate"/>
      </w:r>
      <w:r>
        <w:rPr>
          <w:rFonts w:hint="eastAsia"/>
          <w:color w:val="auto"/>
          <w:highlight w:val="none"/>
        </w:rPr>
        <w:t xml:space="preserve">九、 </w:t>
      </w:r>
      <w:r>
        <w:rPr>
          <w:rFonts w:hint="eastAsia"/>
          <w:color w:val="auto"/>
          <w:highlight w:val="none"/>
          <w:lang w:val="zh-CN"/>
        </w:rPr>
        <w:t>落实政策需满足的资格要求</w:t>
      </w:r>
      <w:r>
        <w:rPr>
          <w:color w:val="auto"/>
          <w:highlight w:val="none"/>
        </w:rPr>
        <w:tab/>
      </w:r>
      <w:r>
        <w:rPr>
          <w:color w:val="auto"/>
          <w:highlight w:val="none"/>
        </w:rPr>
        <w:fldChar w:fldCharType="begin"/>
      </w:r>
      <w:r>
        <w:rPr>
          <w:color w:val="auto"/>
          <w:highlight w:val="none"/>
        </w:rPr>
        <w:instrText xml:space="preserve"> PAGEREF _Toc23049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"_Toc25220" </w:instrText>
      </w:r>
      <w:r>
        <w:rPr>
          <w:color w:val="auto"/>
          <w:highlight w:val="none"/>
        </w:rPr>
        <w:fldChar w:fldCharType="separate"/>
      </w:r>
      <w:r>
        <w:rPr>
          <w:rFonts w:hint="eastAsia"/>
          <w:color w:val="auto"/>
          <w:w w:val="95"/>
          <w:highlight w:val="none"/>
        </w:rPr>
        <w:t>(一)中小企业</w:t>
      </w:r>
      <w:r>
        <w:rPr>
          <w:rFonts w:hint="eastAsia"/>
          <w:color w:val="auto"/>
          <w:highlight w:val="none"/>
        </w:rPr>
        <w:t>声明函</w:t>
      </w:r>
      <w:r>
        <w:rPr>
          <w:color w:val="auto"/>
          <w:highlight w:val="none"/>
        </w:rPr>
        <w:tab/>
      </w:r>
      <w:r>
        <w:rPr>
          <w:color w:val="auto"/>
          <w:highlight w:val="none"/>
        </w:rPr>
        <w:fldChar w:fldCharType="begin"/>
      </w:r>
      <w:r>
        <w:rPr>
          <w:color w:val="auto"/>
          <w:highlight w:val="none"/>
        </w:rPr>
        <w:instrText xml:space="preserve"> PAGEREF _Toc25220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"_Toc5528" </w:instrText>
      </w:r>
      <w:r>
        <w:rPr>
          <w:color w:val="auto"/>
          <w:highlight w:val="none"/>
        </w:rPr>
        <w:fldChar w:fldCharType="separate"/>
      </w:r>
      <w:r>
        <w:rPr>
          <w:rFonts w:hint="eastAsia"/>
          <w:color w:val="auto"/>
          <w:w w:val="95"/>
          <w:highlight w:val="none"/>
        </w:rPr>
        <w:t>(二)监狱</w:t>
      </w:r>
      <w:r>
        <w:rPr>
          <w:rFonts w:hint="eastAsia"/>
          <w:color w:val="auto"/>
          <w:highlight w:val="none"/>
        </w:rPr>
        <w:t>企业相关证明材料</w:t>
      </w:r>
      <w:r>
        <w:rPr>
          <w:color w:val="auto"/>
          <w:highlight w:val="none"/>
        </w:rPr>
        <w:tab/>
      </w:r>
      <w:r>
        <w:rPr>
          <w:color w:val="auto"/>
          <w:highlight w:val="none"/>
        </w:rPr>
        <w:fldChar w:fldCharType="begin"/>
      </w:r>
      <w:r>
        <w:rPr>
          <w:color w:val="auto"/>
          <w:highlight w:val="none"/>
        </w:rPr>
        <w:instrText xml:space="preserve"> PAGEREF _Toc5528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"_Toc16638" </w:instrText>
      </w:r>
      <w:r>
        <w:rPr>
          <w:color w:val="auto"/>
          <w:highlight w:val="none"/>
        </w:rPr>
        <w:fldChar w:fldCharType="separate"/>
      </w:r>
      <w:r>
        <w:rPr>
          <w:rFonts w:hint="eastAsia"/>
          <w:color w:val="auto"/>
          <w:w w:val="95"/>
          <w:highlight w:val="none"/>
        </w:rPr>
        <w:t>(三)</w:t>
      </w:r>
      <w:r>
        <w:rPr>
          <w:rFonts w:hint="eastAsia"/>
          <w:color w:val="auto"/>
          <w:highlight w:val="none"/>
        </w:rPr>
        <w:t>残疾人福利性单位声明函</w:t>
      </w:r>
      <w:r>
        <w:rPr>
          <w:color w:val="auto"/>
          <w:highlight w:val="none"/>
        </w:rPr>
        <w:tab/>
      </w:r>
      <w:r>
        <w:rPr>
          <w:color w:val="auto"/>
          <w:highlight w:val="none"/>
        </w:rPr>
        <w:fldChar w:fldCharType="begin"/>
      </w:r>
      <w:r>
        <w:rPr>
          <w:color w:val="auto"/>
          <w:highlight w:val="none"/>
        </w:rPr>
        <w:instrText xml:space="preserve"> PAGEREF _Toc16638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"_Toc32597" </w:instrText>
      </w:r>
      <w:r>
        <w:rPr>
          <w:color w:val="auto"/>
          <w:highlight w:val="none"/>
        </w:rPr>
        <w:fldChar w:fldCharType="separate"/>
      </w:r>
      <w:r>
        <w:rPr>
          <w:rFonts w:hint="eastAsia"/>
          <w:color w:val="auto"/>
          <w:highlight w:val="none"/>
        </w:rPr>
        <w:t>十、 承诺及声明函</w:t>
      </w:r>
      <w:r>
        <w:rPr>
          <w:color w:val="auto"/>
          <w:highlight w:val="none"/>
        </w:rPr>
        <w:tab/>
      </w:r>
      <w:r>
        <w:rPr>
          <w:color w:val="auto"/>
          <w:highlight w:val="none"/>
        </w:rPr>
        <w:fldChar w:fldCharType="begin"/>
      </w:r>
      <w:r>
        <w:rPr>
          <w:color w:val="auto"/>
          <w:highlight w:val="none"/>
        </w:rPr>
        <w:instrText xml:space="preserve"> PAGEREF _Toc32597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"_Toc550" </w:instrText>
      </w:r>
      <w:r>
        <w:rPr>
          <w:color w:val="auto"/>
          <w:highlight w:val="none"/>
        </w:rPr>
        <w:fldChar w:fldCharType="separate"/>
      </w:r>
      <w:r>
        <w:rPr>
          <w:rFonts w:hint="eastAsia"/>
          <w:color w:val="auto"/>
          <w:highlight w:val="none"/>
        </w:rPr>
        <w:t>十一、 提供有效的谈判保证金提交凭证</w:t>
      </w:r>
      <w:r>
        <w:rPr>
          <w:color w:val="auto"/>
          <w:highlight w:val="none"/>
        </w:rPr>
        <w:tab/>
      </w:r>
      <w:r>
        <w:rPr>
          <w:color w:val="auto"/>
          <w:highlight w:val="none"/>
        </w:rPr>
        <w:fldChar w:fldCharType="begin"/>
      </w:r>
      <w:r>
        <w:rPr>
          <w:color w:val="auto"/>
          <w:highlight w:val="none"/>
        </w:rPr>
        <w:instrText xml:space="preserve"> PAGEREF _Toc550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"_Toc5524" </w:instrText>
      </w:r>
      <w:r>
        <w:rPr>
          <w:color w:val="auto"/>
          <w:highlight w:val="none"/>
        </w:rPr>
        <w:fldChar w:fldCharType="separate"/>
      </w:r>
      <w:r>
        <w:rPr>
          <w:rFonts w:hint="eastAsia"/>
          <w:color w:val="auto"/>
          <w:szCs w:val="32"/>
          <w:highlight w:val="none"/>
        </w:rPr>
        <w:t>第二部分 其他响应文件(格式)</w:t>
      </w:r>
      <w:r>
        <w:rPr>
          <w:color w:val="auto"/>
          <w:highlight w:val="none"/>
        </w:rPr>
        <w:tab/>
      </w:r>
      <w:r>
        <w:rPr>
          <w:color w:val="auto"/>
          <w:highlight w:val="none"/>
        </w:rPr>
        <w:fldChar w:fldCharType="begin"/>
      </w:r>
      <w:r>
        <w:rPr>
          <w:color w:val="auto"/>
          <w:highlight w:val="none"/>
        </w:rPr>
        <w:instrText xml:space="preserve"> PAGEREF _Toc5524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"_Toc15380" </w:instrText>
      </w:r>
      <w:r>
        <w:rPr>
          <w:color w:val="auto"/>
          <w:highlight w:val="none"/>
        </w:rPr>
        <w:fldChar w:fldCharType="separate"/>
      </w:r>
      <w:r>
        <w:rPr>
          <w:rFonts w:hint="eastAsia"/>
          <w:color w:val="auto"/>
          <w:highlight w:val="none"/>
        </w:rPr>
        <w:t>一、 谈判函</w:t>
      </w:r>
      <w:r>
        <w:rPr>
          <w:color w:val="auto"/>
          <w:highlight w:val="none"/>
        </w:rPr>
        <w:tab/>
      </w:r>
      <w:r>
        <w:rPr>
          <w:color w:val="auto"/>
          <w:highlight w:val="none"/>
        </w:rPr>
        <w:fldChar w:fldCharType="begin"/>
      </w:r>
      <w:r>
        <w:rPr>
          <w:color w:val="auto"/>
          <w:highlight w:val="none"/>
        </w:rPr>
        <w:instrText xml:space="preserve"> PAGEREF _Toc15380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"_Toc18667" </w:instrText>
      </w:r>
      <w:r>
        <w:rPr>
          <w:color w:val="auto"/>
          <w:highlight w:val="none"/>
        </w:rPr>
        <w:fldChar w:fldCharType="separate"/>
      </w:r>
      <w:r>
        <w:rPr>
          <w:rFonts w:hint="eastAsia"/>
          <w:color w:val="auto"/>
          <w:highlight w:val="none"/>
        </w:rPr>
        <w:t>二、 承诺函(实质性要求)</w:t>
      </w:r>
      <w:r>
        <w:rPr>
          <w:color w:val="auto"/>
          <w:highlight w:val="none"/>
        </w:rPr>
        <w:tab/>
      </w:r>
      <w:r>
        <w:rPr>
          <w:color w:val="auto"/>
          <w:highlight w:val="none"/>
        </w:rPr>
        <w:fldChar w:fldCharType="begin"/>
      </w:r>
      <w:r>
        <w:rPr>
          <w:color w:val="auto"/>
          <w:highlight w:val="none"/>
        </w:rPr>
        <w:instrText xml:space="preserve"> PAGEREF _Toc18667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"_Toc31061" </w:instrText>
      </w:r>
      <w:r>
        <w:rPr>
          <w:color w:val="auto"/>
          <w:highlight w:val="none"/>
        </w:rPr>
        <w:fldChar w:fldCharType="separate"/>
      </w:r>
      <w:r>
        <w:rPr>
          <w:rFonts w:hint="eastAsia"/>
          <w:color w:val="auto"/>
          <w:highlight w:val="none"/>
        </w:rPr>
        <w:t>三、 供应商基本情况表</w:t>
      </w:r>
      <w:r>
        <w:rPr>
          <w:color w:val="auto"/>
          <w:highlight w:val="none"/>
        </w:rPr>
        <w:tab/>
      </w:r>
      <w:r>
        <w:rPr>
          <w:color w:val="auto"/>
          <w:highlight w:val="none"/>
        </w:rPr>
        <w:fldChar w:fldCharType="begin"/>
      </w:r>
      <w:r>
        <w:rPr>
          <w:color w:val="auto"/>
          <w:highlight w:val="none"/>
        </w:rPr>
        <w:instrText xml:space="preserve"> PAGEREF _Toc31061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"_Toc12899" </w:instrText>
      </w:r>
      <w:r>
        <w:rPr>
          <w:color w:val="auto"/>
          <w:highlight w:val="none"/>
        </w:rPr>
        <w:fldChar w:fldCharType="separate"/>
      </w:r>
      <w:r>
        <w:rPr>
          <w:rFonts w:hint="eastAsia"/>
          <w:color w:val="auto"/>
          <w:highlight w:val="none"/>
        </w:rPr>
        <w:t>四、 技术、服务、商务要求应答表</w:t>
      </w:r>
      <w:r>
        <w:rPr>
          <w:color w:val="auto"/>
          <w:highlight w:val="none"/>
        </w:rPr>
        <w:tab/>
      </w:r>
      <w:r>
        <w:rPr>
          <w:color w:val="auto"/>
          <w:highlight w:val="none"/>
        </w:rPr>
        <w:fldChar w:fldCharType="begin"/>
      </w:r>
      <w:r>
        <w:rPr>
          <w:color w:val="auto"/>
          <w:highlight w:val="none"/>
        </w:rPr>
        <w:instrText xml:space="preserve"> PAGEREF _Toc12899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"_Toc28501" </w:instrText>
      </w:r>
      <w:r>
        <w:rPr>
          <w:color w:val="auto"/>
          <w:highlight w:val="none"/>
        </w:rPr>
        <w:fldChar w:fldCharType="separate"/>
      </w:r>
      <w:r>
        <w:rPr>
          <w:rFonts w:hint="eastAsia" w:cs="宋体"/>
          <w:color w:val="auto"/>
          <w:w w:val="95"/>
          <w:kern w:val="0"/>
          <w:szCs w:val="20"/>
          <w:highlight w:val="none"/>
        </w:rPr>
        <w:t>五、 项目管理机构</w:t>
      </w:r>
      <w:r>
        <w:rPr>
          <w:color w:val="auto"/>
          <w:highlight w:val="none"/>
        </w:rPr>
        <w:tab/>
      </w:r>
      <w:r>
        <w:rPr>
          <w:color w:val="auto"/>
          <w:highlight w:val="none"/>
        </w:rPr>
        <w:fldChar w:fldCharType="begin"/>
      </w:r>
      <w:r>
        <w:rPr>
          <w:color w:val="auto"/>
          <w:highlight w:val="none"/>
        </w:rPr>
        <w:instrText xml:space="preserve"> PAGEREF _Toc28501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"_Toc8008" </w:instrText>
      </w:r>
      <w:r>
        <w:rPr>
          <w:color w:val="auto"/>
          <w:highlight w:val="none"/>
        </w:rPr>
        <w:fldChar w:fldCharType="separate"/>
      </w:r>
      <w:r>
        <w:rPr>
          <w:rFonts w:hint="eastAsia"/>
          <w:color w:val="auto"/>
          <w:highlight w:val="none"/>
        </w:rPr>
        <w:t>六、 招标代理服务费承诺函</w:t>
      </w:r>
      <w:r>
        <w:rPr>
          <w:color w:val="auto"/>
          <w:highlight w:val="none"/>
        </w:rPr>
        <w:tab/>
      </w:r>
      <w:r>
        <w:rPr>
          <w:color w:val="auto"/>
          <w:highlight w:val="none"/>
        </w:rPr>
        <w:fldChar w:fldCharType="begin"/>
      </w:r>
      <w:r>
        <w:rPr>
          <w:color w:val="auto"/>
          <w:highlight w:val="none"/>
        </w:rPr>
        <w:instrText xml:space="preserve"> PAGEREF _Toc8008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15"/>
        <w:tabs>
          <w:tab w:val="right" w:leader="dot" w:pos="9746"/>
          <w:tab w:val="clear" w:pos="0"/>
        </w:tabs>
        <w:ind w:left="960"/>
        <w:rPr>
          <w:color w:val="auto"/>
          <w:highlight w:val="none"/>
        </w:rPr>
      </w:pPr>
      <w:r>
        <w:rPr>
          <w:color w:val="auto"/>
          <w:highlight w:val="none"/>
        </w:rPr>
        <w:fldChar w:fldCharType="begin"/>
      </w:r>
      <w:r>
        <w:rPr>
          <w:color w:val="auto"/>
          <w:highlight w:val="none"/>
        </w:rPr>
        <w:instrText xml:space="preserve"> HYPERLINK \l "_Toc9519" </w:instrText>
      </w:r>
      <w:r>
        <w:rPr>
          <w:color w:val="auto"/>
          <w:highlight w:val="none"/>
        </w:rPr>
        <w:fldChar w:fldCharType="separate"/>
      </w:r>
      <w:r>
        <w:rPr>
          <w:rFonts w:hint="eastAsia"/>
          <w:color w:val="auto"/>
          <w:highlight w:val="none"/>
        </w:rPr>
        <w:t>七、 报价表</w:t>
      </w:r>
      <w:r>
        <w:rPr>
          <w:color w:val="auto"/>
          <w:highlight w:val="none"/>
        </w:rPr>
        <w:tab/>
      </w:r>
      <w:r>
        <w:rPr>
          <w:color w:val="auto"/>
          <w:highlight w:val="none"/>
        </w:rPr>
        <w:fldChar w:fldCharType="begin"/>
      </w:r>
      <w:r>
        <w:rPr>
          <w:color w:val="auto"/>
          <w:highlight w:val="none"/>
        </w:rPr>
        <w:instrText xml:space="preserve"> PAGEREF _Toc9519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9"/>
        <w:tabs>
          <w:tab w:val="clear" w:pos="0"/>
        </w:tabs>
        <w:rPr>
          <w:color w:val="auto"/>
          <w:highlight w:val="none"/>
        </w:rPr>
      </w:pPr>
      <w:r>
        <w:rPr>
          <w:color w:val="auto"/>
          <w:highlight w:val="none"/>
        </w:rPr>
        <w:fldChar w:fldCharType="begin"/>
      </w:r>
      <w:r>
        <w:rPr>
          <w:color w:val="auto"/>
          <w:highlight w:val="none"/>
        </w:rPr>
        <w:instrText xml:space="preserve"> HYPERLINK \l "_Toc8561" </w:instrText>
      </w:r>
      <w:r>
        <w:rPr>
          <w:color w:val="auto"/>
          <w:highlight w:val="none"/>
        </w:rPr>
        <w:fldChar w:fldCharType="separate"/>
      </w:r>
      <w:r>
        <w:rPr>
          <w:rFonts w:hint="eastAsia" w:cs="宋体"/>
          <w:color w:val="auto"/>
          <w:highlight w:val="none"/>
        </w:rPr>
        <w:t xml:space="preserve">第四章 </w:t>
      </w:r>
      <w:r>
        <w:rPr>
          <w:rFonts w:hint="eastAsia"/>
          <w:color w:val="auto"/>
          <w:highlight w:val="none"/>
        </w:rPr>
        <w:t>资格性证明文件</w:t>
      </w:r>
      <w:r>
        <w:rPr>
          <w:color w:val="auto"/>
          <w:highlight w:val="none"/>
        </w:rPr>
        <w:tab/>
      </w:r>
      <w:r>
        <w:rPr>
          <w:color w:val="auto"/>
          <w:highlight w:val="none"/>
        </w:rPr>
        <w:fldChar w:fldCharType="begin"/>
      </w:r>
      <w:r>
        <w:rPr>
          <w:color w:val="auto"/>
          <w:highlight w:val="none"/>
        </w:rPr>
        <w:instrText xml:space="preserve"> PAGEREF _Toc8561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9"/>
        <w:tabs>
          <w:tab w:val="clear" w:pos="0"/>
        </w:tabs>
        <w:rPr>
          <w:color w:val="auto"/>
          <w:highlight w:val="none"/>
        </w:rPr>
      </w:pPr>
      <w:r>
        <w:rPr>
          <w:color w:val="auto"/>
          <w:highlight w:val="none"/>
        </w:rPr>
        <w:fldChar w:fldCharType="begin"/>
      </w:r>
      <w:r>
        <w:rPr>
          <w:color w:val="auto"/>
          <w:highlight w:val="none"/>
        </w:rPr>
        <w:instrText xml:space="preserve"> HYPERLINK \l "_Toc16569" </w:instrText>
      </w:r>
      <w:r>
        <w:rPr>
          <w:color w:val="auto"/>
          <w:highlight w:val="none"/>
        </w:rPr>
        <w:fldChar w:fldCharType="separate"/>
      </w:r>
      <w:r>
        <w:rPr>
          <w:rFonts w:hint="eastAsia" w:cs="宋体"/>
          <w:color w:val="auto"/>
          <w:highlight w:val="none"/>
        </w:rPr>
        <w:t xml:space="preserve">第五章 </w:t>
      </w:r>
      <w:r>
        <w:rPr>
          <w:rFonts w:hint="eastAsia" w:asciiTheme="minorEastAsia" w:hAnsiTheme="minorEastAsia" w:eastAsiaTheme="minorEastAsia" w:cstheme="minorEastAsia"/>
          <w:color w:val="auto"/>
          <w:szCs w:val="36"/>
          <w:highlight w:val="none"/>
        </w:rPr>
        <w:t>采购项目技术、服务、合同内容条款及商务要求</w:t>
      </w:r>
      <w:r>
        <w:rPr>
          <w:color w:val="auto"/>
          <w:highlight w:val="none"/>
        </w:rPr>
        <w:tab/>
      </w:r>
      <w:r>
        <w:rPr>
          <w:color w:val="auto"/>
          <w:highlight w:val="none"/>
        </w:rPr>
        <w:fldChar w:fldCharType="begin"/>
      </w:r>
      <w:r>
        <w:rPr>
          <w:color w:val="auto"/>
          <w:highlight w:val="none"/>
        </w:rPr>
        <w:instrText xml:space="preserve"> PAGEREF _Toc16569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"_Toc11500" </w:instrText>
      </w:r>
      <w:r>
        <w:rPr>
          <w:color w:val="auto"/>
          <w:highlight w:val="none"/>
        </w:rPr>
        <w:fldChar w:fldCharType="separate"/>
      </w:r>
      <w:r>
        <w:rPr>
          <w:rFonts w:hint="eastAsia" w:cs="宋体"/>
          <w:color w:val="auto"/>
          <w:highlight w:val="none"/>
        </w:rPr>
        <w:t>一、 工程概况</w:t>
      </w:r>
      <w:r>
        <w:rPr>
          <w:color w:val="auto"/>
          <w:highlight w:val="none"/>
        </w:rPr>
        <w:tab/>
      </w:r>
      <w:r>
        <w:rPr>
          <w:color w:val="auto"/>
          <w:highlight w:val="none"/>
        </w:rPr>
        <w:fldChar w:fldCharType="begin"/>
      </w:r>
      <w:r>
        <w:rPr>
          <w:color w:val="auto"/>
          <w:highlight w:val="none"/>
        </w:rPr>
        <w:instrText xml:space="preserve"> PAGEREF _Toc11500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"_Toc14237" </w:instrText>
      </w:r>
      <w:r>
        <w:rPr>
          <w:color w:val="auto"/>
          <w:highlight w:val="none"/>
        </w:rPr>
        <w:fldChar w:fldCharType="separate"/>
      </w:r>
      <w:r>
        <w:rPr>
          <w:rFonts w:hint="eastAsia" w:cs="宋体"/>
          <w:color w:val="auto"/>
          <w:highlight w:val="none"/>
        </w:rPr>
        <w:t>二、 建设业主</w:t>
      </w:r>
      <w:r>
        <w:rPr>
          <w:color w:val="auto"/>
          <w:highlight w:val="none"/>
        </w:rPr>
        <w:tab/>
      </w:r>
      <w:r>
        <w:rPr>
          <w:color w:val="auto"/>
          <w:highlight w:val="none"/>
        </w:rPr>
        <w:fldChar w:fldCharType="begin"/>
      </w:r>
      <w:r>
        <w:rPr>
          <w:color w:val="auto"/>
          <w:highlight w:val="none"/>
        </w:rPr>
        <w:instrText xml:space="preserve"> PAGEREF _Toc14237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"_Toc24924" </w:instrText>
      </w:r>
      <w:r>
        <w:rPr>
          <w:color w:val="auto"/>
          <w:highlight w:val="none"/>
        </w:rPr>
        <w:fldChar w:fldCharType="separate"/>
      </w:r>
      <w:r>
        <w:rPr>
          <w:rFonts w:hint="eastAsia" w:cs="宋体"/>
          <w:color w:val="auto"/>
          <w:highlight w:val="none"/>
        </w:rPr>
        <w:t>三、 工程地点(范围)</w:t>
      </w:r>
      <w:r>
        <w:rPr>
          <w:color w:val="auto"/>
          <w:highlight w:val="none"/>
        </w:rPr>
        <w:tab/>
      </w:r>
      <w:r>
        <w:rPr>
          <w:color w:val="auto"/>
          <w:highlight w:val="none"/>
        </w:rPr>
        <w:fldChar w:fldCharType="begin"/>
      </w:r>
      <w:r>
        <w:rPr>
          <w:color w:val="auto"/>
          <w:highlight w:val="none"/>
        </w:rPr>
        <w:instrText xml:space="preserve"> PAGEREF _Toc24924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"_Toc8091" </w:instrText>
      </w:r>
      <w:r>
        <w:rPr>
          <w:color w:val="auto"/>
          <w:highlight w:val="none"/>
        </w:rPr>
        <w:fldChar w:fldCharType="separate"/>
      </w:r>
      <w:r>
        <w:rPr>
          <w:rFonts w:hint="eastAsia" w:cs="宋体"/>
          <w:color w:val="auto"/>
          <w:highlight w:val="none"/>
        </w:rPr>
        <w:t>四、 ★工程量清单属于本文件的组成部分：另册。</w:t>
      </w:r>
      <w:r>
        <w:rPr>
          <w:color w:val="auto"/>
          <w:highlight w:val="none"/>
        </w:rPr>
        <w:tab/>
      </w:r>
      <w:r>
        <w:rPr>
          <w:color w:val="auto"/>
          <w:highlight w:val="none"/>
        </w:rPr>
        <w:fldChar w:fldCharType="begin"/>
      </w:r>
      <w:r>
        <w:rPr>
          <w:color w:val="auto"/>
          <w:highlight w:val="none"/>
        </w:rPr>
        <w:instrText xml:space="preserve"> PAGEREF _Toc8091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"_Toc10138" </w:instrText>
      </w:r>
      <w:r>
        <w:rPr>
          <w:color w:val="auto"/>
          <w:highlight w:val="none"/>
        </w:rPr>
        <w:fldChar w:fldCharType="separate"/>
      </w:r>
      <w:r>
        <w:rPr>
          <w:rFonts w:hint="eastAsia" w:cs="宋体"/>
          <w:color w:val="auto"/>
          <w:highlight w:val="none"/>
        </w:rPr>
        <w:t>五、 ★工期要求</w:t>
      </w:r>
      <w:r>
        <w:rPr>
          <w:color w:val="auto"/>
          <w:highlight w:val="none"/>
        </w:rPr>
        <w:tab/>
      </w:r>
      <w:r>
        <w:rPr>
          <w:color w:val="auto"/>
          <w:highlight w:val="none"/>
        </w:rPr>
        <w:fldChar w:fldCharType="begin"/>
      </w:r>
      <w:r>
        <w:rPr>
          <w:color w:val="auto"/>
          <w:highlight w:val="none"/>
        </w:rPr>
        <w:instrText xml:space="preserve"> PAGEREF _Toc10138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"_Toc10197" </w:instrText>
      </w:r>
      <w:r>
        <w:rPr>
          <w:color w:val="auto"/>
          <w:highlight w:val="none"/>
        </w:rPr>
        <w:fldChar w:fldCharType="separate"/>
      </w:r>
      <w:r>
        <w:rPr>
          <w:rFonts w:hint="eastAsia" w:cs="宋体"/>
          <w:color w:val="auto"/>
          <w:highlight w:val="none"/>
        </w:rPr>
        <w:t>六、 ★技术、服务要求</w:t>
      </w:r>
      <w:r>
        <w:rPr>
          <w:color w:val="auto"/>
          <w:highlight w:val="none"/>
        </w:rPr>
        <w:tab/>
      </w:r>
      <w:r>
        <w:rPr>
          <w:color w:val="auto"/>
          <w:highlight w:val="none"/>
        </w:rPr>
        <w:fldChar w:fldCharType="begin"/>
      </w:r>
      <w:r>
        <w:rPr>
          <w:color w:val="auto"/>
          <w:highlight w:val="none"/>
        </w:rPr>
        <w:instrText xml:space="preserve"> PAGEREF _Toc10197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"_Toc32044" </w:instrText>
      </w:r>
      <w:r>
        <w:rPr>
          <w:color w:val="auto"/>
          <w:highlight w:val="none"/>
        </w:rPr>
        <w:fldChar w:fldCharType="separate"/>
      </w:r>
      <w:r>
        <w:rPr>
          <w:rFonts w:hint="eastAsia" w:cs="宋体"/>
          <w:bCs/>
          <w:color w:val="auto"/>
          <w:highlight w:val="none"/>
        </w:rPr>
        <w:t xml:space="preserve">七、 </w:t>
      </w:r>
      <w:r>
        <w:rPr>
          <w:rFonts w:hint="eastAsia" w:cs="宋体"/>
          <w:color w:val="auto"/>
          <w:highlight w:val="none"/>
        </w:rPr>
        <w:t>★</w:t>
      </w:r>
      <w:r>
        <w:rPr>
          <w:rFonts w:hint="eastAsia" w:cs="宋体"/>
          <w:bCs/>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_Toc32044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"_Toc24318" </w:instrText>
      </w:r>
      <w:r>
        <w:rPr>
          <w:color w:val="auto"/>
          <w:highlight w:val="none"/>
        </w:rPr>
        <w:fldChar w:fldCharType="separate"/>
      </w:r>
      <w:r>
        <w:rPr>
          <w:rFonts w:hint="eastAsia" w:cs="宋体"/>
          <w:bCs/>
          <w:color w:val="auto"/>
          <w:highlight w:val="none"/>
        </w:rPr>
        <w:t xml:space="preserve">八、 </w:t>
      </w:r>
      <w:r>
        <w:rPr>
          <w:rFonts w:hint="eastAsia" w:cs="宋体"/>
          <w:color w:val="auto"/>
          <w:highlight w:val="none"/>
        </w:rPr>
        <w:t>★</w:t>
      </w:r>
      <w:r>
        <w:rPr>
          <w:rFonts w:hint="eastAsia" w:cs="宋体"/>
          <w:bCs/>
          <w:color w:val="auto"/>
          <w:highlight w:val="none"/>
        </w:rPr>
        <w:t>履约验收</w:t>
      </w:r>
      <w:r>
        <w:rPr>
          <w:color w:val="auto"/>
          <w:highlight w:val="none"/>
        </w:rPr>
        <w:tab/>
      </w:r>
      <w:r>
        <w:rPr>
          <w:color w:val="auto"/>
          <w:highlight w:val="none"/>
        </w:rPr>
        <w:fldChar w:fldCharType="begin"/>
      </w:r>
      <w:r>
        <w:rPr>
          <w:color w:val="auto"/>
          <w:highlight w:val="none"/>
        </w:rPr>
        <w:instrText xml:space="preserve"> PAGEREF _Toc24318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"_Toc10290" </w:instrText>
      </w:r>
      <w:r>
        <w:rPr>
          <w:color w:val="auto"/>
          <w:highlight w:val="none"/>
        </w:rPr>
        <w:fldChar w:fldCharType="separate"/>
      </w:r>
      <w:r>
        <w:rPr>
          <w:rFonts w:hint="eastAsia" w:cs="宋体"/>
          <w:bCs/>
          <w:color w:val="auto"/>
          <w:highlight w:val="none"/>
        </w:rPr>
        <w:t xml:space="preserve">九、 </w:t>
      </w:r>
      <w:r>
        <w:rPr>
          <w:rFonts w:hint="eastAsia" w:cs="宋体"/>
          <w:color w:val="auto"/>
          <w:highlight w:val="none"/>
        </w:rPr>
        <w:t>★</w:t>
      </w:r>
      <w:r>
        <w:rPr>
          <w:rFonts w:hint="eastAsia" w:cs="宋体"/>
          <w:bCs/>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_Toc10290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9"/>
        <w:tabs>
          <w:tab w:val="clear" w:pos="0"/>
        </w:tabs>
        <w:rPr>
          <w:color w:val="auto"/>
          <w:highlight w:val="none"/>
        </w:rPr>
      </w:pPr>
      <w:r>
        <w:rPr>
          <w:color w:val="auto"/>
          <w:highlight w:val="none"/>
        </w:rPr>
        <w:fldChar w:fldCharType="begin"/>
      </w:r>
      <w:r>
        <w:rPr>
          <w:color w:val="auto"/>
          <w:highlight w:val="none"/>
        </w:rPr>
        <w:instrText xml:space="preserve"> HYPERLINK \l "_Toc1032" </w:instrText>
      </w:r>
      <w:r>
        <w:rPr>
          <w:color w:val="auto"/>
          <w:highlight w:val="none"/>
        </w:rPr>
        <w:fldChar w:fldCharType="separate"/>
      </w:r>
      <w:r>
        <w:rPr>
          <w:rFonts w:hint="eastAsia" w:cs="宋体"/>
          <w:color w:val="auto"/>
          <w:highlight w:val="none"/>
        </w:rPr>
        <w:t xml:space="preserve">第六章 </w:t>
      </w:r>
      <w:r>
        <w:rPr>
          <w:rFonts w:hint="eastAsia"/>
          <w:color w:val="auto"/>
          <w:highlight w:val="none"/>
        </w:rPr>
        <w:t>谈判内容、谈判过程中可实质性变动的内容</w:t>
      </w:r>
      <w:r>
        <w:rPr>
          <w:color w:val="auto"/>
          <w:highlight w:val="none"/>
        </w:rPr>
        <w:tab/>
      </w:r>
      <w:r>
        <w:rPr>
          <w:color w:val="auto"/>
          <w:highlight w:val="none"/>
        </w:rPr>
        <w:fldChar w:fldCharType="begin"/>
      </w:r>
      <w:r>
        <w:rPr>
          <w:color w:val="auto"/>
          <w:highlight w:val="none"/>
        </w:rPr>
        <w:instrText xml:space="preserve"> PAGEREF _Toc1032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19"/>
        <w:tabs>
          <w:tab w:val="clear" w:pos="0"/>
        </w:tabs>
        <w:rPr>
          <w:color w:val="auto"/>
          <w:highlight w:val="none"/>
        </w:rPr>
      </w:pPr>
      <w:r>
        <w:rPr>
          <w:color w:val="auto"/>
          <w:highlight w:val="none"/>
        </w:rPr>
        <w:fldChar w:fldCharType="begin"/>
      </w:r>
      <w:r>
        <w:rPr>
          <w:color w:val="auto"/>
          <w:highlight w:val="none"/>
        </w:rPr>
        <w:instrText xml:space="preserve"> HYPERLINK \l "_Toc32738" </w:instrText>
      </w:r>
      <w:r>
        <w:rPr>
          <w:color w:val="auto"/>
          <w:highlight w:val="none"/>
        </w:rPr>
        <w:fldChar w:fldCharType="separate"/>
      </w:r>
      <w:r>
        <w:rPr>
          <w:rFonts w:hint="eastAsia" w:cs="宋体"/>
          <w:color w:val="auto"/>
          <w:highlight w:val="none"/>
        </w:rPr>
        <w:t xml:space="preserve">第七章 </w:t>
      </w:r>
      <w:r>
        <w:rPr>
          <w:rFonts w:hint="eastAsia"/>
          <w:color w:val="auto"/>
          <w:highlight w:val="none"/>
        </w:rPr>
        <w:t>谈判程序</w:t>
      </w:r>
      <w:r>
        <w:rPr>
          <w:color w:val="auto"/>
          <w:highlight w:val="none"/>
        </w:rPr>
        <w:tab/>
      </w:r>
      <w:r>
        <w:rPr>
          <w:color w:val="auto"/>
          <w:highlight w:val="none"/>
        </w:rPr>
        <w:fldChar w:fldCharType="begin"/>
      </w:r>
      <w:r>
        <w:rPr>
          <w:color w:val="auto"/>
          <w:highlight w:val="none"/>
        </w:rPr>
        <w:instrText xml:space="preserve"> PAGEREF _Toc32738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"_Toc32052" </w:instrText>
      </w:r>
      <w:r>
        <w:rPr>
          <w:color w:val="auto"/>
          <w:highlight w:val="none"/>
        </w:rPr>
        <w:fldChar w:fldCharType="separate"/>
      </w:r>
      <w:r>
        <w:rPr>
          <w:rFonts w:hint="eastAsia" w:cs="宋体"/>
          <w:color w:val="auto"/>
          <w:highlight w:val="none"/>
        </w:rPr>
        <w:t xml:space="preserve">一、 </w:t>
      </w:r>
      <w:r>
        <w:rPr>
          <w:rFonts w:hint="eastAsia"/>
          <w:color w:val="auto"/>
          <w:highlight w:val="none"/>
        </w:rPr>
        <w:t>谈判小组构成</w:t>
      </w:r>
      <w:r>
        <w:rPr>
          <w:color w:val="auto"/>
          <w:highlight w:val="none"/>
        </w:rPr>
        <w:tab/>
      </w:r>
      <w:r>
        <w:rPr>
          <w:color w:val="auto"/>
          <w:highlight w:val="none"/>
        </w:rPr>
        <w:fldChar w:fldCharType="begin"/>
      </w:r>
      <w:r>
        <w:rPr>
          <w:color w:val="auto"/>
          <w:highlight w:val="none"/>
        </w:rPr>
        <w:instrText xml:space="preserve"> PAGEREF _Toc32052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"_Toc5585" </w:instrText>
      </w:r>
      <w:r>
        <w:rPr>
          <w:color w:val="auto"/>
          <w:highlight w:val="none"/>
        </w:rPr>
        <w:fldChar w:fldCharType="separate"/>
      </w:r>
      <w:r>
        <w:rPr>
          <w:rFonts w:hint="eastAsia" w:cs="宋体"/>
          <w:color w:val="auto"/>
          <w:highlight w:val="none"/>
        </w:rPr>
        <w:t xml:space="preserve">二、 </w:t>
      </w:r>
      <w:r>
        <w:rPr>
          <w:rFonts w:hint="eastAsia"/>
          <w:color w:val="auto"/>
          <w:highlight w:val="none"/>
        </w:rPr>
        <w:t>谈判组织</w:t>
      </w:r>
      <w:r>
        <w:rPr>
          <w:color w:val="auto"/>
          <w:highlight w:val="none"/>
        </w:rPr>
        <w:tab/>
      </w:r>
      <w:r>
        <w:rPr>
          <w:color w:val="auto"/>
          <w:highlight w:val="none"/>
        </w:rPr>
        <w:fldChar w:fldCharType="begin"/>
      </w:r>
      <w:r>
        <w:rPr>
          <w:color w:val="auto"/>
          <w:highlight w:val="none"/>
        </w:rPr>
        <w:instrText xml:space="preserve"> PAGEREF _Toc5585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"_Toc12465" </w:instrText>
      </w:r>
      <w:r>
        <w:rPr>
          <w:color w:val="auto"/>
          <w:highlight w:val="none"/>
        </w:rPr>
        <w:fldChar w:fldCharType="separate"/>
      </w:r>
      <w:r>
        <w:rPr>
          <w:rFonts w:hint="eastAsia" w:cs="宋体"/>
          <w:color w:val="auto"/>
          <w:highlight w:val="none"/>
        </w:rPr>
        <w:t xml:space="preserve">三、 </w:t>
      </w:r>
      <w:r>
        <w:rPr>
          <w:rFonts w:hint="eastAsia"/>
          <w:color w:val="auto"/>
          <w:highlight w:val="none"/>
        </w:rPr>
        <w:t>谈判纪律及注意事项</w:t>
      </w:r>
      <w:r>
        <w:rPr>
          <w:color w:val="auto"/>
          <w:highlight w:val="none"/>
        </w:rPr>
        <w:tab/>
      </w:r>
      <w:r>
        <w:rPr>
          <w:color w:val="auto"/>
          <w:highlight w:val="none"/>
        </w:rPr>
        <w:fldChar w:fldCharType="begin"/>
      </w:r>
      <w:r>
        <w:rPr>
          <w:color w:val="auto"/>
          <w:highlight w:val="none"/>
        </w:rPr>
        <w:instrText xml:space="preserve"> PAGEREF _Toc12465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"_Toc11930" </w:instrText>
      </w:r>
      <w:r>
        <w:rPr>
          <w:color w:val="auto"/>
          <w:highlight w:val="none"/>
        </w:rPr>
        <w:fldChar w:fldCharType="separate"/>
      </w:r>
      <w:r>
        <w:rPr>
          <w:rFonts w:hint="eastAsia" w:cs="宋体"/>
          <w:color w:val="auto"/>
          <w:highlight w:val="none"/>
        </w:rPr>
        <w:t xml:space="preserve">四、 </w:t>
      </w:r>
      <w:r>
        <w:rPr>
          <w:rFonts w:hint="eastAsia"/>
          <w:color w:val="auto"/>
          <w:highlight w:val="none"/>
        </w:rPr>
        <w:t>评审程序</w:t>
      </w:r>
      <w:r>
        <w:rPr>
          <w:color w:val="auto"/>
          <w:highlight w:val="none"/>
        </w:rPr>
        <w:tab/>
      </w:r>
      <w:r>
        <w:rPr>
          <w:color w:val="auto"/>
          <w:highlight w:val="none"/>
        </w:rPr>
        <w:fldChar w:fldCharType="begin"/>
      </w:r>
      <w:r>
        <w:rPr>
          <w:color w:val="auto"/>
          <w:highlight w:val="none"/>
        </w:rPr>
        <w:instrText xml:space="preserve"> PAGEREF _Toc11930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19"/>
        <w:tabs>
          <w:tab w:val="clear" w:pos="0"/>
        </w:tabs>
        <w:rPr>
          <w:color w:val="auto"/>
          <w:highlight w:val="none"/>
        </w:rPr>
      </w:pPr>
      <w:r>
        <w:rPr>
          <w:color w:val="auto"/>
          <w:highlight w:val="none"/>
        </w:rPr>
        <w:fldChar w:fldCharType="begin"/>
      </w:r>
      <w:r>
        <w:rPr>
          <w:color w:val="auto"/>
          <w:highlight w:val="none"/>
        </w:rPr>
        <w:instrText xml:space="preserve"> HYPERLINK \l "_Toc19263" </w:instrText>
      </w:r>
      <w:r>
        <w:rPr>
          <w:color w:val="auto"/>
          <w:highlight w:val="none"/>
        </w:rPr>
        <w:fldChar w:fldCharType="separate"/>
      </w:r>
      <w:r>
        <w:rPr>
          <w:rFonts w:hint="eastAsia" w:cs="宋体"/>
          <w:color w:val="auto"/>
          <w:highlight w:val="none"/>
        </w:rPr>
        <w:t xml:space="preserve">第八章 </w:t>
      </w:r>
      <w:r>
        <w:rPr>
          <w:rFonts w:hint="eastAsia"/>
          <w:color w:val="auto"/>
          <w:highlight w:val="none"/>
        </w:rPr>
        <w:t>采购合同</w:t>
      </w:r>
      <w:r>
        <w:rPr>
          <w:color w:val="auto"/>
          <w:highlight w:val="none"/>
        </w:rPr>
        <w:tab/>
      </w:r>
      <w:r>
        <w:rPr>
          <w:color w:val="auto"/>
          <w:highlight w:val="none"/>
        </w:rPr>
        <w:fldChar w:fldCharType="begin"/>
      </w:r>
      <w:r>
        <w:rPr>
          <w:color w:val="auto"/>
          <w:highlight w:val="none"/>
        </w:rPr>
        <w:instrText xml:space="preserve"> PAGEREF _Toc19263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19"/>
        <w:tabs>
          <w:tab w:val="clear" w:pos="0"/>
        </w:tabs>
        <w:rPr>
          <w:color w:val="auto"/>
          <w:highlight w:val="none"/>
        </w:rPr>
      </w:pPr>
      <w:r>
        <w:rPr>
          <w:color w:val="auto"/>
          <w:highlight w:val="none"/>
        </w:rPr>
        <w:fldChar w:fldCharType="begin"/>
      </w:r>
      <w:r>
        <w:rPr>
          <w:color w:val="auto"/>
          <w:highlight w:val="none"/>
        </w:rPr>
        <w:instrText xml:space="preserve"> HYPERLINK \l "_Toc2567" </w:instrText>
      </w:r>
      <w:r>
        <w:rPr>
          <w:color w:val="auto"/>
          <w:highlight w:val="none"/>
        </w:rPr>
        <w:fldChar w:fldCharType="separate"/>
      </w:r>
      <w:r>
        <w:rPr>
          <w:rFonts w:hint="eastAsia" w:cs="宋体"/>
          <w:color w:val="auto"/>
          <w:highlight w:val="none"/>
        </w:rPr>
        <w:t xml:space="preserve">第九章 </w:t>
      </w:r>
      <w:r>
        <w:rPr>
          <w:rFonts w:hint="eastAsia"/>
          <w:color w:val="auto"/>
          <w:highlight w:val="none"/>
        </w:rPr>
        <w:t>附件</w:t>
      </w:r>
      <w:r>
        <w:rPr>
          <w:color w:val="auto"/>
          <w:highlight w:val="none"/>
        </w:rPr>
        <w:tab/>
      </w:r>
      <w:r>
        <w:rPr>
          <w:color w:val="auto"/>
          <w:highlight w:val="none"/>
        </w:rPr>
        <w:fldChar w:fldCharType="begin"/>
      </w:r>
      <w:r>
        <w:rPr>
          <w:color w:val="auto"/>
          <w:highlight w:val="none"/>
        </w:rPr>
        <w:instrText xml:space="preserve"> PAGEREF _Toc2567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"_Toc14437" </w:instrText>
      </w:r>
      <w:r>
        <w:rPr>
          <w:color w:val="auto"/>
          <w:highlight w:val="none"/>
        </w:rPr>
        <w:fldChar w:fldCharType="separate"/>
      </w:r>
      <w:r>
        <w:rPr>
          <w:rFonts w:hint="eastAsia"/>
          <w:color w:val="auto"/>
          <w:highlight w:val="none"/>
        </w:rPr>
        <w:t>附件一：问题的澄清、说明、更正通知</w:t>
      </w:r>
      <w:r>
        <w:rPr>
          <w:color w:val="auto"/>
          <w:highlight w:val="none"/>
        </w:rPr>
        <w:tab/>
      </w:r>
      <w:r>
        <w:rPr>
          <w:color w:val="auto"/>
          <w:highlight w:val="none"/>
        </w:rPr>
        <w:fldChar w:fldCharType="begin"/>
      </w:r>
      <w:r>
        <w:rPr>
          <w:color w:val="auto"/>
          <w:highlight w:val="none"/>
        </w:rPr>
        <w:instrText xml:space="preserve"> PAGEREF _Toc14437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hint="eastAsia" w:asciiTheme="minorEastAsia" w:hAnsiTheme="minorEastAsia" w:eastAsiaTheme="minorEastAsia" w:cstheme="minorEastAsia"/>
          <w:color w:val="auto"/>
          <w:highlight w:val="none"/>
        </w:rPr>
        <w:t>附件二：问题的澄清、说明、更正</w:t>
      </w:r>
      <w:r>
        <w:rPr>
          <w:color w:val="auto"/>
          <w:highlight w:val="none"/>
        </w:rPr>
        <w:tab/>
      </w:r>
      <w:r>
        <w:rPr>
          <w:color w:val="auto"/>
          <w:highlight w:val="none"/>
        </w:rPr>
        <w:fldChar w:fldCharType="begin"/>
      </w:r>
      <w:r>
        <w:rPr>
          <w:color w:val="auto"/>
          <w:highlight w:val="none"/>
        </w:rPr>
        <w:instrText xml:space="preserve"> PAGEREF _Toc27738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"_Toc21951" </w:instrText>
      </w:r>
      <w:r>
        <w:rPr>
          <w:color w:val="auto"/>
          <w:highlight w:val="none"/>
        </w:rPr>
        <w:fldChar w:fldCharType="separate"/>
      </w:r>
      <w:r>
        <w:rPr>
          <w:rFonts w:hint="eastAsia"/>
          <w:color w:val="auto"/>
          <w:highlight w:val="none"/>
        </w:rPr>
        <w:t>附件三：</w:t>
      </w:r>
      <w:r>
        <w:rPr>
          <w:rFonts w:hint="eastAsia" w:cs="宋体"/>
          <w:bCs/>
          <w:color w:val="auto"/>
          <w:highlight w:val="none"/>
        </w:rPr>
        <w:t>《2023年度信用评价服务效果调查表(供应商)》</w:t>
      </w:r>
      <w:r>
        <w:rPr>
          <w:color w:val="auto"/>
          <w:highlight w:val="none"/>
        </w:rPr>
        <w:tab/>
      </w:r>
      <w:r>
        <w:rPr>
          <w:color w:val="auto"/>
          <w:highlight w:val="none"/>
        </w:rPr>
        <w:fldChar w:fldCharType="begin"/>
      </w:r>
      <w:r>
        <w:rPr>
          <w:color w:val="auto"/>
          <w:highlight w:val="none"/>
        </w:rPr>
        <w:instrText xml:space="preserve"> PAGEREF _Toc21951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pPr>
        <w:pStyle w:val="21"/>
        <w:tabs>
          <w:tab w:val="right" w:leader="dot" w:pos="9746"/>
          <w:tab w:val="clear" w:pos="0"/>
        </w:tabs>
        <w:ind w:left="480"/>
        <w:rPr>
          <w:color w:val="auto"/>
          <w:highlight w:val="none"/>
        </w:rPr>
      </w:pPr>
      <w:r>
        <w:rPr>
          <w:color w:val="auto"/>
          <w:highlight w:val="none"/>
        </w:rPr>
        <w:fldChar w:fldCharType="begin"/>
      </w:r>
      <w:r>
        <w:rPr>
          <w:color w:val="auto"/>
          <w:highlight w:val="none"/>
        </w:rPr>
        <w:instrText xml:space="preserve"> HYPERLINK \l "_Toc622" </w:instrText>
      </w:r>
      <w:r>
        <w:rPr>
          <w:color w:val="auto"/>
          <w:highlight w:val="none"/>
        </w:rPr>
        <w:fldChar w:fldCharType="separate"/>
      </w:r>
      <w:r>
        <w:rPr>
          <w:rFonts w:hint="eastAsia" w:asciiTheme="minorEastAsia" w:hAnsiTheme="minorEastAsia" w:eastAsiaTheme="minorEastAsia" w:cstheme="minorEastAsia"/>
          <w:color w:val="auto"/>
          <w:highlight w:val="none"/>
        </w:rPr>
        <w:t>附件四：统计上大中小微型企业划分标准</w:t>
      </w:r>
      <w:r>
        <w:rPr>
          <w:color w:val="auto"/>
          <w:highlight w:val="none"/>
        </w:rPr>
        <w:tab/>
      </w:r>
      <w:r>
        <w:rPr>
          <w:color w:val="auto"/>
          <w:highlight w:val="none"/>
        </w:rPr>
        <w:fldChar w:fldCharType="begin"/>
      </w:r>
      <w:r>
        <w:rPr>
          <w:color w:val="auto"/>
          <w:highlight w:val="none"/>
        </w:rPr>
        <w:instrText xml:space="preserve"> PAGEREF _Toc622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pStyle w:val="50"/>
        <w:spacing w:before="120" w:after="120"/>
        <w:rPr>
          <w:color w:val="auto"/>
          <w:highlight w:val="none"/>
        </w:rPr>
      </w:pPr>
      <w:r>
        <w:rPr>
          <w:rFonts w:hint="eastAsia"/>
          <w:color w:val="auto"/>
          <w:highlight w:val="none"/>
        </w:rPr>
        <w:br w:type="page"/>
      </w:r>
      <w:bookmarkEnd w:id="2"/>
      <w:bookmarkEnd w:id="3"/>
      <w:bookmarkEnd w:id="4"/>
      <w:bookmarkEnd w:id="5"/>
      <w:bookmarkStart w:id="6" w:name="_Toc11220"/>
      <w:bookmarkStart w:id="7" w:name="_Toc217446031"/>
      <w:bookmarkStart w:id="8" w:name="_Toc213396945"/>
      <w:bookmarkStart w:id="9" w:name="_Toc213396759"/>
      <w:bookmarkStart w:id="10" w:name="_Toc213496267"/>
      <w:bookmarkStart w:id="11" w:name="_Toc213397009"/>
      <w:r>
        <w:rPr>
          <w:rFonts w:hint="eastAsia"/>
          <w:color w:val="auto"/>
          <w:highlight w:val="none"/>
        </w:rPr>
        <w:t>竞争性谈判邀请公告</w:t>
      </w:r>
      <w:bookmarkEnd w:id="6"/>
    </w:p>
    <w:p>
      <w:pPr>
        <w:pStyle w:val="48"/>
        <w:spacing w:line="520" w:lineRule="exact"/>
        <w:rPr>
          <w:color w:val="auto"/>
          <w:highlight w:val="none"/>
        </w:rPr>
      </w:pPr>
      <w:r>
        <w:rPr>
          <w:rFonts w:hint="eastAsia"/>
          <w:color w:val="auto"/>
          <w:highlight w:val="none"/>
          <w:lang w:val="zh-CN"/>
        </w:rPr>
        <w:t>四川乾新招投标代理有限公司</w:t>
      </w:r>
      <w:r>
        <w:rPr>
          <w:rFonts w:hint="eastAsia"/>
          <w:color w:val="auto"/>
          <w:highlight w:val="none"/>
        </w:rPr>
        <w:t>受成都市技师学院的委托，拟对成都市技师学院沥青路面维修工程项目采用竞争性谈判方式进行采购，特邀请合格的供应商参加该项目的竞争性谈判。</w:t>
      </w:r>
    </w:p>
    <w:p>
      <w:pPr>
        <w:pStyle w:val="45"/>
        <w:numPr>
          <w:ilvl w:val="0"/>
          <w:numId w:val="7"/>
        </w:numPr>
        <w:spacing w:line="520" w:lineRule="exact"/>
        <w:ind w:firstLine="482" w:firstLineChars="200"/>
        <w:rPr>
          <w:color w:val="auto"/>
          <w:highlight w:val="none"/>
        </w:rPr>
      </w:pPr>
      <w:r>
        <w:rPr>
          <w:rFonts w:hint="eastAsia"/>
          <w:b/>
          <w:bCs/>
          <w:color w:val="auto"/>
          <w:highlight w:val="none"/>
        </w:rPr>
        <w:t>项目编号：</w:t>
      </w:r>
      <w:bookmarkStart w:id="581" w:name="_GoBack"/>
      <w:r>
        <w:rPr>
          <w:rFonts w:hint="eastAsia"/>
          <w:color w:val="auto"/>
          <w:highlight w:val="none"/>
        </w:rPr>
        <w:t>QXZB-2023-1257B</w:t>
      </w:r>
      <w:bookmarkEnd w:id="581"/>
    </w:p>
    <w:p>
      <w:pPr>
        <w:pStyle w:val="45"/>
        <w:numPr>
          <w:ilvl w:val="0"/>
          <w:numId w:val="7"/>
        </w:numPr>
        <w:spacing w:line="520" w:lineRule="exact"/>
        <w:ind w:firstLine="482" w:firstLineChars="200"/>
        <w:rPr>
          <w:color w:val="auto"/>
          <w:highlight w:val="none"/>
        </w:rPr>
      </w:pPr>
      <w:r>
        <w:rPr>
          <w:rFonts w:hint="eastAsia"/>
          <w:b/>
          <w:bCs/>
          <w:color w:val="auto"/>
          <w:highlight w:val="none"/>
        </w:rPr>
        <w:t>项目名称：</w:t>
      </w:r>
      <w:r>
        <w:rPr>
          <w:rFonts w:hint="eastAsia"/>
          <w:color w:val="auto"/>
          <w:highlight w:val="none"/>
        </w:rPr>
        <w:t>成都市技师学院沥青路面维修工程项目</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资金来源：</w:t>
      </w:r>
      <w:r>
        <w:rPr>
          <w:rFonts w:hint="eastAsia"/>
          <w:color w:val="auto"/>
          <w:highlight w:val="none"/>
        </w:rPr>
        <w:t>资金已落实，本项目采购预算为40万元。</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采购项目简介</w:t>
      </w:r>
    </w:p>
    <w:p>
      <w:pPr>
        <w:pStyle w:val="45"/>
        <w:spacing w:line="520" w:lineRule="exact"/>
        <w:ind w:firstLine="482" w:firstLineChars="200"/>
        <w:rPr>
          <w:color w:val="auto"/>
          <w:highlight w:val="none"/>
        </w:rPr>
      </w:pPr>
      <w:r>
        <w:rPr>
          <w:rFonts w:hint="eastAsia"/>
          <w:b/>
          <w:bCs/>
          <w:color w:val="auto"/>
          <w:highlight w:val="none"/>
        </w:rPr>
        <w:t>(一)采购内容：</w:t>
      </w:r>
      <w:r>
        <w:rPr>
          <w:rFonts w:hint="eastAsia"/>
          <w:color w:val="auto"/>
          <w:highlight w:val="none"/>
        </w:rPr>
        <w:t>成都市技师学院沥青路面维修工程项目，具体详见谈判文件第五章。</w:t>
      </w:r>
    </w:p>
    <w:p>
      <w:pPr>
        <w:pStyle w:val="45"/>
        <w:spacing w:line="520" w:lineRule="exact"/>
        <w:ind w:firstLine="482" w:firstLineChars="200"/>
        <w:rPr>
          <w:b/>
          <w:bCs/>
          <w:color w:val="auto"/>
          <w:highlight w:val="none"/>
        </w:rPr>
      </w:pPr>
      <w:r>
        <w:rPr>
          <w:rFonts w:hint="eastAsia"/>
          <w:b/>
          <w:bCs/>
          <w:color w:val="auto"/>
          <w:highlight w:val="none"/>
        </w:rPr>
        <w:t>(二)采购包划分：</w:t>
      </w:r>
      <w:r>
        <w:rPr>
          <w:rFonts w:hint="eastAsia"/>
          <w:color w:val="auto"/>
          <w:highlight w:val="none"/>
        </w:rPr>
        <w:t>本项目共计1个包，设置1名成交供应商。</w:t>
      </w:r>
    </w:p>
    <w:p>
      <w:pPr>
        <w:pStyle w:val="45"/>
        <w:spacing w:line="520" w:lineRule="exact"/>
        <w:ind w:firstLine="482" w:firstLineChars="200"/>
        <w:rPr>
          <w:color w:val="auto"/>
          <w:highlight w:val="none"/>
        </w:rPr>
      </w:pPr>
      <w:r>
        <w:rPr>
          <w:rFonts w:hint="eastAsia"/>
          <w:b/>
          <w:bCs/>
          <w:color w:val="auto"/>
          <w:highlight w:val="none"/>
        </w:rPr>
        <w:t>(三)采购用途：</w:t>
      </w:r>
      <w:r>
        <w:rPr>
          <w:rFonts w:hint="eastAsia"/>
          <w:color w:val="auto"/>
          <w:highlight w:val="none"/>
        </w:rPr>
        <w:t>用于学校郫都校区沥青路面维修，主要包含部分沥青路面翻新、修补、路沿石安装、井盖更换等。</w:t>
      </w:r>
    </w:p>
    <w:p>
      <w:pPr>
        <w:pStyle w:val="45"/>
        <w:spacing w:line="520" w:lineRule="exact"/>
        <w:ind w:firstLine="482" w:firstLineChars="200"/>
        <w:rPr>
          <w:color w:val="auto"/>
          <w:highlight w:val="none"/>
        </w:rPr>
      </w:pPr>
      <w:r>
        <w:rPr>
          <w:rFonts w:hint="eastAsia"/>
          <w:b/>
          <w:bCs/>
          <w:color w:val="auto"/>
          <w:highlight w:val="none"/>
        </w:rPr>
        <w:t>(四)项目性质：</w:t>
      </w:r>
      <w:r>
        <w:rPr>
          <w:rFonts w:hint="eastAsia"/>
          <w:color w:val="auto"/>
          <w:highlight w:val="none"/>
        </w:rPr>
        <w:t>非法定政府采购。</w:t>
      </w:r>
    </w:p>
    <w:p>
      <w:pPr>
        <w:pStyle w:val="45"/>
        <w:spacing w:line="520" w:lineRule="exact"/>
        <w:ind w:firstLine="482" w:firstLineChars="200"/>
        <w:rPr>
          <w:color w:val="auto"/>
          <w:highlight w:val="none"/>
        </w:rPr>
      </w:pPr>
      <w:r>
        <w:rPr>
          <w:rFonts w:hint="eastAsia"/>
          <w:b/>
          <w:bCs/>
          <w:color w:val="auto"/>
          <w:highlight w:val="none"/>
        </w:rPr>
        <w:t>(五)组织形式：</w:t>
      </w:r>
      <w:r>
        <w:rPr>
          <w:rFonts w:hint="eastAsia"/>
          <w:color w:val="auto"/>
          <w:highlight w:val="none"/>
        </w:rPr>
        <w:t>分散采购。</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合格供应商应具备的资格条件：</w:t>
      </w:r>
    </w:p>
    <w:p>
      <w:pPr>
        <w:pStyle w:val="36"/>
        <w:spacing w:line="520" w:lineRule="exact"/>
        <w:ind w:firstLine="482" w:firstLineChars="200"/>
        <w:rPr>
          <w:color w:val="auto"/>
          <w:highlight w:val="none"/>
        </w:rPr>
      </w:pPr>
      <w:r>
        <w:rPr>
          <w:rFonts w:hint="eastAsia"/>
          <w:b/>
          <w:bCs/>
          <w:color w:val="auto"/>
          <w:highlight w:val="none"/>
        </w:rPr>
        <w:t>(一)</w:t>
      </w:r>
      <w:r>
        <w:rPr>
          <w:rFonts w:hint="eastAsia"/>
          <w:color w:val="auto"/>
          <w:highlight w:val="none"/>
        </w:rPr>
        <w:t>具有独立承担</w:t>
      </w:r>
      <w:r>
        <w:rPr>
          <w:color w:val="auto"/>
          <w:highlight w:val="none"/>
        </w:rPr>
        <w:fldChar w:fldCharType="begin"/>
      </w:r>
      <w:r>
        <w:rPr>
          <w:color w:val="auto"/>
          <w:highlight w:val="none"/>
        </w:rPr>
        <w:instrText xml:space="preserve"> HYPERLINK "http://www.lawtime.cn/info/minfa/mszeren/" \t "_blank" </w:instrText>
      </w:r>
      <w:r>
        <w:rPr>
          <w:color w:val="auto"/>
          <w:highlight w:val="none"/>
        </w:rPr>
        <w:fldChar w:fldCharType="separate"/>
      </w:r>
      <w:r>
        <w:rPr>
          <w:rFonts w:hint="eastAsia"/>
          <w:color w:val="auto"/>
          <w:highlight w:val="none"/>
        </w:rPr>
        <w:t>民事责任</w:t>
      </w:r>
      <w:r>
        <w:rPr>
          <w:rFonts w:hint="eastAsia"/>
          <w:color w:val="auto"/>
          <w:highlight w:val="none"/>
        </w:rPr>
        <w:fldChar w:fldCharType="end"/>
      </w:r>
      <w:r>
        <w:rPr>
          <w:rFonts w:hint="eastAsia"/>
          <w:color w:val="auto"/>
          <w:highlight w:val="none"/>
        </w:rPr>
        <w:t>的能力；</w:t>
      </w:r>
    </w:p>
    <w:p>
      <w:pPr>
        <w:pStyle w:val="36"/>
        <w:spacing w:line="520" w:lineRule="exact"/>
        <w:ind w:firstLine="482" w:firstLineChars="200"/>
        <w:rPr>
          <w:color w:val="auto"/>
          <w:highlight w:val="none"/>
        </w:rPr>
      </w:pPr>
      <w:r>
        <w:rPr>
          <w:rFonts w:hint="eastAsia"/>
          <w:b/>
          <w:bCs/>
          <w:color w:val="auto"/>
          <w:highlight w:val="none"/>
        </w:rPr>
        <w:t>(二)</w:t>
      </w:r>
      <w:r>
        <w:rPr>
          <w:rFonts w:hint="eastAsia"/>
          <w:color w:val="auto"/>
          <w:highlight w:val="none"/>
        </w:rPr>
        <w:t>具有良好的商业信誉和健全的财务会计制度；</w:t>
      </w:r>
    </w:p>
    <w:p>
      <w:pPr>
        <w:pStyle w:val="36"/>
        <w:spacing w:line="520" w:lineRule="exact"/>
        <w:ind w:firstLine="482" w:firstLineChars="200"/>
        <w:rPr>
          <w:color w:val="auto"/>
          <w:highlight w:val="none"/>
        </w:rPr>
      </w:pPr>
      <w:r>
        <w:rPr>
          <w:rFonts w:hint="eastAsia"/>
          <w:b/>
          <w:bCs/>
          <w:color w:val="auto"/>
          <w:highlight w:val="none"/>
        </w:rPr>
        <w:t>(三)</w:t>
      </w:r>
      <w:r>
        <w:rPr>
          <w:rFonts w:hint="eastAsia"/>
          <w:color w:val="auto"/>
          <w:highlight w:val="none"/>
        </w:rPr>
        <w:t>具有履行合同所必需的设备和专业技术能力；</w:t>
      </w:r>
    </w:p>
    <w:p>
      <w:pPr>
        <w:pStyle w:val="36"/>
        <w:spacing w:line="520" w:lineRule="exact"/>
        <w:ind w:firstLine="482" w:firstLineChars="200"/>
        <w:rPr>
          <w:color w:val="auto"/>
          <w:highlight w:val="none"/>
        </w:rPr>
      </w:pPr>
      <w:r>
        <w:rPr>
          <w:rFonts w:hint="eastAsia"/>
          <w:b/>
          <w:bCs/>
          <w:color w:val="auto"/>
          <w:highlight w:val="none"/>
        </w:rPr>
        <w:t>(四)</w:t>
      </w:r>
      <w:r>
        <w:rPr>
          <w:rFonts w:hint="eastAsia"/>
          <w:color w:val="auto"/>
          <w:highlight w:val="none"/>
        </w:rPr>
        <w:t>有依法缴纳税收和</w:t>
      </w:r>
      <w:r>
        <w:rPr>
          <w:color w:val="auto"/>
          <w:highlight w:val="none"/>
        </w:rPr>
        <w:fldChar w:fldCharType="begin"/>
      </w:r>
      <w:r>
        <w:rPr>
          <w:color w:val="auto"/>
          <w:highlight w:val="none"/>
        </w:rPr>
        <w:instrText xml:space="preserve"> HYPERLINK "http://www.lawtime.cn/info/laodong/shehuibaozhang/" \t "_blank" </w:instrText>
      </w:r>
      <w:r>
        <w:rPr>
          <w:color w:val="auto"/>
          <w:highlight w:val="none"/>
        </w:rPr>
        <w:fldChar w:fldCharType="separate"/>
      </w:r>
      <w:r>
        <w:rPr>
          <w:rFonts w:hint="eastAsia"/>
          <w:color w:val="auto"/>
          <w:highlight w:val="none"/>
        </w:rPr>
        <w:t>社会保障</w:t>
      </w:r>
      <w:r>
        <w:rPr>
          <w:rFonts w:hint="eastAsia"/>
          <w:color w:val="auto"/>
          <w:highlight w:val="none"/>
        </w:rPr>
        <w:fldChar w:fldCharType="end"/>
      </w:r>
      <w:r>
        <w:rPr>
          <w:rFonts w:hint="eastAsia"/>
          <w:color w:val="auto"/>
          <w:highlight w:val="none"/>
        </w:rPr>
        <w:t>资金的良好记录；</w:t>
      </w:r>
    </w:p>
    <w:p>
      <w:pPr>
        <w:pStyle w:val="36"/>
        <w:spacing w:line="520" w:lineRule="exact"/>
        <w:ind w:firstLine="482" w:firstLineChars="200"/>
        <w:rPr>
          <w:color w:val="auto"/>
          <w:highlight w:val="none"/>
        </w:rPr>
      </w:pPr>
      <w:r>
        <w:rPr>
          <w:rFonts w:hint="eastAsia"/>
          <w:b/>
          <w:bCs/>
          <w:color w:val="auto"/>
          <w:highlight w:val="none"/>
        </w:rPr>
        <w:t>(五)</w:t>
      </w:r>
      <w:r>
        <w:rPr>
          <w:rFonts w:hint="eastAsia"/>
          <w:color w:val="auto"/>
          <w:highlight w:val="none"/>
        </w:rPr>
        <w:t>参加采购活动前三年内，在经营活动中没有重大违法记录；</w:t>
      </w:r>
    </w:p>
    <w:p>
      <w:pPr>
        <w:pStyle w:val="36"/>
        <w:spacing w:line="520" w:lineRule="exact"/>
        <w:ind w:firstLine="482" w:firstLineChars="200"/>
        <w:rPr>
          <w:color w:val="auto"/>
          <w:highlight w:val="none"/>
          <w:lang w:val="zh-CN"/>
        </w:rPr>
      </w:pPr>
      <w:r>
        <w:rPr>
          <w:rFonts w:hint="eastAsia"/>
          <w:b/>
          <w:bCs/>
          <w:color w:val="auto"/>
          <w:highlight w:val="none"/>
        </w:rPr>
        <w:t>(六)</w:t>
      </w:r>
      <w:r>
        <w:rPr>
          <w:rFonts w:hint="eastAsia"/>
          <w:color w:val="auto"/>
          <w:highlight w:val="none"/>
        </w:rPr>
        <w:t>法律、</w:t>
      </w:r>
      <w:r>
        <w:rPr>
          <w:color w:val="auto"/>
          <w:highlight w:val="none"/>
        </w:rPr>
        <w:fldChar w:fldCharType="begin"/>
      </w:r>
      <w:r>
        <w:rPr>
          <w:color w:val="auto"/>
          <w:highlight w:val="none"/>
        </w:rPr>
        <w:instrText xml:space="preserve"> HYPERLINK "http://www.lawtime.cn/info/sifakaoshi/xingzhengfa/" \t "_blank" </w:instrText>
      </w:r>
      <w:r>
        <w:rPr>
          <w:color w:val="auto"/>
          <w:highlight w:val="none"/>
        </w:rPr>
        <w:fldChar w:fldCharType="separate"/>
      </w:r>
      <w:r>
        <w:rPr>
          <w:rFonts w:hint="eastAsia"/>
          <w:color w:val="auto"/>
          <w:highlight w:val="none"/>
        </w:rPr>
        <w:t>行政法</w:t>
      </w:r>
      <w:r>
        <w:rPr>
          <w:rFonts w:hint="eastAsia"/>
          <w:color w:val="auto"/>
          <w:highlight w:val="none"/>
        </w:rPr>
        <w:fldChar w:fldCharType="end"/>
      </w:r>
      <w:r>
        <w:rPr>
          <w:rFonts w:hint="eastAsia"/>
          <w:color w:val="auto"/>
          <w:highlight w:val="none"/>
        </w:rPr>
        <w:t>规规定的其他条件。</w:t>
      </w:r>
    </w:p>
    <w:p>
      <w:pPr>
        <w:pStyle w:val="45"/>
        <w:spacing w:line="520" w:lineRule="exact"/>
        <w:ind w:firstLine="482" w:firstLineChars="200"/>
        <w:rPr>
          <w:b/>
          <w:bCs/>
          <w:color w:val="auto"/>
          <w:highlight w:val="none"/>
          <w:lang w:val="zh-CN"/>
        </w:rPr>
      </w:pPr>
      <w:r>
        <w:rPr>
          <w:rFonts w:hint="eastAsia"/>
          <w:b/>
          <w:bCs/>
          <w:color w:val="auto"/>
          <w:highlight w:val="none"/>
        </w:rPr>
        <w:t>(七)</w:t>
      </w:r>
      <w:r>
        <w:rPr>
          <w:rFonts w:hint="eastAsia"/>
          <w:b/>
          <w:bCs/>
          <w:color w:val="auto"/>
          <w:highlight w:val="none"/>
          <w:lang w:val="zh-CN"/>
        </w:rPr>
        <w:t>落实政策需满足的资格要求：</w:t>
      </w:r>
    </w:p>
    <w:p>
      <w:pPr>
        <w:pStyle w:val="45"/>
        <w:spacing w:line="520" w:lineRule="exact"/>
        <w:ind w:firstLine="480" w:firstLineChars="200"/>
        <w:rPr>
          <w:color w:val="auto"/>
          <w:highlight w:val="none"/>
          <w:lang w:val="zh-CN"/>
        </w:rPr>
      </w:pPr>
      <w:r>
        <w:rPr>
          <w:rFonts w:hint="eastAsia"/>
          <w:color w:val="auto"/>
          <w:highlight w:val="none"/>
        </w:rPr>
        <w:t>本项目为</w:t>
      </w:r>
      <w:r>
        <w:rPr>
          <w:rFonts w:hint="eastAsia"/>
          <w:color w:val="auto"/>
          <w:highlight w:val="none"/>
          <w:lang w:val="zh-CN"/>
        </w:rPr>
        <w:t>专门面向中小企业采购的项目,</w:t>
      </w:r>
      <w:r>
        <w:rPr>
          <w:rFonts w:hint="eastAsia"/>
          <w:color w:val="auto"/>
          <w:highlight w:val="none"/>
        </w:rPr>
        <w:t>供应商</w:t>
      </w:r>
      <w:r>
        <w:rPr>
          <w:rFonts w:hint="eastAsia"/>
          <w:color w:val="auto"/>
          <w:highlight w:val="none"/>
          <w:lang w:val="zh-CN"/>
        </w:rPr>
        <w:t>应为中小微企业、监狱企业、残疾人福利性单位</w:t>
      </w:r>
      <w:r>
        <w:rPr>
          <w:rFonts w:hint="eastAsia"/>
          <w:color w:val="auto"/>
          <w:highlight w:val="none"/>
        </w:rPr>
        <w:t>或符合中小企业划分标准的个体工商户。</w:t>
      </w:r>
    </w:p>
    <w:p>
      <w:pPr>
        <w:pStyle w:val="45"/>
        <w:spacing w:line="520" w:lineRule="exact"/>
        <w:ind w:firstLine="482" w:firstLineChars="200"/>
        <w:rPr>
          <w:b/>
          <w:bCs/>
          <w:color w:val="auto"/>
          <w:highlight w:val="none"/>
          <w:lang w:val="zh-CN"/>
        </w:rPr>
      </w:pPr>
      <w:r>
        <w:rPr>
          <w:rFonts w:hint="eastAsia"/>
          <w:b/>
          <w:bCs/>
          <w:color w:val="auto"/>
          <w:highlight w:val="none"/>
        </w:rPr>
        <w:t>(八)</w:t>
      </w:r>
      <w:r>
        <w:rPr>
          <w:rFonts w:hint="eastAsia"/>
          <w:b/>
          <w:bCs/>
          <w:color w:val="auto"/>
          <w:highlight w:val="none"/>
          <w:lang w:val="zh-CN"/>
        </w:rPr>
        <w:t>本项目的特定资格要求：</w:t>
      </w:r>
    </w:p>
    <w:p>
      <w:pPr>
        <w:pStyle w:val="36"/>
        <w:spacing w:line="520" w:lineRule="exact"/>
        <w:ind w:firstLine="480" w:firstLineChars="200"/>
        <w:rPr>
          <w:color w:val="auto"/>
          <w:highlight w:val="none"/>
        </w:rPr>
      </w:pPr>
      <w:r>
        <w:rPr>
          <w:rFonts w:hint="eastAsia"/>
          <w:color w:val="auto"/>
          <w:highlight w:val="none"/>
        </w:rPr>
        <w:t>1.具备行业行政主管部门颁发的且在有效期内的市政公用工程施工总承包三级及以上资质；</w:t>
      </w:r>
    </w:p>
    <w:p>
      <w:pPr>
        <w:pStyle w:val="36"/>
        <w:spacing w:line="520" w:lineRule="exact"/>
        <w:ind w:firstLine="480" w:firstLineChars="200"/>
        <w:rPr>
          <w:color w:val="auto"/>
          <w:highlight w:val="none"/>
        </w:rPr>
      </w:pPr>
      <w:r>
        <w:rPr>
          <w:rFonts w:hint="eastAsia"/>
          <w:color w:val="auto"/>
          <w:highlight w:val="none"/>
        </w:rPr>
        <w:t>2.具备有效的《安全生产许可证》；</w:t>
      </w:r>
    </w:p>
    <w:p>
      <w:pPr>
        <w:pStyle w:val="36"/>
        <w:spacing w:line="520" w:lineRule="exact"/>
        <w:ind w:firstLine="480" w:firstLineChars="200"/>
        <w:rPr>
          <w:color w:val="auto"/>
          <w:highlight w:val="none"/>
        </w:rPr>
      </w:pPr>
      <w:r>
        <w:rPr>
          <w:rFonts w:hint="eastAsia"/>
          <w:color w:val="auto"/>
          <w:highlight w:val="none"/>
        </w:rPr>
        <w:t>3.项目经理：具备市政工程专业二级或以上建造师执业资格并注册，具备有效的安全生产考核合格证书（B证）；项目技术负责人具备建筑工程相关专业中级或以上职称；</w:t>
      </w:r>
    </w:p>
    <w:p>
      <w:pPr>
        <w:pStyle w:val="36"/>
        <w:spacing w:line="520" w:lineRule="exact"/>
        <w:ind w:firstLine="480" w:firstLineChars="200"/>
        <w:rPr>
          <w:color w:val="auto"/>
          <w:highlight w:val="none"/>
          <w:lang w:val="zh-CN"/>
        </w:rPr>
      </w:pPr>
      <w:r>
        <w:rPr>
          <w:rFonts w:hint="eastAsia"/>
          <w:color w:val="auto"/>
          <w:highlight w:val="none"/>
        </w:rPr>
        <w:t>4.企业注册地不在四川省行政区域内的省外企业须提供在有效期内的四川省住房和城乡建设厅官网已公开的入川信息网页截图；</w:t>
      </w:r>
    </w:p>
    <w:p>
      <w:pPr>
        <w:pStyle w:val="36"/>
        <w:spacing w:line="520" w:lineRule="exact"/>
        <w:ind w:firstLine="480" w:firstLineChars="200"/>
        <w:rPr>
          <w:color w:val="auto"/>
          <w:highlight w:val="none"/>
          <w:lang w:val="zh-CN"/>
        </w:rPr>
      </w:pPr>
      <w:r>
        <w:rPr>
          <w:rFonts w:hint="eastAsia"/>
          <w:color w:val="auto"/>
          <w:highlight w:val="none"/>
        </w:rPr>
        <w:t>5.本项目不接受联合体参加本次采购活动</w:t>
      </w:r>
      <w:r>
        <w:rPr>
          <w:rFonts w:hint="eastAsia"/>
          <w:color w:val="auto"/>
          <w:highlight w:val="none"/>
          <w:lang w:val="zh-CN"/>
        </w:rPr>
        <w:t>。</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禁止参加本次采购活动的供应商</w:t>
      </w:r>
    </w:p>
    <w:p>
      <w:pPr>
        <w:pStyle w:val="36"/>
        <w:spacing w:line="520" w:lineRule="exact"/>
        <w:ind w:firstLine="480" w:firstLineChars="200"/>
        <w:rPr>
          <w:color w:val="auto"/>
          <w:highlight w:val="none"/>
        </w:rPr>
      </w:pPr>
      <w:bookmarkStart w:id="12" w:name="PO_默认文件内容_4"/>
      <w:r>
        <w:rPr>
          <w:rFonts w:hint="eastAsia"/>
          <w:color w:val="auto"/>
          <w:highlight w:val="none"/>
        </w:rPr>
        <w:t>参照《关于在政府采购活动中查询及使用信用记录有关问题的通知》(财库〔2016〕125号)的要求，采购代理机构将通过“信用中国”网站(www.creditchina.gov.cn)、“中国政府采购网”网站(www.ccgp.gov.cn)等渠道查询供应商在响应文件递交截止日前的信用记录并保存信用记录结果网页截图，拒绝列入失信被执行人名单、重大税收违法案件当事人名单、政府采购严重违法失信行为记录名单中的供应商参加本项目的采购活动。</w:t>
      </w:r>
    </w:p>
    <w:bookmarkEnd w:id="12"/>
    <w:p>
      <w:pPr>
        <w:pStyle w:val="45"/>
        <w:numPr>
          <w:ilvl w:val="0"/>
          <w:numId w:val="7"/>
        </w:numPr>
        <w:spacing w:line="520" w:lineRule="exact"/>
        <w:ind w:firstLine="482" w:firstLineChars="200"/>
        <w:rPr>
          <w:b/>
          <w:bCs/>
          <w:color w:val="auto"/>
          <w:highlight w:val="none"/>
        </w:rPr>
      </w:pPr>
      <w:r>
        <w:rPr>
          <w:rFonts w:hint="eastAsia"/>
          <w:b/>
          <w:bCs/>
          <w:color w:val="auto"/>
          <w:highlight w:val="none"/>
        </w:rPr>
        <w:t>获取谈判文件的时间期限、地点、方式</w:t>
      </w:r>
    </w:p>
    <w:p>
      <w:pPr>
        <w:pStyle w:val="48"/>
        <w:numPr>
          <w:ilvl w:val="0"/>
          <w:numId w:val="8"/>
        </w:numPr>
        <w:spacing w:line="520" w:lineRule="exact"/>
        <w:ind w:firstLine="480"/>
        <w:rPr>
          <w:color w:val="auto"/>
          <w:highlight w:val="none"/>
          <w:lang w:val="zh-CN"/>
        </w:rPr>
      </w:pPr>
      <w:r>
        <w:rPr>
          <w:rFonts w:hint="eastAsia"/>
          <w:color w:val="auto"/>
          <w:highlight w:val="none"/>
        </w:rPr>
        <w:t>获取谈判文件的时间期限(即报名时间)：</w:t>
      </w:r>
      <w:r>
        <w:rPr>
          <w:rFonts w:hint="eastAsia"/>
          <w:color w:val="auto"/>
          <w:highlight w:val="none"/>
          <w:u w:val="single"/>
        </w:rPr>
        <w:t>202</w:t>
      </w:r>
      <w:r>
        <w:rPr>
          <w:rFonts w:hint="eastAsia"/>
          <w:color w:val="auto"/>
          <w:highlight w:val="none"/>
          <w:u w:val="single"/>
          <w:lang w:val="en-US" w:eastAsia="zh-CN"/>
        </w:rPr>
        <w:t>4</w:t>
      </w:r>
      <w:r>
        <w:rPr>
          <w:rFonts w:hint="eastAsia"/>
          <w:color w:val="auto"/>
          <w:highlight w:val="none"/>
          <w:u w:val="single"/>
        </w:rPr>
        <w:t>年</w:t>
      </w:r>
      <w:r>
        <w:rPr>
          <w:rFonts w:hint="eastAsia"/>
          <w:color w:val="auto"/>
          <w:highlight w:val="none"/>
          <w:u w:val="single"/>
          <w:lang w:val="en-US" w:eastAsia="zh-CN"/>
        </w:rPr>
        <w:t>1</w:t>
      </w:r>
      <w:r>
        <w:rPr>
          <w:rFonts w:hint="eastAsia"/>
          <w:color w:val="auto"/>
          <w:highlight w:val="none"/>
          <w:u w:val="single"/>
        </w:rPr>
        <w:t>月</w:t>
      </w:r>
      <w:r>
        <w:rPr>
          <w:rFonts w:hint="eastAsia"/>
          <w:color w:val="auto"/>
          <w:highlight w:val="none"/>
          <w:u w:val="single"/>
          <w:lang w:val="en-US" w:eastAsia="zh-CN"/>
        </w:rPr>
        <w:t>2</w:t>
      </w:r>
      <w:r>
        <w:rPr>
          <w:rFonts w:hint="eastAsia"/>
          <w:color w:val="auto"/>
          <w:highlight w:val="none"/>
          <w:u w:val="single"/>
        </w:rPr>
        <w:t>日至202</w:t>
      </w:r>
      <w:r>
        <w:rPr>
          <w:rFonts w:hint="eastAsia"/>
          <w:color w:val="auto"/>
          <w:highlight w:val="none"/>
          <w:u w:val="single"/>
          <w:lang w:val="en-US" w:eastAsia="zh-CN"/>
        </w:rPr>
        <w:t>4</w:t>
      </w:r>
      <w:r>
        <w:rPr>
          <w:rFonts w:hint="eastAsia"/>
          <w:color w:val="auto"/>
          <w:highlight w:val="none"/>
          <w:u w:val="single"/>
        </w:rPr>
        <w:t>年</w:t>
      </w:r>
      <w:r>
        <w:rPr>
          <w:rFonts w:hint="eastAsia"/>
          <w:color w:val="auto"/>
          <w:highlight w:val="none"/>
          <w:u w:val="single"/>
          <w:lang w:val="en-US" w:eastAsia="zh-CN"/>
        </w:rPr>
        <w:t>1</w:t>
      </w:r>
      <w:r>
        <w:rPr>
          <w:rFonts w:hint="eastAsia"/>
          <w:color w:val="auto"/>
          <w:highlight w:val="none"/>
          <w:u w:val="single"/>
        </w:rPr>
        <w:t>月</w:t>
      </w:r>
      <w:r>
        <w:rPr>
          <w:rFonts w:hint="eastAsia"/>
          <w:color w:val="auto"/>
          <w:highlight w:val="none"/>
          <w:u w:val="single"/>
          <w:lang w:val="en-US" w:eastAsia="zh-CN"/>
        </w:rPr>
        <w:t>4</w:t>
      </w:r>
      <w:r>
        <w:rPr>
          <w:rFonts w:hint="eastAsia"/>
          <w:color w:val="auto"/>
          <w:highlight w:val="none"/>
          <w:u w:val="single"/>
        </w:rPr>
        <w:t>日，每天上午9时00分至12时00分，下午14时00分至17时00分(北京时间，法定节假日除外)</w:t>
      </w:r>
      <w:r>
        <w:rPr>
          <w:rFonts w:hint="eastAsia"/>
          <w:color w:val="auto"/>
          <w:highlight w:val="none"/>
          <w:lang w:val="zh-CN"/>
        </w:rPr>
        <w:t>。</w:t>
      </w:r>
    </w:p>
    <w:p>
      <w:pPr>
        <w:pStyle w:val="48"/>
        <w:numPr>
          <w:ilvl w:val="0"/>
          <w:numId w:val="8"/>
        </w:numPr>
        <w:spacing w:line="520" w:lineRule="exact"/>
        <w:ind w:firstLine="480"/>
        <w:rPr>
          <w:color w:val="auto"/>
          <w:highlight w:val="none"/>
          <w:lang w:val="zh-CN"/>
        </w:rPr>
      </w:pPr>
      <w:r>
        <w:rPr>
          <w:rFonts w:hint="eastAsia"/>
          <w:color w:val="auto"/>
          <w:highlight w:val="none"/>
        </w:rPr>
        <w:t>获取谈判文件的地点：</w:t>
      </w:r>
      <w:r>
        <w:rPr>
          <w:rFonts w:hint="eastAsia"/>
          <w:b/>
          <w:bCs/>
          <w:color w:val="auto"/>
          <w:highlight w:val="none"/>
        </w:rPr>
        <w:t>http：//www.qxztb.cn</w:t>
      </w:r>
      <w:r>
        <w:rPr>
          <w:rFonts w:hint="eastAsia"/>
          <w:color w:val="auto"/>
          <w:highlight w:val="none"/>
          <w:lang w:val="zh-CN"/>
        </w:rPr>
        <w:t>。</w:t>
      </w:r>
    </w:p>
    <w:p>
      <w:pPr>
        <w:pStyle w:val="45"/>
        <w:spacing w:line="520" w:lineRule="exact"/>
        <w:ind w:firstLine="482" w:firstLineChars="200"/>
        <w:rPr>
          <w:b/>
          <w:bCs/>
          <w:color w:val="auto"/>
          <w:highlight w:val="none"/>
        </w:rPr>
      </w:pPr>
      <w:r>
        <w:rPr>
          <w:rFonts w:hint="eastAsia"/>
          <w:b/>
          <w:bCs/>
          <w:color w:val="auto"/>
          <w:highlight w:val="none"/>
        </w:rPr>
        <w:t>(三)获取谈判文件的方式：</w:t>
      </w:r>
    </w:p>
    <w:p>
      <w:pPr>
        <w:pStyle w:val="45"/>
        <w:spacing w:line="520" w:lineRule="exact"/>
        <w:ind w:firstLine="482" w:firstLineChars="200"/>
        <w:rPr>
          <w:color w:val="auto"/>
          <w:highlight w:val="none"/>
        </w:rPr>
      </w:pPr>
      <w:r>
        <w:rPr>
          <w:rFonts w:hint="eastAsia"/>
          <w:b/>
          <w:bCs/>
          <w:color w:val="auto"/>
          <w:highlight w:val="none"/>
        </w:rPr>
        <w:t>1.</w:t>
      </w:r>
      <w:r>
        <w:rPr>
          <w:rFonts w:hint="eastAsia"/>
          <w:b/>
          <w:bCs/>
          <w:color w:val="auto"/>
          <w:highlight w:val="none"/>
        </w:rPr>
        <w:tab/>
      </w:r>
      <w:r>
        <w:rPr>
          <w:rFonts w:hint="eastAsia"/>
          <w:b/>
          <w:bCs/>
          <w:color w:val="auto"/>
          <w:highlight w:val="none"/>
        </w:rPr>
        <w:t>在本项目谈判文件获取时间期限内，在我司网站(http：//www.qxztb.cn)获取，具体获取流程详见该网站的“标书在线获取流程”</w:t>
      </w:r>
      <w:r>
        <w:rPr>
          <w:rFonts w:hint="eastAsia"/>
          <w:color w:val="auto"/>
          <w:highlight w:val="none"/>
        </w:rPr>
        <w:t>。</w:t>
      </w:r>
    </w:p>
    <w:p>
      <w:pPr>
        <w:pStyle w:val="45"/>
        <w:spacing w:line="520" w:lineRule="exact"/>
        <w:ind w:firstLine="482" w:firstLineChars="200"/>
        <w:rPr>
          <w:b/>
          <w:bCs/>
          <w:color w:val="auto"/>
          <w:highlight w:val="none"/>
          <w:lang w:val="zh-CN"/>
        </w:rPr>
      </w:pPr>
      <w:r>
        <w:rPr>
          <w:rFonts w:hint="eastAsia"/>
          <w:b/>
          <w:bCs/>
          <w:color w:val="auto"/>
          <w:highlight w:val="none"/>
        </w:rPr>
        <w:t>2.报名咨询电话：</w:t>
      </w:r>
      <w:r>
        <w:rPr>
          <w:rFonts w:hint="eastAsia"/>
          <w:b/>
          <w:bCs/>
          <w:color w:val="auto"/>
          <w:highlight w:val="none"/>
          <w:lang w:val="zh-CN"/>
        </w:rPr>
        <w:t>028-61375575、62600820、62630990转601或602。</w:t>
      </w:r>
    </w:p>
    <w:p>
      <w:pPr>
        <w:pStyle w:val="45"/>
        <w:spacing w:line="520" w:lineRule="exact"/>
        <w:ind w:firstLine="482" w:firstLineChars="200"/>
        <w:rPr>
          <w:b/>
          <w:bCs/>
          <w:color w:val="auto"/>
          <w:highlight w:val="none"/>
        </w:rPr>
      </w:pPr>
      <w:r>
        <w:rPr>
          <w:rFonts w:hint="eastAsia"/>
          <w:b/>
          <w:bCs/>
          <w:color w:val="auto"/>
          <w:highlight w:val="none"/>
        </w:rPr>
        <w:t>(四)谈判文件</w:t>
      </w:r>
      <w:r>
        <w:rPr>
          <w:rFonts w:hint="eastAsia"/>
          <w:b/>
          <w:bCs/>
          <w:color w:val="auto"/>
          <w:highlight w:val="none"/>
          <w:lang w:val="zh-CN"/>
        </w:rPr>
        <w:t>售价：人民币</w:t>
      </w:r>
      <w:r>
        <w:rPr>
          <w:rFonts w:hint="eastAsia"/>
          <w:b/>
          <w:bCs/>
          <w:color w:val="auto"/>
          <w:highlight w:val="none"/>
        </w:rPr>
        <w:t>300元</w:t>
      </w:r>
      <w:r>
        <w:rPr>
          <w:rFonts w:hint="eastAsia"/>
          <w:b/>
          <w:bCs/>
          <w:color w:val="auto"/>
          <w:highlight w:val="none"/>
          <w:lang w:val="zh-CN"/>
        </w:rPr>
        <w:t>/份(</w:t>
      </w:r>
      <w:r>
        <w:rPr>
          <w:rFonts w:hint="eastAsia"/>
          <w:b/>
          <w:bCs/>
          <w:color w:val="auto"/>
          <w:highlight w:val="none"/>
        </w:rPr>
        <w:t>谈判文件售后不退</w:t>
      </w:r>
      <w:r>
        <w:rPr>
          <w:rFonts w:hint="eastAsia"/>
          <w:b/>
          <w:bCs/>
          <w:color w:val="auto"/>
          <w:highlight w:val="none"/>
          <w:lang w:val="zh-CN"/>
        </w:rPr>
        <w:t xml:space="preserve">, </w:t>
      </w:r>
      <w:r>
        <w:rPr>
          <w:rFonts w:hint="eastAsia"/>
          <w:b/>
          <w:bCs/>
          <w:color w:val="auto"/>
          <w:highlight w:val="none"/>
        </w:rPr>
        <w:t>报价资格不得转让)。</w:t>
      </w:r>
    </w:p>
    <w:p>
      <w:pPr>
        <w:pStyle w:val="45"/>
        <w:spacing w:line="520" w:lineRule="exact"/>
        <w:ind w:firstLine="482" w:firstLineChars="200"/>
        <w:rPr>
          <w:color w:val="auto"/>
          <w:highlight w:val="none"/>
        </w:rPr>
      </w:pPr>
      <w:r>
        <w:rPr>
          <w:rFonts w:hint="eastAsia"/>
          <w:b/>
          <w:bCs/>
          <w:color w:val="auto"/>
          <w:highlight w:val="none"/>
        </w:rPr>
        <w:t>(五)</w:t>
      </w:r>
      <w:r>
        <w:rPr>
          <w:rFonts w:hint="eastAsia"/>
          <w:color w:val="auto"/>
          <w:highlight w:val="none"/>
        </w:rPr>
        <w:t>供应商应在规定的时间内按上述要求获取本谈判文件并登记，否则均无资格参加该项目。</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竞争性谈判响应文件递交的截止时间：202</w:t>
      </w:r>
      <w:r>
        <w:rPr>
          <w:rFonts w:hint="eastAsia"/>
          <w:b/>
          <w:bCs/>
          <w:color w:val="auto"/>
          <w:highlight w:val="none"/>
          <w:lang w:val="en-US" w:eastAsia="zh-CN"/>
        </w:rPr>
        <w:t>4</w:t>
      </w:r>
      <w:r>
        <w:rPr>
          <w:rFonts w:hint="eastAsia"/>
          <w:b/>
          <w:bCs/>
          <w:color w:val="auto"/>
          <w:highlight w:val="none"/>
        </w:rPr>
        <w:t>年</w:t>
      </w:r>
      <w:r>
        <w:rPr>
          <w:rFonts w:hint="eastAsia"/>
          <w:b/>
          <w:bCs/>
          <w:color w:val="auto"/>
          <w:highlight w:val="none"/>
          <w:lang w:val="en-US" w:eastAsia="zh-CN"/>
        </w:rPr>
        <w:t>1</w:t>
      </w:r>
      <w:r>
        <w:rPr>
          <w:rFonts w:hint="eastAsia"/>
          <w:b/>
          <w:bCs/>
          <w:color w:val="auto"/>
          <w:highlight w:val="none"/>
        </w:rPr>
        <w:t>月</w:t>
      </w:r>
      <w:r>
        <w:rPr>
          <w:rFonts w:hint="eastAsia"/>
          <w:b/>
          <w:bCs/>
          <w:color w:val="auto"/>
          <w:highlight w:val="none"/>
          <w:lang w:val="en-US" w:eastAsia="zh-CN"/>
        </w:rPr>
        <w:t>5</w:t>
      </w:r>
      <w:r>
        <w:rPr>
          <w:rFonts w:hint="eastAsia"/>
          <w:b/>
          <w:bCs/>
          <w:color w:val="auto"/>
          <w:highlight w:val="none"/>
        </w:rPr>
        <w:t>日</w:t>
      </w:r>
      <w:r>
        <w:rPr>
          <w:rFonts w:hint="eastAsia"/>
          <w:b/>
          <w:bCs/>
          <w:color w:val="auto"/>
          <w:highlight w:val="none"/>
          <w:lang w:val="en-US" w:eastAsia="zh-CN"/>
        </w:rPr>
        <w:t>14</w:t>
      </w:r>
      <w:r>
        <w:rPr>
          <w:rFonts w:hint="eastAsia"/>
          <w:b/>
          <w:bCs/>
          <w:color w:val="auto"/>
          <w:highlight w:val="none"/>
        </w:rPr>
        <w:t>时</w:t>
      </w:r>
      <w:r>
        <w:rPr>
          <w:rFonts w:hint="eastAsia"/>
          <w:b/>
          <w:bCs/>
          <w:color w:val="auto"/>
          <w:highlight w:val="none"/>
          <w:lang w:val="en-US" w:eastAsia="zh-CN"/>
        </w:rPr>
        <w:t>00</w:t>
      </w:r>
      <w:r>
        <w:rPr>
          <w:rFonts w:hint="eastAsia"/>
          <w:b/>
          <w:bCs/>
          <w:color w:val="auto"/>
          <w:highlight w:val="none"/>
        </w:rPr>
        <w:t>分(北京时间)</w:t>
      </w:r>
    </w:p>
    <w:p>
      <w:pPr>
        <w:pStyle w:val="48"/>
        <w:spacing w:line="520" w:lineRule="exact"/>
        <w:ind w:firstLine="482"/>
        <w:rPr>
          <w:b/>
          <w:bCs/>
          <w:color w:val="auto"/>
          <w:highlight w:val="none"/>
        </w:rPr>
      </w:pPr>
      <w:r>
        <w:rPr>
          <w:rFonts w:hint="eastAsia"/>
          <w:b/>
          <w:bCs/>
          <w:color w:val="auto"/>
          <w:highlight w:val="none"/>
        </w:rPr>
        <w:t>响应文件递交的起止时间：谈判当日</w:t>
      </w:r>
      <w:r>
        <w:rPr>
          <w:rFonts w:hint="eastAsia"/>
          <w:b/>
          <w:bCs/>
          <w:color w:val="auto"/>
          <w:highlight w:val="none"/>
          <w:lang w:val="en-US" w:eastAsia="zh-CN"/>
        </w:rPr>
        <w:t>13</w:t>
      </w:r>
      <w:r>
        <w:rPr>
          <w:rFonts w:hint="eastAsia"/>
          <w:b/>
          <w:bCs/>
          <w:color w:val="auto"/>
          <w:highlight w:val="none"/>
        </w:rPr>
        <w:t>时</w:t>
      </w:r>
      <w:r>
        <w:rPr>
          <w:rFonts w:hint="eastAsia"/>
          <w:b/>
          <w:bCs/>
          <w:color w:val="auto"/>
          <w:highlight w:val="none"/>
          <w:lang w:val="en-US" w:eastAsia="zh-CN"/>
        </w:rPr>
        <w:t>3</w:t>
      </w:r>
      <w:r>
        <w:rPr>
          <w:rFonts w:hint="eastAsia"/>
          <w:b/>
          <w:bCs/>
          <w:color w:val="auto"/>
          <w:highlight w:val="none"/>
        </w:rPr>
        <w:t xml:space="preserve">0分- </w:t>
      </w:r>
      <w:r>
        <w:rPr>
          <w:rFonts w:hint="eastAsia"/>
          <w:b/>
          <w:bCs/>
          <w:color w:val="auto"/>
          <w:highlight w:val="none"/>
          <w:lang w:val="en-US" w:eastAsia="zh-CN"/>
        </w:rPr>
        <w:t>14</w:t>
      </w:r>
      <w:r>
        <w:rPr>
          <w:rFonts w:hint="eastAsia"/>
          <w:b/>
          <w:bCs/>
          <w:color w:val="auto"/>
          <w:highlight w:val="none"/>
        </w:rPr>
        <w:t>时</w:t>
      </w:r>
      <w:r>
        <w:rPr>
          <w:rFonts w:hint="eastAsia"/>
          <w:b/>
          <w:bCs/>
          <w:color w:val="auto"/>
          <w:highlight w:val="none"/>
          <w:lang w:val="en-US" w:eastAsia="zh-CN"/>
        </w:rPr>
        <w:t>00</w:t>
      </w:r>
      <w:r>
        <w:rPr>
          <w:rFonts w:hint="eastAsia"/>
          <w:b/>
          <w:bCs/>
          <w:color w:val="auto"/>
          <w:highlight w:val="none"/>
        </w:rPr>
        <w:t>分(北京时间)；</w:t>
      </w:r>
    </w:p>
    <w:p>
      <w:pPr>
        <w:pStyle w:val="48"/>
        <w:spacing w:line="520" w:lineRule="exact"/>
        <w:ind w:firstLine="482"/>
        <w:rPr>
          <w:b/>
          <w:bCs/>
          <w:color w:val="auto"/>
          <w:highlight w:val="none"/>
        </w:rPr>
      </w:pPr>
      <w:r>
        <w:rPr>
          <w:rFonts w:hint="eastAsia"/>
          <w:b/>
          <w:bCs/>
          <w:color w:val="auto"/>
          <w:highlight w:val="none"/>
        </w:rPr>
        <w:t>开启时间：谈判小组组建后立即开启；</w:t>
      </w:r>
    </w:p>
    <w:p>
      <w:pPr>
        <w:pStyle w:val="48"/>
        <w:spacing w:line="520" w:lineRule="exact"/>
        <w:ind w:firstLine="482"/>
        <w:rPr>
          <w:color w:val="auto"/>
          <w:highlight w:val="none"/>
        </w:rPr>
      </w:pPr>
      <w:r>
        <w:rPr>
          <w:rFonts w:hint="eastAsia"/>
          <w:b/>
          <w:bCs/>
          <w:color w:val="auto"/>
          <w:highlight w:val="none"/>
        </w:rPr>
        <w:t>响应文件递交的地点：</w:t>
      </w:r>
      <w:r>
        <w:rPr>
          <w:rFonts w:hint="eastAsia"/>
          <w:color w:val="auto"/>
          <w:highlight w:val="none"/>
        </w:rPr>
        <w:t>成都市高新区吉庆三路333号蜀都中心二期一号楼一单元401号本项目会议室；</w:t>
      </w:r>
    </w:p>
    <w:p>
      <w:pPr>
        <w:pStyle w:val="48"/>
        <w:spacing w:line="520" w:lineRule="exact"/>
        <w:rPr>
          <w:color w:val="auto"/>
          <w:highlight w:val="none"/>
        </w:rPr>
      </w:pPr>
      <w:r>
        <w:rPr>
          <w:rFonts w:hint="eastAsia"/>
          <w:color w:val="auto"/>
          <w:highlight w:val="none"/>
        </w:rPr>
        <w:t>供应商应当在谈判文件要求的截止时间前，将响应文件密封送达指定地点。在截止时间后送达的响应文件为无效文件，将被采购代理机构拒收。</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谈判时间：202</w:t>
      </w:r>
      <w:r>
        <w:rPr>
          <w:rFonts w:hint="eastAsia"/>
          <w:b/>
          <w:bCs/>
          <w:color w:val="auto"/>
          <w:highlight w:val="none"/>
          <w:lang w:val="en-US" w:eastAsia="zh-CN"/>
        </w:rPr>
        <w:t>4</w:t>
      </w:r>
      <w:r>
        <w:rPr>
          <w:rFonts w:hint="eastAsia"/>
          <w:b/>
          <w:bCs/>
          <w:color w:val="auto"/>
          <w:highlight w:val="none"/>
        </w:rPr>
        <w:t>年</w:t>
      </w:r>
      <w:r>
        <w:rPr>
          <w:rFonts w:hint="eastAsia"/>
          <w:b/>
          <w:bCs/>
          <w:color w:val="auto"/>
          <w:highlight w:val="none"/>
          <w:lang w:val="en-US" w:eastAsia="zh-CN"/>
        </w:rPr>
        <w:t>1</w:t>
      </w:r>
      <w:r>
        <w:rPr>
          <w:rFonts w:hint="eastAsia"/>
          <w:b/>
          <w:bCs/>
          <w:color w:val="auto"/>
          <w:highlight w:val="none"/>
        </w:rPr>
        <w:t>月</w:t>
      </w:r>
      <w:r>
        <w:rPr>
          <w:rFonts w:hint="eastAsia"/>
          <w:b/>
          <w:bCs/>
          <w:color w:val="auto"/>
          <w:highlight w:val="none"/>
          <w:lang w:val="en-US" w:eastAsia="zh-CN"/>
        </w:rPr>
        <w:t>5</w:t>
      </w:r>
      <w:r>
        <w:rPr>
          <w:rFonts w:hint="eastAsia"/>
          <w:b/>
          <w:bCs/>
          <w:color w:val="auto"/>
          <w:highlight w:val="none"/>
        </w:rPr>
        <w:t>日</w:t>
      </w:r>
      <w:r>
        <w:rPr>
          <w:rFonts w:hint="eastAsia"/>
          <w:b/>
          <w:bCs/>
          <w:color w:val="auto"/>
          <w:highlight w:val="none"/>
          <w:lang w:val="en-US" w:eastAsia="zh-CN"/>
        </w:rPr>
        <w:t>14</w:t>
      </w:r>
      <w:r>
        <w:rPr>
          <w:rFonts w:hint="eastAsia"/>
          <w:b/>
          <w:bCs/>
          <w:color w:val="auto"/>
          <w:highlight w:val="none"/>
        </w:rPr>
        <w:t>时</w:t>
      </w:r>
      <w:r>
        <w:rPr>
          <w:rFonts w:hint="eastAsia"/>
          <w:b/>
          <w:bCs/>
          <w:color w:val="auto"/>
          <w:highlight w:val="none"/>
          <w:lang w:val="en-US" w:eastAsia="zh-CN"/>
        </w:rPr>
        <w:t>0</w:t>
      </w:r>
      <w:r>
        <w:rPr>
          <w:rFonts w:hint="eastAsia"/>
          <w:b/>
          <w:bCs/>
          <w:color w:val="auto"/>
          <w:highlight w:val="none"/>
        </w:rPr>
        <w:t>0分(北京时间)。</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谈判地点：</w:t>
      </w:r>
      <w:r>
        <w:rPr>
          <w:rFonts w:hint="eastAsia"/>
          <w:color w:val="auto"/>
          <w:highlight w:val="none"/>
        </w:rPr>
        <w:t>成都市高新区吉庆三路333号蜀都中心二期一号楼一单元401号本项目会议室。</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采购信息发布媒体：</w:t>
      </w:r>
      <w:r>
        <w:rPr>
          <w:rFonts w:hint="eastAsia"/>
          <w:color w:val="auto"/>
          <w:highlight w:val="none"/>
        </w:rPr>
        <w:t>“中国招标投标公共服务平台”。</w:t>
      </w:r>
    </w:p>
    <w:p>
      <w:pPr>
        <w:pStyle w:val="45"/>
        <w:numPr>
          <w:ilvl w:val="0"/>
          <w:numId w:val="7"/>
        </w:numPr>
        <w:spacing w:line="520" w:lineRule="exact"/>
        <w:ind w:firstLine="482" w:firstLineChars="200"/>
        <w:rPr>
          <w:b/>
          <w:bCs/>
          <w:color w:val="auto"/>
          <w:highlight w:val="none"/>
        </w:rPr>
      </w:pPr>
      <w:r>
        <w:rPr>
          <w:rFonts w:hint="eastAsia"/>
          <w:b/>
          <w:bCs/>
          <w:color w:val="auto"/>
          <w:highlight w:val="none"/>
        </w:rPr>
        <w:t>凡对本次采购提出询问，请按以下方式联系：</w:t>
      </w:r>
    </w:p>
    <w:p>
      <w:pPr>
        <w:pStyle w:val="45"/>
        <w:spacing w:line="520" w:lineRule="exact"/>
        <w:ind w:firstLine="480" w:firstLineChars="200"/>
        <w:rPr>
          <w:color w:val="auto"/>
          <w:highlight w:val="none"/>
        </w:rPr>
      </w:pPr>
      <w:r>
        <w:rPr>
          <w:rFonts w:hint="eastAsia"/>
          <w:color w:val="auto"/>
          <w:highlight w:val="none"/>
        </w:rPr>
        <w:t>(一)采购人信息</w:t>
      </w:r>
    </w:p>
    <w:p>
      <w:pPr>
        <w:pStyle w:val="45"/>
        <w:spacing w:line="520" w:lineRule="exact"/>
        <w:ind w:firstLine="480" w:firstLineChars="200"/>
        <w:rPr>
          <w:color w:val="auto"/>
          <w:highlight w:val="none"/>
        </w:rPr>
      </w:pPr>
      <w:r>
        <w:rPr>
          <w:rFonts w:hint="eastAsia"/>
          <w:color w:val="auto"/>
          <w:highlight w:val="none"/>
        </w:rPr>
        <w:t>名    称：成都市技师学院</w:t>
      </w:r>
    </w:p>
    <w:p>
      <w:pPr>
        <w:pStyle w:val="45"/>
        <w:spacing w:line="520" w:lineRule="exact"/>
        <w:ind w:firstLine="480" w:firstLineChars="200"/>
        <w:rPr>
          <w:color w:val="auto"/>
          <w:highlight w:val="none"/>
        </w:rPr>
      </w:pPr>
      <w:r>
        <w:rPr>
          <w:rFonts w:hint="eastAsia"/>
          <w:color w:val="auto"/>
          <w:highlight w:val="none"/>
        </w:rPr>
        <w:t xml:space="preserve">地    址：成都市郫都区红光街道港通北三路1899号 </w:t>
      </w:r>
    </w:p>
    <w:p>
      <w:pPr>
        <w:pStyle w:val="45"/>
        <w:spacing w:line="520" w:lineRule="exact"/>
        <w:ind w:firstLine="480" w:firstLineChars="200"/>
        <w:rPr>
          <w:color w:val="auto"/>
          <w:highlight w:val="none"/>
        </w:rPr>
      </w:pPr>
      <w:r>
        <w:rPr>
          <w:rFonts w:hint="eastAsia"/>
          <w:color w:val="auto"/>
          <w:highlight w:val="none"/>
        </w:rPr>
        <w:t>联 系 人：王珏冰</w:t>
      </w:r>
    </w:p>
    <w:p>
      <w:pPr>
        <w:pStyle w:val="45"/>
        <w:spacing w:line="520" w:lineRule="exact"/>
        <w:ind w:firstLine="480" w:firstLineChars="200"/>
        <w:rPr>
          <w:color w:val="auto"/>
          <w:highlight w:val="none"/>
        </w:rPr>
      </w:pPr>
      <w:r>
        <w:rPr>
          <w:rFonts w:hint="eastAsia"/>
          <w:color w:val="auto"/>
          <w:highlight w:val="none"/>
        </w:rPr>
        <w:t xml:space="preserve">联系方式：028-64907283 </w:t>
      </w:r>
    </w:p>
    <w:p>
      <w:pPr>
        <w:pStyle w:val="45"/>
        <w:spacing w:line="520" w:lineRule="exact"/>
        <w:ind w:firstLine="480" w:firstLineChars="200"/>
        <w:rPr>
          <w:color w:val="auto"/>
          <w:highlight w:val="none"/>
        </w:rPr>
      </w:pPr>
      <w:r>
        <w:rPr>
          <w:rFonts w:hint="eastAsia"/>
          <w:color w:val="auto"/>
          <w:highlight w:val="none"/>
        </w:rPr>
        <w:t>(二)采购代理机构信息</w:t>
      </w:r>
    </w:p>
    <w:p>
      <w:pPr>
        <w:pStyle w:val="45"/>
        <w:spacing w:line="520" w:lineRule="exact"/>
        <w:ind w:firstLine="480" w:firstLineChars="200"/>
        <w:rPr>
          <w:color w:val="auto"/>
          <w:highlight w:val="none"/>
        </w:rPr>
      </w:pPr>
      <w:r>
        <w:rPr>
          <w:rFonts w:hint="eastAsia"/>
          <w:color w:val="auto"/>
          <w:highlight w:val="none"/>
        </w:rPr>
        <w:t>名    称：四川乾新招投标代理有限公司</w:t>
      </w:r>
    </w:p>
    <w:p>
      <w:pPr>
        <w:pStyle w:val="45"/>
        <w:spacing w:line="520" w:lineRule="exact"/>
        <w:ind w:firstLine="480" w:firstLineChars="200"/>
        <w:rPr>
          <w:color w:val="auto"/>
          <w:highlight w:val="none"/>
        </w:rPr>
      </w:pPr>
      <w:r>
        <w:rPr>
          <w:rFonts w:hint="eastAsia"/>
          <w:color w:val="auto"/>
          <w:highlight w:val="none"/>
        </w:rPr>
        <w:t>地    址：</w:t>
      </w:r>
      <w:r>
        <w:rPr>
          <w:rFonts w:hint="eastAsia"/>
          <w:color w:val="auto"/>
          <w:highlight w:val="none"/>
          <w:lang w:val="zh-CN"/>
        </w:rPr>
        <w:t>成都市高新区吉庆三路333号蜀都中心二期一号楼一单元401号</w:t>
      </w:r>
    </w:p>
    <w:p>
      <w:pPr>
        <w:pStyle w:val="45"/>
        <w:spacing w:line="520" w:lineRule="exact"/>
        <w:ind w:firstLine="480" w:firstLineChars="200"/>
        <w:rPr>
          <w:color w:val="auto"/>
          <w:highlight w:val="none"/>
        </w:rPr>
      </w:pPr>
      <w:r>
        <w:rPr>
          <w:rFonts w:hint="eastAsia"/>
          <w:color w:val="auto"/>
          <w:highlight w:val="none"/>
        </w:rPr>
        <w:t>联 系 人：王朝钢</w:t>
      </w:r>
    </w:p>
    <w:p>
      <w:pPr>
        <w:pStyle w:val="45"/>
        <w:spacing w:line="520" w:lineRule="exact"/>
        <w:ind w:firstLine="480" w:firstLineChars="200"/>
        <w:rPr>
          <w:color w:val="auto"/>
          <w:highlight w:val="none"/>
        </w:rPr>
      </w:pPr>
      <w:r>
        <w:rPr>
          <w:rFonts w:hint="eastAsia" w:cs="宋体"/>
          <w:color w:val="auto"/>
          <w:highlight w:val="none"/>
        </w:rPr>
        <w:t>招标文件咨询</w:t>
      </w:r>
      <w:r>
        <w:rPr>
          <w:rFonts w:hint="eastAsia" w:cs="宋体"/>
          <w:color w:val="auto"/>
          <w:highlight w:val="none"/>
          <w:lang w:val="zh-CN"/>
        </w:rPr>
        <w:t>电话：028-84638556、84882960转</w:t>
      </w:r>
      <w:r>
        <w:rPr>
          <w:rFonts w:hint="eastAsia" w:cs="宋体"/>
          <w:color w:val="auto"/>
          <w:highlight w:val="none"/>
        </w:rPr>
        <w:t>663</w:t>
      </w:r>
    </w:p>
    <w:p>
      <w:pPr>
        <w:pStyle w:val="45"/>
        <w:spacing w:line="520" w:lineRule="exact"/>
        <w:ind w:firstLine="480" w:firstLineChars="200"/>
        <w:rPr>
          <w:rFonts w:hint="default" w:eastAsia="宋体" w:cs="宋体"/>
          <w:color w:val="auto"/>
          <w:highlight w:val="none"/>
          <w:lang w:val="en-US" w:eastAsia="zh-CN"/>
        </w:rPr>
      </w:pPr>
      <w:r>
        <w:rPr>
          <w:rFonts w:hint="eastAsia" w:cs="宋体"/>
          <w:color w:val="auto"/>
          <w:highlight w:val="none"/>
        </w:rPr>
        <w:t>开评标工作咨询电话：028-61375575、62630990转6</w:t>
      </w:r>
      <w:r>
        <w:rPr>
          <w:rFonts w:hint="eastAsia" w:cs="宋体"/>
          <w:color w:val="auto"/>
          <w:highlight w:val="none"/>
          <w:lang w:val="en-US" w:eastAsia="zh-CN"/>
        </w:rPr>
        <w:t>13</w:t>
      </w:r>
    </w:p>
    <w:p>
      <w:pPr>
        <w:pStyle w:val="45"/>
        <w:spacing w:line="520" w:lineRule="exact"/>
        <w:ind w:firstLine="480" w:firstLineChars="200"/>
        <w:rPr>
          <w:rFonts w:cs="宋体"/>
          <w:color w:val="auto"/>
          <w:highlight w:val="none"/>
        </w:rPr>
      </w:pPr>
      <w:r>
        <w:rPr>
          <w:rFonts w:hint="eastAsia" w:cs="宋体"/>
          <w:color w:val="auto"/>
          <w:highlight w:val="none"/>
        </w:rPr>
        <w:t>保证金及保函咨询电话：</w:t>
      </w:r>
      <w:r>
        <w:rPr>
          <w:rFonts w:hint="eastAsia" w:cs="宋体"/>
          <w:color w:val="auto"/>
          <w:highlight w:val="none"/>
          <w:lang w:val="zh-CN"/>
        </w:rPr>
        <w:t>028-84638556、84882960</w:t>
      </w:r>
      <w:r>
        <w:rPr>
          <w:rFonts w:hint="eastAsia" w:cs="宋体"/>
          <w:color w:val="auto"/>
          <w:highlight w:val="none"/>
        </w:rPr>
        <w:t>转608</w:t>
      </w:r>
    </w:p>
    <w:p>
      <w:pPr>
        <w:pStyle w:val="45"/>
        <w:spacing w:line="520" w:lineRule="exact"/>
        <w:ind w:firstLine="480" w:firstLineChars="200"/>
        <w:rPr>
          <w:rFonts w:cs="宋体"/>
          <w:color w:val="auto"/>
          <w:highlight w:val="none"/>
        </w:rPr>
      </w:pPr>
      <w:r>
        <w:rPr>
          <w:rFonts w:hint="eastAsia" w:cs="宋体"/>
          <w:color w:val="auto"/>
          <w:highlight w:val="none"/>
        </w:rPr>
        <w:t>发票开具与咨询电话：028-84638556、84882960转609</w:t>
      </w:r>
    </w:p>
    <w:p>
      <w:pPr>
        <w:pStyle w:val="45"/>
        <w:spacing w:line="520" w:lineRule="exact"/>
        <w:ind w:firstLine="480" w:firstLineChars="200"/>
        <w:rPr>
          <w:rFonts w:cs="宋体"/>
          <w:color w:val="auto"/>
          <w:highlight w:val="none"/>
        </w:rPr>
      </w:pPr>
      <w:r>
        <w:rPr>
          <w:rFonts w:hint="eastAsia" w:cs="宋体"/>
          <w:color w:val="auto"/>
          <w:highlight w:val="none"/>
        </w:rPr>
        <w:t>成交通知书领取电话：028-61375575、62630990转601或602</w:t>
      </w:r>
    </w:p>
    <w:p>
      <w:pPr>
        <w:pStyle w:val="45"/>
        <w:spacing w:line="520" w:lineRule="exact"/>
        <w:ind w:firstLine="480" w:firstLineChars="200"/>
        <w:rPr>
          <w:rFonts w:cs="宋体"/>
          <w:color w:val="auto"/>
          <w:highlight w:val="none"/>
        </w:rPr>
      </w:pPr>
      <w:r>
        <w:rPr>
          <w:rFonts w:hint="eastAsia" w:cs="宋体"/>
          <w:color w:val="auto"/>
          <w:highlight w:val="none"/>
        </w:rPr>
        <w:t>服务质量投诉电话：</w:t>
      </w:r>
      <w:r>
        <w:rPr>
          <w:rFonts w:hint="eastAsia" w:cs="宋体"/>
          <w:color w:val="auto"/>
          <w:highlight w:val="none"/>
          <w:lang w:val="zh-CN"/>
        </w:rPr>
        <w:t>028-84638556、84882960</w:t>
      </w:r>
      <w:r>
        <w:rPr>
          <w:rFonts w:hint="eastAsia" w:cs="宋体"/>
          <w:color w:val="auto"/>
          <w:highlight w:val="none"/>
        </w:rPr>
        <w:t>转603</w:t>
      </w:r>
    </w:p>
    <w:p>
      <w:pPr>
        <w:pStyle w:val="45"/>
        <w:spacing w:line="520" w:lineRule="exact"/>
        <w:ind w:firstLine="480" w:firstLineChars="200"/>
        <w:rPr>
          <w:rFonts w:cs="宋体"/>
          <w:color w:val="auto"/>
          <w:highlight w:val="none"/>
        </w:rPr>
      </w:pPr>
      <w:r>
        <w:rPr>
          <w:rFonts w:hint="eastAsia" w:cs="宋体"/>
          <w:color w:val="auto"/>
          <w:highlight w:val="none"/>
          <w:lang w:val="zh-CN"/>
        </w:rPr>
        <w:t>传    真：</w:t>
      </w:r>
      <w:r>
        <w:rPr>
          <w:rFonts w:hint="eastAsia" w:cs="宋体"/>
          <w:color w:val="auto"/>
          <w:highlight w:val="none"/>
        </w:rPr>
        <w:t>028-</w:t>
      </w:r>
      <w:r>
        <w:rPr>
          <w:rFonts w:hint="eastAsia" w:cs="宋体"/>
          <w:color w:val="auto"/>
          <w:highlight w:val="none"/>
          <w:lang w:val="zh-CN"/>
        </w:rPr>
        <w:t>83381</w:t>
      </w:r>
      <w:r>
        <w:rPr>
          <w:rFonts w:hint="eastAsia" w:cs="宋体"/>
          <w:color w:val="auto"/>
          <w:highlight w:val="none"/>
        </w:rPr>
        <w:t>268</w:t>
      </w:r>
    </w:p>
    <w:p>
      <w:pPr>
        <w:pStyle w:val="45"/>
        <w:spacing w:line="520" w:lineRule="exact"/>
        <w:ind w:firstLine="480" w:firstLineChars="200"/>
        <w:rPr>
          <w:color w:val="auto"/>
          <w:highlight w:val="none"/>
          <w:lang w:val="zh-CN"/>
        </w:rPr>
      </w:pPr>
      <w:r>
        <w:rPr>
          <w:rFonts w:hint="eastAsia" w:cs="宋体"/>
          <w:color w:val="auto"/>
          <w:highlight w:val="none"/>
          <w:lang w:val="zh-CN"/>
        </w:rPr>
        <w:t>电子邮件：</w:t>
      </w:r>
      <w:r>
        <w:rPr>
          <w:color w:val="auto"/>
          <w:highlight w:val="none"/>
        </w:rPr>
        <w:fldChar w:fldCharType="begin"/>
      </w:r>
      <w:r>
        <w:rPr>
          <w:color w:val="auto"/>
          <w:highlight w:val="none"/>
        </w:rPr>
        <w:instrText xml:space="preserve"> HYPERLINK "mailto:scqxzb@163.com" </w:instrText>
      </w:r>
      <w:r>
        <w:rPr>
          <w:color w:val="auto"/>
          <w:highlight w:val="none"/>
        </w:rPr>
        <w:fldChar w:fldCharType="separate"/>
      </w:r>
      <w:r>
        <w:rPr>
          <w:rFonts w:hint="eastAsia" w:cs="宋体"/>
          <w:color w:val="auto"/>
          <w:highlight w:val="none"/>
          <w:lang w:val="zh-CN"/>
        </w:rPr>
        <w:t>scqxzb@163.com</w:t>
      </w:r>
      <w:r>
        <w:rPr>
          <w:rFonts w:hint="eastAsia" w:cs="宋体"/>
          <w:color w:val="auto"/>
          <w:highlight w:val="none"/>
          <w:lang w:val="zh-CN"/>
        </w:rPr>
        <w:fldChar w:fldCharType="end"/>
      </w:r>
    </w:p>
    <w:p>
      <w:pPr>
        <w:pStyle w:val="50"/>
        <w:spacing w:before="120" w:after="120"/>
        <w:rPr>
          <w:color w:val="auto"/>
          <w:highlight w:val="none"/>
        </w:rPr>
      </w:pPr>
      <w:r>
        <w:rPr>
          <w:rFonts w:hint="eastAsia"/>
          <w:color w:val="auto"/>
          <w:highlight w:val="none"/>
        </w:rPr>
        <w:br w:type="page"/>
      </w:r>
      <w:bookmarkEnd w:id="7"/>
      <w:bookmarkEnd w:id="8"/>
      <w:bookmarkEnd w:id="9"/>
      <w:bookmarkEnd w:id="10"/>
      <w:bookmarkEnd w:id="11"/>
      <w:bookmarkStart w:id="13" w:name="_Toc23338"/>
      <w:r>
        <w:rPr>
          <w:rFonts w:hint="eastAsia" w:asciiTheme="minorEastAsia" w:hAnsiTheme="minorEastAsia" w:eastAsiaTheme="minorEastAsia" w:cstheme="minorEastAsia"/>
          <w:color w:val="auto"/>
          <w:szCs w:val="36"/>
          <w:highlight w:val="none"/>
        </w:rPr>
        <w:t>谈判须知</w:t>
      </w:r>
      <w:bookmarkEnd w:id="13"/>
    </w:p>
    <w:p>
      <w:pPr>
        <w:pStyle w:val="37"/>
        <w:spacing w:before="120" w:beforeLines="50" w:after="120" w:afterLines="50"/>
        <w:ind w:firstLine="0" w:firstLineChars="0"/>
        <w:jc w:val="center"/>
        <w:rPr>
          <w:color w:val="auto"/>
          <w:sz w:val="32"/>
          <w:szCs w:val="32"/>
          <w:highlight w:val="none"/>
        </w:rPr>
      </w:pPr>
      <w:bookmarkStart w:id="14" w:name="_Toc2360"/>
      <w:bookmarkStart w:id="15" w:name="_Toc19368"/>
      <w:r>
        <w:rPr>
          <w:rFonts w:hint="eastAsia"/>
          <w:color w:val="auto"/>
          <w:sz w:val="32"/>
          <w:szCs w:val="32"/>
          <w:highlight w:val="none"/>
        </w:rPr>
        <w:t>谈判须知前附表</w:t>
      </w:r>
      <w:bookmarkEnd w:id="14"/>
      <w:bookmarkEnd w:id="15"/>
    </w:p>
    <w:tbl>
      <w:tblPr>
        <w:tblStyle w:val="24"/>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2020"/>
        <w:gridCol w:w="70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622" w:type="dxa"/>
            <w:vAlign w:val="center"/>
          </w:tcPr>
          <w:p>
            <w:pPr>
              <w:pStyle w:val="47"/>
              <w:ind w:left="60" w:leftChars="25" w:right="60" w:rightChars="25"/>
              <w:rPr>
                <w:rFonts w:cs="宋体"/>
                <w:b/>
                <w:bCs/>
                <w:color w:val="auto"/>
                <w:szCs w:val="21"/>
                <w:highlight w:val="none"/>
                <w:lang w:val="zh-CN"/>
              </w:rPr>
            </w:pPr>
            <w:bookmarkStart w:id="16" w:name="_Toc327196262"/>
            <w:r>
              <w:rPr>
                <w:rFonts w:hint="eastAsia" w:cs="宋体"/>
                <w:b/>
                <w:bCs/>
                <w:color w:val="auto"/>
                <w:szCs w:val="21"/>
                <w:highlight w:val="none"/>
                <w:lang w:val="zh-CN"/>
              </w:rPr>
              <w:t>序号</w:t>
            </w:r>
          </w:p>
        </w:tc>
        <w:tc>
          <w:tcPr>
            <w:tcW w:w="2020" w:type="dxa"/>
            <w:vAlign w:val="center"/>
          </w:tcPr>
          <w:p>
            <w:pPr>
              <w:pStyle w:val="47"/>
              <w:ind w:left="60" w:leftChars="25" w:right="60" w:rightChars="25"/>
              <w:rPr>
                <w:rFonts w:cs="宋体"/>
                <w:b/>
                <w:bCs/>
                <w:color w:val="auto"/>
                <w:szCs w:val="21"/>
                <w:highlight w:val="none"/>
                <w:lang w:val="zh-CN"/>
              </w:rPr>
            </w:pPr>
            <w:r>
              <w:rPr>
                <w:rFonts w:hint="eastAsia" w:cs="宋体"/>
                <w:b/>
                <w:bCs/>
                <w:color w:val="auto"/>
                <w:szCs w:val="21"/>
                <w:highlight w:val="none"/>
                <w:lang w:val="zh-CN"/>
              </w:rPr>
              <w:t>须知事项</w:t>
            </w:r>
          </w:p>
        </w:tc>
        <w:tc>
          <w:tcPr>
            <w:tcW w:w="7061" w:type="dxa"/>
            <w:vAlign w:val="center"/>
          </w:tcPr>
          <w:p>
            <w:pPr>
              <w:pStyle w:val="47"/>
              <w:ind w:left="60" w:leftChars="25" w:right="60" w:rightChars="25"/>
              <w:rPr>
                <w:rFonts w:cs="宋体"/>
                <w:b/>
                <w:bCs/>
                <w:color w:val="auto"/>
                <w:szCs w:val="21"/>
                <w:highlight w:val="none"/>
                <w:lang w:val="zh-CN"/>
              </w:rPr>
            </w:pPr>
            <w:r>
              <w:rPr>
                <w:rFonts w:hint="eastAsia" w:cs="宋体"/>
                <w:b/>
                <w:bCs/>
                <w:color w:val="auto"/>
                <w:szCs w:val="21"/>
                <w:highlight w:val="none"/>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采购</w:t>
            </w:r>
            <w:r>
              <w:rPr>
                <w:rFonts w:hint="eastAsia" w:cs="宋体"/>
                <w:color w:val="auto"/>
                <w:szCs w:val="21"/>
                <w:highlight w:val="none"/>
              </w:rPr>
              <w:t>预算</w:t>
            </w:r>
          </w:p>
        </w:tc>
        <w:tc>
          <w:tcPr>
            <w:tcW w:w="7061" w:type="dxa"/>
            <w:vAlign w:val="center"/>
          </w:tcPr>
          <w:p>
            <w:pPr>
              <w:pStyle w:val="44"/>
              <w:ind w:left="60" w:leftChars="25" w:right="60" w:rightChars="25"/>
              <w:rPr>
                <w:rFonts w:cs="宋体"/>
                <w:color w:val="auto"/>
                <w:szCs w:val="21"/>
                <w:highlight w:val="none"/>
                <w:lang w:val="zh-CN"/>
              </w:rPr>
            </w:pPr>
            <w:r>
              <w:rPr>
                <w:rFonts w:hint="eastAsia" w:cs="宋体"/>
                <w:color w:val="auto"/>
                <w:szCs w:val="21"/>
                <w:highlight w:val="none"/>
                <w:lang w:val="zh-CN"/>
              </w:rPr>
              <w:t>本项目采购</w:t>
            </w:r>
            <w:r>
              <w:rPr>
                <w:rFonts w:hint="eastAsia" w:cs="宋体"/>
                <w:color w:val="auto"/>
                <w:szCs w:val="21"/>
                <w:highlight w:val="none"/>
              </w:rPr>
              <w:t>预算</w:t>
            </w:r>
            <w:r>
              <w:rPr>
                <w:rFonts w:hint="eastAsia" w:cs="宋体"/>
                <w:color w:val="auto"/>
                <w:szCs w:val="21"/>
                <w:highlight w:val="none"/>
                <w:lang w:val="zh-CN"/>
              </w:rPr>
              <w:t>为人民币</w:t>
            </w:r>
            <w:r>
              <w:rPr>
                <w:rFonts w:hint="eastAsia"/>
                <w:color w:val="auto"/>
                <w:highlight w:val="none"/>
              </w:rPr>
              <w:t>40万</w:t>
            </w:r>
            <w:r>
              <w:rPr>
                <w:rFonts w:hint="eastAsia" w:cs="宋体"/>
                <w:color w:val="auto"/>
                <w:szCs w:val="21"/>
                <w:highlight w:val="none"/>
                <w:lang w:val="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控制价及报价要求</w:t>
            </w:r>
          </w:p>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(实质性要求)</w:t>
            </w:r>
          </w:p>
        </w:tc>
        <w:tc>
          <w:tcPr>
            <w:tcW w:w="7061" w:type="dxa"/>
            <w:vAlign w:val="center"/>
          </w:tcPr>
          <w:p>
            <w:pPr>
              <w:pStyle w:val="44"/>
              <w:numPr>
                <w:ilvl w:val="0"/>
                <w:numId w:val="10"/>
              </w:numPr>
              <w:ind w:left="60" w:leftChars="25" w:right="60" w:rightChars="25" w:firstLine="0"/>
              <w:rPr>
                <w:rFonts w:cs="宋体"/>
                <w:color w:val="auto"/>
                <w:szCs w:val="21"/>
                <w:highlight w:val="none"/>
                <w:lang w:val="zh-CN"/>
              </w:rPr>
            </w:pPr>
            <w:r>
              <w:rPr>
                <w:rFonts w:hint="eastAsia" w:cs="宋体"/>
                <w:color w:val="auto"/>
                <w:szCs w:val="21"/>
                <w:highlight w:val="none"/>
                <w:lang w:val="zh-CN"/>
              </w:rPr>
              <w:t>本项目控制价</w:t>
            </w:r>
            <w:r>
              <w:rPr>
                <w:rFonts w:hint="eastAsia" w:cs="宋体"/>
                <w:color w:val="auto"/>
                <w:szCs w:val="21"/>
                <w:highlight w:val="none"/>
              </w:rPr>
              <w:t>为：399712.25元(其中不可竞争费用详见工程量清单)</w:t>
            </w:r>
            <w:r>
              <w:rPr>
                <w:rFonts w:hint="eastAsia" w:cs="宋体"/>
                <w:color w:val="auto"/>
                <w:szCs w:val="21"/>
                <w:highlight w:val="none"/>
                <w:lang w:val="zh-CN"/>
              </w:rPr>
              <w:t>；</w:t>
            </w:r>
          </w:p>
          <w:p>
            <w:pPr>
              <w:pStyle w:val="44"/>
              <w:numPr>
                <w:ilvl w:val="0"/>
                <w:numId w:val="10"/>
              </w:numPr>
              <w:ind w:left="60" w:leftChars="25" w:right="60" w:rightChars="25" w:firstLine="0"/>
              <w:rPr>
                <w:rFonts w:cs="宋体"/>
                <w:color w:val="auto"/>
                <w:szCs w:val="21"/>
                <w:highlight w:val="none"/>
                <w:lang w:val="zh-CN"/>
              </w:rPr>
            </w:pPr>
            <w:r>
              <w:rPr>
                <w:rFonts w:hint="eastAsia" w:cs="宋体"/>
                <w:color w:val="auto"/>
                <w:szCs w:val="21"/>
                <w:highlight w:val="none"/>
                <w:lang w:val="zh-CN"/>
              </w:rPr>
              <w:t>供应商提交的报价(包括最后报价)</w:t>
            </w:r>
            <w:r>
              <w:rPr>
                <w:rFonts w:hint="eastAsia" w:cs="宋体"/>
                <w:color w:val="auto"/>
                <w:szCs w:val="21"/>
                <w:highlight w:val="none"/>
              </w:rPr>
              <w:t>部分超过本项目控制价</w:t>
            </w:r>
            <w:r>
              <w:rPr>
                <w:rFonts w:hint="eastAsia" w:cs="宋体"/>
                <w:color w:val="auto"/>
                <w:szCs w:val="21"/>
                <w:highlight w:val="none"/>
                <w:lang w:val="zh-CN"/>
              </w:rPr>
              <w:t>，否则将被作无效响应处理。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rPr>
              <w:t>项目属性</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本项目属于工程类采购项目，不对其中涉及的货物的制造商是否享受中小企业扶持政策作出要求。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本项目所属行业</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本项目所属行业为建筑业。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定向采购</w:t>
            </w:r>
          </w:p>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(实质性要求)</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本项目为</w:t>
            </w:r>
            <w:r>
              <w:rPr>
                <w:rFonts w:hint="eastAsia" w:cs="宋体"/>
                <w:color w:val="auto"/>
                <w:szCs w:val="21"/>
                <w:highlight w:val="none"/>
                <w:lang w:val="zh-CN"/>
              </w:rPr>
              <w:t>专门面向中小企业</w:t>
            </w:r>
            <w:r>
              <w:rPr>
                <w:rFonts w:hint="eastAsia" w:cs="宋体"/>
                <w:color w:val="auto"/>
                <w:szCs w:val="21"/>
                <w:highlight w:val="none"/>
              </w:rPr>
              <w:t>采购</w:t>
            </w:r>
            <w:r>
              <w:rPr>
                <w:rFonts w:hint="eastAsia" w:cs="宋体"/>
                <w:color w:val="auto"/>
                <w:szCs w:val="21"/>
                <w:highlight w:val="none"/>
                <w:lang w:val="zh-CN"/>
              </w:rPr>
              <w:t>的项目。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lang w:val="zh-CN"/>
              </w:rPr>
              <w:t>本国</w:t>
            </w:r>
            <w:r>
              <w:rPr>
                <w:rFonts w:hint="eastAsia" w:cs="宋体"/>
                <w:color w:val="auto"/>
                <w:szCs w:val="21"/>
                <w:highlight w:val="none"/>
              </w:rPr>
              <w:t>工程</w:t>
            </w:r>
          </w:p>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(实质性要求)</w:t>
            </w:r>
          </w:p>
        </w:tc>
        <w:tc>
          <w:tcPr>
            <w:tcW w:w="7061"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参照</w:t>
            </w:r>
            <w:r>
              <w:rPr>
                <w:rFonts w:hint="eastAsia" w:cs="宋体"/>
                <w:color w:val="auto"/>
                <w:szCs w:val="21"/>
                <w:highlight w:val="none"/>
                <w:lang w:val="zh-CN"/>
              </w:rPr>
              <w:t>《中华人民共和国政府采购法》第十条的规定，本项目采购本国</w:t>
            </w:r>
            <w:r>
              <w:rPr>
                <w:rFonts w:hint="eastAsia" w:cs="宋体"/>
                <w:color w:val="auto"/>
                <w:szCs w:val="21"/>
                <w:highlight w:val="none"/>
              </w:rPr>
              <w:t>工程</w:t>
            </w:r>
            <w:r>
              <w:rPr>
                <w:rFonts w:hint="eastAsia" w:cs="宋体"/>
                <w:color w:val="auto"/>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采购方式</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lang w:val="zh-CN"/>
              </w:rPr>
              <w:t>竞争性谈判。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评审办法</w:t>
            </w:r>
          </w:p>
        </w:tc>
        <w:tc>
          <w:tcPr>
            <w:tcW w:w="7061" w:type="dxa"/>
            <w:vAlign w:val="center"/>
          </w:tcPr>
          <w:p>
            <w:pPr>
              <w:pStyle w:val="44"/>
              <w:ind w:left="60" w:leftChars="25" w:right="60" w:rightChars="25"/>
              <w:rPr>
                <w:rFonts w:cs="宋体"/>
                <w:color w:val="auto"/>
                <w:szCs w:val="21"/>
                <w:highlight w:val="none"/>
                <w:lang w:val="zh-CN"/>
              </w:rPr>
            </w:pPr>
            <w:r>
              <w:rPr>
                <w:rFonts w:hint="eastAsia" w:cs="宋体"/>
                <w:color w:val="auto"/>
                <w:szCs w:val="21"/>
                <w:highlight w:val="none"/>
                <w:lang w:val="zh-CN"/>
              </w:rPr>
              <w:t>本项目采用通过资格审查且实质性响应谈判文件要求的最低谈判报价来确定成交供应商。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topLinePunct w:val="0"/>
              <w:ind w:left="60" w:leftChars="25" w:right="60" w:rightChars="25"/>
              <w:rPr>
                <w:rFonts w:cs="宋体"/>
                <w:color w:val="auto"/>
                <w:szCs w:val="21"/>
                <w:highlight w:val="none"/>
                <w:lang w:val="zh-CN"/>
              </w:rPr>
            </w:pPr>
            <w:r>
              <w:rPr>
                <w:rFonts w:hint="eastAsia" w:cs="宋体"/>
                <w:color w:val="auto"/>
                <w:szCs w:val="21"/>
                <w:highlight w:val="none"/>
                <w:lang w:val="zh-CN"/>
              </w:rPr>
              <w:t>竞争范围</w:t>
            </w:r>
          </w:p>
        </w:tc>
        <w:tc>
          <w:tcPr>
            <w:tcW w:w="7061" w:type="dxa"/>
            <w:vAlign w:val="center"/>
          </w:tcPr>
          <w:p>
            <w:pPr>
              <w:pStyle w:val="44"/>
              <w:topLinePunct w:val="0"/>
              <w:ind w:left="60" w:leftChars="25" w:right="60" w:rightChars="25"/>
              <w:rPr>
                <w:rFonts w:cs="宋体"/>
                <w:color w:val="auto"/>
                <w:szCs w:val="21"/>
                <w:highlight w:val="none"/>
                <w:lang w:val="zh-CN"/>
              </w:rPr>
            </w:pPr>
            <w:r>
              <w:rPr>
                <w:rFonts w:hint="eastAsia" w:cs="宋体"/>
                <w:color w:val="auto"/>
                <w:szCs w:val="21"/>
                <w:highlight w:val="none"/>
              </w:rPr>
              <w:t>公开竞争。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合同定价方式</w:t>
            </w:r>
          </w:p>
          <w:p>
            <w:pPr>
              <w:pStyle w:val="47"/>
              <w:topLinePunct w:val="0"/>
              <w:ind w:left="60" w:leftChars="25" w:right="60" w:rightChars="25"/>
              <w:rPr>
                <w:rFonts w:cs="宋体"/>
                <w:color w:val="auto"/>
                <w:szCs w:val="21"/>
                <w:highlight w:val="none"/>
                <w:lang w:val="zh-CN"/>
              </w:rPr>
            </w:pPr>
            <w:r>
              <w:rPr>
                <w:rFonts w:hint="eastAsia" w:cs="宋体"/>
                <w:color w:val="auto"/>
                <w:szCs w:val="21"/>
                <w:highlight w:val="none"/>
              </w:rPr>
              <w:t>(实质性要求)</w:t>
            </w:r>
          </w:p>
        </w:tc>
        <w:tc>
          <w:tcPr>
            <w:tcW w:w="7061" w:type="dxa"/>
            <w:vAlign w:val="center"/>
          </w:tcPr>
          <w:p>
            <w:pPr>
              <w:pStyle w:val="44"/>
              <w:topLinePunct w:val="0"/>
              <w:ind w:left="60" w:leftChars="25" w:right="60" w:rightChars="25"/>
              <w:rPr>
                <w:rFonts w:cs="宋体"/>
                <w:color w:val="auto"/>
                <w:szCs w:val="21"/>
                <w:highlight w:val="none"/>
                <w:lang w:val="zh-CN"/>
              </w:rPr>
            </w:pPr>
            <w:r>
              <w:rPr>
                <w:rFonts w:hint="eastAsia" w:cs="宋体"/>
                <w:color w:val="auto"/>
                <w:szCs w:val="21"/>
                <w:highlight w:val="none"/>
              </w:rPr>
              <w:t>固定单价(工程量清单)。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合同分包</w:t>
            </w:r>
            <w:r>
              <w:rPr>
                <w:rFonts w:hint="eastAsia" w:cs="宋体"/>
                <w:color w:val="auto"/>
                <w:szCs w:val="21"/>
                <w:highlight w:val="none"/>
              </w:rPr>
              <w:t>、转包</w:t>
            </w:r>
          </w:p>
          <w:p>
            <w:pPr>
              <w:pStyle w:val="47"/>
              <w:ind w:left="60" w:leftChars="25" w:right="60" w:rightChars="25"/>
              <w:rPr>
                <w:rFonts w:cs="宋体"/>
                <w:color w:val="auto"/>
                <w:szCs w:val="21"/>
                <w:highlight w:val="none"/>
                <w:lang w:val="zh-CN"/>
              </w:rPr>
            </w:pPr>
            <w:r>
              <w:rPr>
                <w:rFonts w:hint="eastAsia" w:cs="宋体"/>
                <w:color w:val="auto"/>
                <w:szCs w:val="21"/>
                <w:highlight w:val="none"/>
              </w:rPr>
              <w:t>(实质性要求)</w:t>
            </w:r>
          </w:p>
        </w:tc>
        <w:tc>
          <w:tcPr>
            <w:tcW w:w="7061" w:type="dxa"/>
            <w:vAlign w:val="center"/>
          </w:tcPr>
          <w:p>
            <w:pPr>
              <w:pStyle w:val="44"/>
              <w:numPr>
                <w:ilvl w:val="0"/>
                <w:numId w:val="11"/>
              </w:numPr>
              <w:ind w:left="60" w:leftChars="25" w:right="60" w:rightChars="25"/>
              <w:rPr>
                <w:rFonts w:cs="宋体"/>
                <w:color w:val="auto"/>
                <w:szCs w:val="21"/>
                <w:highlight w:val="none"/>
              </w:rPr>
            </w:pPr>
            <w:r>
              <w:rPr>
                <w:rFonts w:hint="eastAsia" w:cs="宋体"/>
                <w:color w:val="auto"/>
                <w:szCs w:val="21"/>
                <w:highlight w:val="none"/>
              </w:rPr>
              <w:t>本项目不允许(允许)供应商以合同分包形式进行报价。</w:t>
            </w:r>
          </w:p>
          <w:p>
            <w:pPr>
              <w:pStyle w:val="44"/>
              <w:numPr>
                <w:ilvl w:val="0"/>
                <w:numId w:val="11"/>
              </w:numPr>
              <w:ind w:left="60" w:leftChars="25" w:right="60" w:rightChars="25"/>
              <w:rPr>
                <w:rFonts w:cs="宋体"/>
                <w:color w:val="auto"/>
                <w:szCs w:val="21"/>
                <w:highlight w:val="none"/>
                <w:lang w:val="zh-CN"/>
              </w:rPr>
            </w:pPr>
            <w:r>
              <w:rPr>
                <w:rFonts w:hint="eastAsia" w:cs="宋体"/>
                <w:color w:val="auto"/>
                <w:szCs w:val="21"/>
                <w:highlight w:val="none"/>
              </w:rPr>
              <w:t>本项目禁止成交供应商将任何采购合同义务转包。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联合体报价</w:t>
            </w:r>
          </w:p>
          <w:p>
            <w:pPr>
              <w:pStyle w:val="47"/>
              <w:ind w:left="60" w:leftChars="25" w:right="60" w:rightChars="25"/>
              <w:rPr>
                <w:rFonts w:cs="宋体"/>
                <w:color w:val="auto"/>
                <w:szCs w:val="21"/>
                <w:highlight w:val="none"/>
                <w:lang w:val="zh-CN"/>
              </w:rPr>
            </w:pPr>
            <w:r>
              <w:rPr>
                <w:rFonts w:hint="eastAsia" w:cs="宋体"/>
                <w:color w:val="auto"/>
                <w:szCs w:val="21"/>
                <w:highlight w:val="none"/>
              </w:rPr>
              <w:t>(实质性要求)</w:t>
            </w:r>
          </w:p>
        </w:tc>
        <w:tc>
          <w:tcPr>
            <w:tcW w:w="7061" w:type="dxa"/>
            <w:vAlign w:val="center"/>
          </w:tcPr>
          <w:p>
            <w:pPr>
              <w:pStyle w:val="44"/>
              <w:ind w:left="60" w:leftChars="25" w:right="60" w:rightChars="25"/>
              <w:rPr>
                <w:rFonts w:cs="宋体"/>
                <w:color w:val="auto"/>
                <w:szCs w:val="21"/>
                <w:highlight w:val="none"/>
                <w:lang w:val="zh-CN"/>
              </w:rPr>
            </w:pPr>
            <w:r>
              <w:rPr>
                <w:rFonts w:hint="eastAsia" w:cs="宋体"/>
                <w:color w:val="auto"/>
                <w:szCs w:val="21"/>
                <w:highlight w:val="none"/>
              </w:rPr>
              <w:t>本项目不接受联合体参加本次采购活动。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谈判保证金</w:t>
            </w:r>
          </w:p>
          <w:p>
            <w:pPr>
              <w:pStyle w:val="47"/>
              <w:ind w:left="60" w:leftChars="25" w:right="60" w:rightChars="25"/>
              <w:rPr>
                <w:rFonts w:cs="宋体"/>
                <w:color w:val="auto"/>
                <w:szCs w:val="21"/>
                <w:highlight w:val="none"/>
              </w:rPr>
            </w:pPr>
            <w:r>
              <w:rPr>
                <w:rFonts w:hint="eastAsia" w:cs="宋体"/>
                <w:color w:val="auto"/>
                <w:szCs w:val="21"/>
                <w:highlight w:val="none"/>
                <w:lang w:val="zh-CN"/>
              </w:rPr>
              <w:t>(实质性要求)</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金    额：人民币8000元整(大写人民币捌仟元整)。</w:t>
            </w:r>
          </w:p>
          <w:p>
            <w:pPr>
              <w:pStyle w:val="44"/>
              <w:ind w:left="60" w:leftChars="25" w:right="60" w:rightChars="25"/>
              <w:rPr>
                <w:rFonts w:cs="宋体"/>
                <w:color w:val="auto"/>
                <w:szCs w:val="21"/>
                <w:highlight w:val="none"/>
              </w:rPr>
            </w:pPr>
            <w:r>
              <w:rPr>
                <w:rFonts w:hint="eastAsia" w:cs="宋体"/>
                <w:color w:val="auto"/>
                <w:szCs w:val="21"/>
                <w:highlight w:val="none"/>
              </w:rPr>
              <w:t>交款方式：</w:t>
            </w:r>
            <w:r>
              <w:rPr>
                <w:rFonts w:hint="eastAsia" w:cs="宋体"/>
                <w:color w:val="auto"/>
                <w:szCs w:val="21"/>
                <w:highlight w:val="none"/>
                <w:lang w:val="zh-CN"/>
              </w:rPr>
              <w:t>以支票、汇票、本票或者</w:t>
            </w:r>
            <w:r>
              <w:rPr>
                <w:rFonts w:hint="eastAsia" w:cs="宋体"/>
                <w:color w:val="auto"/>
                <w:szCs w:val="21"/>
                <w:highlight w:val="none"/>
              </w:rPr>
              <w:t>金融机构</w:t>
            </w:r>
            <w:r>
              <w:rPr>
                <w:rFonts w:hint="eastAsia" w:cs="宋体"/>
                <w:color w:val="auto"/>
                <w:szCs w:val="21"/>
                <w:highlight w:val="none"/>
                <w:lang w:val="zh-CN"/>
              </w:rPr>
              <w:t>出具的保函</w:t>
            </w:r>
            <w:r>
              <w:rPr>
                <w:rFonts w:hint="eastAsia" w:cs="宋体"/>
                <w:color w:val="auto"/>
                <w:szCs w:val="21"/>
                <w:highlight w:val="none"/>
              </w:rPr>
              <w:t>等</w:t>
            </w:r>
            <w:r>
              <w:rPr>
                <w:rFonts w:hint="eastAsia" w:cs="宋体"/>
                <w:color w:val="auto"/>
                <w:szCs w:val="21"/>
                <w:highlight w:val="none"/>
                <w:lang w:val="zh-CN"/>
              </w:rPr>
              <w:t>非现金形式</w:t>
            </w:r>
            <w:r>
              <w:rPr>
                <w:rFonts w:hint="eastAsia" w:cs="宋体"/>
                <w:color w:val="auto"/>
                <w:szCs w:val="21"/>
                <w:highlight w:val="none"/>
              </w:rPr>
              <w:t>提交</w:t>
            </w:r>
            <w:r>
              <w:rPr>
                <w:rFonts w:hint="eastAsia" w:cs="宋体"/>
                <w:color w:val="auto"/>
                <w:szCs w:val="21"/>
                <w:highlight w:val="none"/>
                <w:lang w:val="zh-CN"/>
              </w:rPr>
              <w:t>(</w:t>
            </w:r>
            <w:r>
              <w:rPr>
                <w:rFonts w:hint="eastAsia" w:cs="宋体"/>
                <w:color w:val="auto"/>
                <w:szCs w:val="21"/>
                <w:highlight w:val="none"/>
              </w:rPr>
              <w:t>包括网银转账，电汇等方式</w:t>
            </w:r>
            <w:r>
              <w:rPr>
                <w:rFonts w:hint="eastAsia" w:cs="宋体"/>
                <w:color w:val="auto"/>
                <w:szCs w:val="21"/>
                <w:highlight w:val="none"/>
                <w:lang w:val="zh-CN"/>
              </w:rPr>
              <w:t>)，</w:t>
            </w:r>
            <w:r>
              <w:rPr>
                <w:rFonts w:hint="eastAsia" w:cs="宋体"/>
                <w:color w:val="auto"/>
                <w:szCs w:val="21"/>
                <w:highlight w:val="none"/>
              </w:rPr>
              <w:t>所有递交方式均以到账时间为准(若以保函方式提交的，必须在保证金交款截止时间前将加盖供应商公章的保函复印件提交至采购代理机构登记)[</w:t>
            </w:r>
            <w:r>
              <w:rPr>
                <w:rFonts w:hint="eastAsia" w:cs="宋体"/>
                <w:color w:val="auto"/>
                <w:szCs w:val="21"/>
                <w:highlight w:val="none"/>
                <w:lang w:val="zh-CN"/>
              </w:rPr>
              <w:t>须注明项目编号，以便登记、查询，</w:t>
            </w:r>
            <w:r>
              <w:rPr>
                <w:rFonts w:hint="eastAsia" w:cs="宋体"/>
                <w:color w:val="auto"/>
                <w:szCs w:val="21"/>
                <w:highlight w:val="none"/>
              </w:rPr>
              <w:t>未注明不影响其谈判有效性]。</w:t>
            </w:r>
          </w:p>
          <w:p>
            <w:pPr>
              <w:pStyle w:val="44"/>
              <w:ind w:left="60" w:leftChars="25" w:right="60" w:rightChars="25"/>
              <w:rPr>
                <w:rFonts w:cs="宋体"/>
                <w:color w:val="auto"/>
                <w:szCs w:val="21"/>
                <w:highlight w:val="none"/>
                <w:lang w:val="zh-CN"/>
              </w:rPr>
            </w:pPr>
            <w:r>
              <w:rPr>
                <w:rFonts w:hint="eastAsia" w:cs="宋体"/>
                <w:color w:val="auto"/>
                <w:szCs w:val="21"/>
                <w:highlight w:val="none"/>
                <w:lang w:val="zh-CN"/>
              </w:rPr>
              <w:t>收款单位：四川乾新招投标代理有限公司</w:t>
            </w:r>
          </w:p>
          <w:p>
            <w:pPr>
              <w:pStyle w:val="44"/>
              <w:ind w:left="60" w:leftChars="25" w:right="60" w:rightChars="25"/>
              <w:rPr>
                <w:rFonts w:cs="宋体"/>
                <w:color w:val="auto"/>
                <w:szCs w:val="21"/>
                <w:highlight w:val="none"/>
                <w:lang w:val="zh-CN"/>
              </w:rPr>
            </w:pPr>
            <w:r>
              <w:rPr>
                <w:rFonts w:hint="eastAsia" w:cs="宋体"/>
                <w:color w:val="auto"/>
                <w:szCs w:val="21"/>
                <w:highlight w:val="none"/>
                <w:lang w:val="zh-CN"/>
              </w:rPr>
              <w:t>开 户 行：招商银行成都分行天府大道支行</w:t>
            </w:r>
          </w:p>
          <w:p>
            <w:pPr>
              <w:pStyle w:val="44"/>
              <w:ind w:left="60" w:leftChars="25" w:right="60" w:rightChars="25"/>
              <w:rPr>
                <w:rFonts w:cs="宋体"/>
                <w:color w:val="auto"/>
                <w:szCs w:val="21"/>
                <w:highlight w:val="none"/>
                <w:lang w:val="zh-CN"/>
              </w:rPr>
            </w:pPr>
            <w:r>
              <w:rPr>
                <w:rFonts w:hint="eastAsia" w:cs="宋体"/>
                <w:color w:val="auto"/>
                <w:szCs w:val="21"/>
                <w:highlight w:val="none"/>
                <w:lang w:val="zh-CN"/>
              </w:rPr>
              <w:t>银行账号：1289 0768 1810 101</w:t>
            </w:r>
          </w:p>
          <w:p>
            <w:pPr>
              <w:pStyle w:val="44"/>
              <w:ind w:left="60" w:leftChars="25" w:right="60" w:rightChars="25"/>
              <w:rPr>
                <w:rFonts w:cs="宋体"/>
                <w:color w:val="auto"/>
                <w:szCs w:val="21"/>
                <w:highlight w:val="none"/>
                <w:lang w:val="zh-CN"/>
              </w:rPr>
            </w:pPr>
            <w:r>
              <w:rPr>
                <w:rFonts w:hint="eastAsia" w:cs="宋体"/>
                <w:color w:val="auto"/>
                <w:szCs w:val="21"/>
                <w:highlight w:val="none"/>
              </w:rPr>
              <w:t>交款截止时间：</w:t>
            </w:r>
            <w:r>
              <w:rPr>
                <w:rFonts w:hint="eastAsia" w:cs="宋体"/>
                <w:color w:val="auto"/>
                <w:szCs w:val="21"/>
                <w:highlight w:val="none"/>
                <w:lang w:val="zh-CN"/>
              </w:rPr>
              <w:t>本项目</w:t>
            </w:r>
            <w:r>
              <w:rPr>
                <w:rFonts w:hint="eastAsia" w:cs="宋体"/>
                <w:color w:val="auto"/>
                <w:szCs w:val="21"/>
                <w:highlight w:val="none"/>
              </w:rPr>
              <w:t>谈判时间</w:t>
            </w:r>
            <w:r>
              <w:rPr>
                <w:rFonts w:hint="eastAsia" w:cs="宋体"/>
                <w:color w:val="auto"/>
                <w:szCs w:val="21"/>
                <w:highlight w:val="none"/>
                <w:lang w:val="zh-CN"/>
              </w:rPr>
              <w:t>前(</w:t>
            </w:r>
            <w:r>
              <w:rPr>
                <w:rFonts w:hint="eastAsia" w:cs="宋体"/>
                <w:color w:val="auto"/>
                <w:szCs w:val="21"/>
                <w:highlight w:val="none"/>
              </w:rPr>
              <w:t>谈判保证金</w:t>
            </w:r>
            <w:r>
              <w:rPr>
                <w:rFonts w:hint="eastAsia" w:cs="宋体"/>
                <w:color w:val="auto"/>
                <w:szCs w:val="21"/>
                <w:highlight w:val="none"/>
                <w:lang w:val="zh-CN"/>
              </w:rPr>
              <w:t>的交纳以到账时间为准)</w:t>
            </w:r>
          </w:p>
          <w:p>
            <w:pPr>
              <w:pStyle w:val="44"/>
              <w:ind w:left="60" w:leftChars="25" w:right="60" w:rightChars="25"/>
              <w:rPr>
                <w:rFonts w:cs="宋体"/>
                <w:color w:val="auto"/>
                <w:szCs w:val="21"/>
                <w:highlight w:val="none"/>
              </w:rPr>
            </w:pPr>
            <w:r>
              <w:rPr>
                <w:rFonts w:hint="eastAsia" w:cs="宋体"/>
                <w:color w:val="auto"/>
                <w:szCs w:val="21"/>
                <w:highlight w:val="none"/>
              </w:rPr>
              <w:t>注：1.供应商必须按照上述交款方式及指定银行账号进行办理，交款账户名称须与供应商名称一致，鼓励以保函代替保证金。若以其他交款方式(如现金存款方式)或非指定银行账号办理的一律不予接受，将被视为无效。</w:t>
            </w:r>
          </w:p>
          <w:p>
            <w:pPr>
              <w:pStyle w:val="44"/>
              <w:ind w:left="60" w:leftChars="25" w:right="60" w:rightChars="25"/>
              <w:rPr>
                <w:rFonts w:cs="宋体"/>
                <w:color w:val="auto"/>
                <w:szCs w:val="21"/>
                <w:highlight w:val="none"/>
              </w:rPr>
            </w:pPr>
            <w:r>
              <w:rPr>
                <w:rFonts w:hint="eastAsia" w:cs="宋体"/>
                <w:color w:val="auto"/>
                <w:szCs w:val="21"/>
                <w:highlight w:val="none"/>
              </w:rPr>
              <w:t>2.谈判保证金的其他相关规定详见第二章第四节(十四)条</w:t>
            </w:r>
            <w:r>
              <w:rPr>
                <w:rFonts w:hint="eastAsia" w:cs="宋体"/>
                <w:color w:val="auto"/>
                <w:szCs w:val="21"/>
                <w:highlight w:val="none"/>
                <w:lang w:val="zh-CN"/>
              </w:rPr>
              <w:t>。</w:t>
            </w:r>
          </w:p>
          <w:p>
            <w:pPr>
              <w:pStyle w:val="44"/>
              <w:ind w:left="60" w:leftChars="25" w:right="60" w:rightChars="25"/>
              <w:rPr>
                <w:rFonts w:cs="宋体"/>
                <w:color w:val="auto"/>
                <w:szCs w:val="21"/>
                <w:highlight w:val="none"/>
              </w:rPr>
            </w:pPr>
            <w:r>
              <w:rPr>
                <w:rFonts w:hint="eastAsia" w:cs="宋体"/>
                <w:color w:val="auto"/>
                <w:szCs w:val="21"/>
                <w:highlight w:val="none"/>
              </w:rPr>
              <w:t>保证金查询电话：</w:t>
            </w:r>
            <w:r>
              <w:rPr>
                <w:rFonts w:hint="eastAsia" w:cs="宋体"/>
                <w:color w:val="auto"/>
                <w:szCs w:val="21"/>
                <w:highlight w:val="none"/>
                <w:lang w:val="zh-CN"/>
              </w:rPr>
              <w:t>028-84638556、84882960转6</w:t>
            </w:r>
            <w:r>
              <w:rPr>
                <w:rFonts w:hint="eastAsia" w:cs="宋体"/>
                <w:color w:val="auto"/>
                <w:szCs w:val="21"/>
                <w:highlight w:val="none"/>
              </w:rPr>
              <w:t>08或609。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保函</w:t>
            </w:r>
          </w:p>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(实质性要求)</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本谈判文件中涉及的保函按以下规定执行：</w:t>
            </w:r>
          </w:p>
          <w:p>
            <w:pPr>
              <w:pStyle w:val="44"/>
              <w:ind w:left="60" w:leftChars="25" w:right="60" w:rightChars="25"/>
              <w:rPr>
                <w:rFonts w:cs="宋体"/>
                <w:color w:val="auto"/>
                <w:szCs w:val="21"/>
                <w:highlight w:val="none"/>
              </w:rPr>
            </w:pPr>
            <w:r>
              <w:rPr>
                <w:rFonts w:hint="eastAsia" w:cs="宋体"/>
                <w:color w:val="auto"/>
                <w:szCs w:val="21"/>
                <w:highlight w:val="none"/>
              </w:rPr>
              <w:t>1.保函应为金融机构出具，并有详细明显的验证方法；</w:t>
            </w:r>
          </w:p>
          <w:p>
            <w:pPr>
              <w:pStyle w:val="44"/>
              <w:ind w:left="60" w:leftChars="25" w:right="60" w:rightChars="25"/>
              <w:rPr>
                <w:rFonts w:cs="宋体"/>
                <w:color w:val="auto"/>
                <w:szCs w:val="21"/>
                <w:highlight w:val="none"/>
              </w:rPr>
            </w:pPr>
            <w:r>
              <w:rPr>
                <w:rFonts w:hint="eastAsia" w:cs="宋体"/>
                <w:color w:val="auto"/>
                <w:szCs w:val="21"/>
                <w:highlight w:val="none"/>
              </w:rPr>
              <w:t>2.保函的受益人为四川乾新招投标代理有限公司；</w:t>
            </w:r>
          </w:p>
          <w:p>
            <w:pPr>
              <w:pStyle w:val="44"/>
              <w:ind w:left="60" w:leftChars="25" w:right="60" w:rightChars="25"/>
              <w:rPr>
                <w:rFonts w:cs="宋体"/>
                <w:color w:val="auto"/>
                <w:szCs w:val="21"/>
                <w:highlight w:val="none"/>
              </w:rPr>
            </w:pPr>
            <w:r>
              <w:rPr>
                <w:rFonts w:hint="eastAsia" w:cs="宋体"/>
                <w:color w:val="auto"/>
                <w:szCs w:val="21"/>
                <w:highlight w:val="none"/>
              </w:rPr>
              <w:t>3.保函的内容应包括：供应商名称、项目名称、项目编号、保证金金额、保函的有效期、担保内容(即：采购代理机构将不予退还谈判保证金的情形，详见本谈判文件第二章第四节(十四)条)；</w:t>
            </w:r>
          </w:p>
          <w:p>
            <w:pPr>
              <w:pStyle w:val="44"/>
              <w:ind w:left="60" w:leftChars="25" w:right="60" w:rightChars="25"/>
              <w:rPr>
                <w:rFonts w:cs="宋体"/>
                <w:color w:val="auto"/>
                <w:szCs w:val="21"/>
                <w:highlight w:val="none"/>
              </w:rPr>
            </w:pPr>
            <w:r>
              <w:rPr>
                <w:rFonts w:hint="eastAsia" w:cs="宋体"/>
                <w:color w:val="auto"/>
                <w:szCs w:val="21"/>
                <w:highlight w:val="none"/>
              </w:rPr>
              <w:t>4.保证金金额不少于《谈判须知表》中规定的金额；</w:t>
            </w:r>
          </w:p>
          <w:p>
            <w:pPr>
              <w:pStyle w:val="44"/>
              <w:ind w:left="60" w:leftChars="25" w:right="60" w:rightChars="25"/>
              <w:rPr>
                <w:rFonts w:cs="宋体"/>
                <w:color w:val="auto"/>
                <w:szCs w:val="21"/>
                <w:highlight w:val="none"/>
              </w:rPr>
            </w:pPr>
            <w:r>
              <w:rPr>
                <w:rFonts w:hint="eastAsia" w:cs="宋体"/>
                <w:color w:val="auto"/>
                <w:szCs w:val="21"/>
                <w:highlight w:val="none"/>
              </w:rPr>
              <w:t>5.保函的有效期应不少于谈判文件规定的谈判有效期；</w:t>
            </w:r>
          </w:p>
          <w:p>
            <w:pPr>
              <w:pStyle w:val="44"/>
              <w:ind w:left="60" w:leftChars="25" w:right="60" w:rightChars="25"/>
              <w:rPr>
                <w:rFonts w:cs="宋体"/>
                <w:color w:val="auto"/>
                <w:szCs w:val="21"/>
                <w:highlight w:val="none"/>
              </w:rPr>
            </w:pPr>
            <w:r>
              <w:rPr>
                <w:rFonts w:hint="eastAsia" w:cs="宋体"/>
                <w:color w:val="auto"/>
                <w:szCs w:val="21"/>
                <w:highlight w:val="none"/>
              </w:rPr>
              <w:t>6.供应商未按上述要求提供保函的</w:t>
            </w:r>
            <w:r>
              <w:rPr>
                <w:rFonts w:hint="eastAsia" w:cs="宋体"/>
                <w:color w:val="auto"/>
                <w:szCs w:val="21"/>
                <w:highlight w:val="none"/>
                <w:lang w:val="zh-CN"/>
              </w:rPr>
              <w:t>将被视为</w:t>
            </w:r>
            <w:r>
              <w:rPr>
                <w:rFonts w:hint="eastAsia" w:cs="宋体"/>
                <w:color w:val="auto"/>
                <w:szCs w:val="21"/>
                <w:highlight w:val="none"/>
              </w:rPr>
              <w:t>无效响应</w:t>
            </w:r>
            <w:r>
              <w:rPr>
                <w:rFonts w:hint="eastAsia" w:cs="宋体"/>
                <w:color w:val="auto"/>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质量要求、验收标准</w:t>
            </w:r>
          </w:p>
          <w:p>
            <w:pPr>
              <w:pStyle w:val="47"/>
              <w:ind w:left="60" w:leftChars="25" w:right="60" w:rightChars="25"/>
              <w:rPr>
                <w:rFonts w:cs="宋体"/>
                <w:color w:val="auto"/>
                <w:szCs w:val="21"/>
                <w:highlight w:val="none"/>
              </w:rPr>
            </w:pPr>
            <w:r>
              <w:rPr>
                <w:rFonts w:hint="eastAsia" w:cs="宋体"/>
                <w:color w:val="auto"/>
                <w:szCs w:val="21"/>
                <w:highlight w:val="none"/>
                <w:lang w:val="zh-CN"/>
              </w:rPr>
              <w:t>(实质性要求)</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详见第五章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rPr>
              <w:t>答疑会和现场考察</w:t>
            </w:r>
          </w:p>
        </w:tc>
        <w:tc>
          <w:tcPr>
            <w:tcW w:w="7061" w:type="dxa"/>
            <w:vAlign w:val="center"/>
          </w:tcPr>
          <w:p>
            <w:pPr>
              <w:pStyle w:val="44"/>
              <w:numPr>
                <w:ilvl w:val="0"/>
                <w:numId w:val="12"/>
              </w:numPr>
              <w:ind w:left="60" w:leftChars="25" w:right="60" w:rightChars="25"/>
              <w:rPr>
                <w:rFonts w:cs="宋体"/>
                <w:color w:val="auto"/>
                <w:szCs w:val="21"/>
                <w:highlight w:val="none"/>
              </w:rPr>
            </w:pPr>
            <w:r>
              <w:rPr>
                <w:rFonts w:hint="eastAsia" w:cs="宋体"/>
                <w:color w:val="auto"/>
                <w:szCs w:val="21"/>
                <w:highlight w:val="none"/>
              </w:rPr>
              <w:t>采购人、采购代理机构可以视采购项目的具体情况，组织供应商进行现场考察或召开谈判前答疑会，但不得单独或分别组织只有一个供应商参加的现场考察和答疑会。若组织答疑会和现场考察以采购代理机构通知为准。</w:t>
            </w:r>
          </w:p>
          <w:p>
            <w:pPr>
              <w:pStyle w:val="44"/>
              <w:numPr>
                <w:ilvl w:val="0"/>
                <w:numId w:val="12"/>
              </w:numPr>
              <w:ind w:left="60" w:leftChars="25" w:right="60" w:rightChars="25"/>
              <w:rPr>
                <w:rFonts w:cs="宋体"/>
                <w:color w:val="auto"/>
                <w:szCs w:val="21"/>
                <w:highlight w:val="none"/>
              </w:rPr>
            </w:pPr>
            <w:r>
              <w:rPr>
                <w:rFonts w:hint="eastAsia" w:cs="宋体"/>
                <w:color w:val="auto"/>
                <w:szCs w:val="21"/>
                <w:highlight w:val="none"/>
              </w:rPr>
              <w:t>供应商参加答疑会和现场考察所发生的一切费用由供应商自行承担。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低于成本价不正当竞争预防措施</w:t>
            </w:r>
          </w:p>
          <w:p>
            <w:pPr>
              <w:pStyle w:val="47"/>
              <w:ind w:left="60" w:leftChars="25" w:right="60" w:rightChars="25"/>
              <w:rPr>
                <w:rFonts w:cs="宋体"/>
                <w:color w:val="auto"/>
                <w:szCs w:val="21"/>
                <w:highlight w:val="none"/>
              </w:rPr>
            </w:pPr>
            <w:r>
              <w:rPr>
                <w:rFonts w:hint="eastAsia" w:cs="宋体"/>
                <w:color w:val="auto"/>
                <w:szCs w:val="21"/>
                <w:highlight w:val="none"/>
              </w:rPr>
              <w:t>(实质性要求)</w:t>
            </w:r>
          </w:p>
        </w:tc>
        <w:tc>
          <w:tcPr>
            <w:tcW w:w="7061" w:type="dxa"/>
            <w:vAlign w:val="center"/>
          </w:tcPr>
          <w:p>
            <w:pPr>
              <w:pStyle w:val="44"/>
              <w:numPr>
                <w:ilvl w:val="0"/>
                <w:numId w:val="13"/>
              </w:numPr>
              <w:ind w:left="60" w:leftChars="25" w:right="60" w:rightChars="25"/>
              <w:rPr>
                <w:rFonts w:cs="宋体"/>
                <w:color w:val="auto"/>
                <w:szCs w:val="21"/>
                <w:highlight w:val="none"/>
              </w:rPr>
            </w:pPr>
            <w:r>
              <w:rPr>
                <w:rFonts w:hint="eastAsia" w:cs="宋体"/>
                <w:color w:val="auto"/>
                <w:szCs w:val="21"/>
                <w:highlight w:val="none"/>
              </w:rPr>
              <w:t>供应商报价低于其他有效供应商报价算术平均价90%，有可能影响工程质量或者不能诚信履约的，应当要求其在评审现场合理的时间内提供书面说明，必要时提交相关证明材料；供应商不能证明其报价合理性的，谈判小组应当将其响应文件作为无效处理。供应商的书面说明材料应当按照国家财务会计制度的规定要求，逐项就供应商提供的工程及其有关的货物、服务的主营业务成本、税金及附加、销售费用、管理费用、财务费用等成本构成事项详细陈述。</w:t>
            </w:r>
          </w:p>
          <w:p>
            <w:pPr>
              <w:pStyle w:val="44"/>
              <w:numPr>
                <w:ilvl w:val="0"/>
                <w:numId w:val="13"/>
              </w:numPr>
              <w:ind w:left="60" w:leftChars="25" w:right="60" w:rightChars="25"/>
              <w:rPr>
                <w:rFonts w:cs="宋体"/>
                <w:color w:val="auto"/>
                <w:szCs w:val="21"/>
                <w:highlight w:val="none"/>
              </w:rPr>
            </w:pPr>
            <w:r>
              <w:rPr>
                <w:rFonts w:hint="eastAsia" w:cs="宋体"/>
                <w:color w:val="auto"/>
                <w:szCs w:val="21"/>
                <w:highlight w:val="none"/>
              </w:rPr>
              <w:t>供应商书面说明应当签字确认或者加盖公章，否则无效。书面说明应由其法定代表人/主要负责人或者其授权代表签字确认。</w:t>
            </w:r>
          </w:p>
          <w:p>
            <w:pPr>
              <w:pStyle w:val="44"/>
              <w:numPr>
                <w:ilvl w:val="0"/>
                <w:numId w:val="13"/>
              </w:numPr>
              <w:ind w:left="60" w:leftChars="25" w:right="60" w:rightChars="25"/>
              <w:rPr>
                <w:rFonts w:cs="宋体"/>
                <w:color w:val="auto"/>
                <w:szCs w:val="21"/>
                <w:highlight w:val="none"/>
              </w:rPr>
            </w:pPr>
            <w:r>
              <w:rPr>
                <w:rFonts w:hint="eastAsia" w:cs="宋体"/>
                <w:color w:val="auto"/>
                <w:szCs w:val="21"/>
                <w:highlight w:val="none"/>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委员会应当将其作无效响应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小微企业、监狱企业、残疾人福利性单位采购政策执行</w:t>
            </w:r>
          </w:p>
        </w:tc>
        <w:tc>
          <w:tcPr>
            <w:tcW w:w="7061" w:type="dxa"/>
            <w:vAlign w:val="center"/>
          </w:tcPr>
          <w:p>
            <w:pPr>
              <w:pStyle w:val="44"/>
              <w:ind w:left="60" w:leftChars="25" w:right="60" w:rightChars="25"/>
              <w:rPr>
                <w:rFonts w:cs="宋体"/>
                <w:color w:val="auto"/>
                <w:szCs w:val="21"/>
                <w:highlight w:val="none"/>
              </w:rPr>
            </w:pPr>
            <w:r>
              <w:rPr>
                <w:rFonts w:hint="eastAsia" w:cs="宋体"/>
                <w:b/>
                <w:bCs/>
                <w:color w:val="auto"/>
                <w:szCs w:val="21"/>
                <w:highlight w:val="none"/>
              </w:rPr>
              <w:t>本项目专门面向中小企业采购的项目，不再执行价格评审优惠的扶持政策。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品牌或者供应商</w:t>
            </w:r>
          </w:p>
          <w:p>
            <w:pPr>
              <w:pStyle w:val="47"/>
              <w:ind w:left="60" w:leftChars="25" w:right="60" w:rightChars="25"/>
              <w:rPr>
                <w:rFonts w:cs="宋体"/>
                <w:color w:val="auto"/>
                <w:szCs w:val="21"/>
                <w:highlight w:val="none"/>
              </w:rPr>
            </w:pPr>
            <w:r>
              <w:rPr>
                <w:rFonts w:hint="eastAsia" w:cs="宋体"/>
                <w:color w:val="auto"/>
                <w:szCs w:val="21"/>
                <w:highlight w:val="none"/>
              </w:rPr>
              <w:t>(如涉及)</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若谈判文件涉及品牌或者供应商，其目的是为了准确清楚说明采购项目的技术标准和要求，其意思表示为“参照或相当于”该品牌或者供应商，其品牌或供应商具有可替代性。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topLinePunct w:val="0"/>
              <w:ind w:left="60" w:leftChars="25" w:right="60" w:rightChars="25"/>
              <w:rPr>
                <w:rFonts w:cs="宋体"/>
                <w:color w:val="auto"/>
                <w:szCs w:val="21"/>
                <w:highlight w:val="none"/>
              </w:rPr>
            </w:pPr>
            <w:r>
              <w:rPr>
                <w:rFonts w:hint="eastAsia" w:cs="宋体"/>
                <w:color w:val="auto"/>
                <w:szCs w:val="21"/>
                <w:highlight w:val="none"/>
              </w:rPr>
              <w:t>其他强制性规定</w:t>
            </w:r>
          </w:p>
          <w:p>
            <w:pPr>
              <w:pStyle w:val="47"/>
              <w:topLinePunct w:val="0"/>
              <w:ind w:left="60" w:leftChars="25" w:right="60" w:rightChars="25"/>
              <w:rPr>
                <w:rFonts w:cs="宋体"/>
                <w:color w:val="auto"/>
                <w:szCs w:val="21"/>
                <w:highlight w:val="none"/>
              </w:rPr>
            </w:pPr>
            <w:r>
              <w:rPr>
                <w:rFonts w:hint="eastAsia" w:cs="宋体"/>
                <w:color w:val="auto"/>
                <w:szCs w:val="21"/>
                <w:highlight w:val="none"/>
              </w:rPr>
              <w:t>(如涉及时作为实质性要求)</w:t>
            </w:r>
          </w:p>
        </w:tc>
        <w:tc>
          <w:tcPr>
            <w:tcW w:w="7061" w:type="dxa"/>
            <w:vAlign w:val="center"/>
          </w:tcPr>
          <w:p>
            <w:pPr>
              <w:pStyle w:val="44"/>
              <w:topLinePunct w:val="0"/>
              <w:ind w:left="60" w:leftChars="25" w:right="60" w:rightChars="25"/>
              <w:rPr>
                <w:rFonts w:cs="宋体"/>
                <w:color w:val="auto"/>
                <w:szCs w:val="21"/>
                <w:highlight w:val="none"/>
              </w:rPr>
            </w:pPr>
            <w:r>
              <w:rPr>
                <w:rFonts w:hint="eastAsia" w:cs="宋体"/>
                <w:color w:val="auto"/>
                <w:szCs w:val="21"/>
                <w:highlight w:val="none"/>
              </w:rPr>
              <w:t>国家或行业主管部门对采购产品的技术标准、质量标准和资格资质条件等有强制性规定的，必须符合其要求。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lang w:val="zh-CN"/>
              </w:rPr>
              <w:t>评</w:t>
            </w:r>
            <w:r>
              <w:rPr>
                <w:rFonts w:hint="eastAsia" w:cs="宋体"/>
                <w:color w:val="auto"/>
                <w:szCs w:val="21"/>
                <w:highlight w:val="none"/>
              </w:rPr>
              <w:t>审结果</w:t>
            </w:r>
            <w:r>
              <w:rPr>
                <w:rFonts w:hint="eastAsia" w:cs="宋体"/>
                <w:color w:val="auto"/>
                <w:szCs w:val="21"/>
                <w:highlight w:val="none"/>
                <w:lang w:val="zh-CN"/>
              </w:rPr>
              <w:t>的公告</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评审结果将在“中国招标投标公共服务平台”予以公告。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成交通知书领取</w:t>
            </w:r>
          </w:p>
        </w:tc>
        <w:tc>
          <w:tcPr>
            <w:tcW w:w="7061" w:type="dxa"/>
            <w:vAlign w:val="center"/>
          </w:tcPr>
          <w:p>
            <w:pPr>
              <w:pStyle w:val="44"/>
              <w:ind w:left="60" w:leftChars="25" w:right="60" w:rightChars="25"/>
              <w:rPr>
                <w:rFonts w:cs="宋体"/>
                <w:color w:val="auto"/>
                <w:szCs w:val="21"/>
                <w:highlight w:val="none"/>
                <w:lang w:val="zh-CN"/>
              </w:rPr>
            </w:pPr>
            <w:r>
              <w:rPr>
                <w:rFonts w:hint="eastAsia" w:cs="宋体"/>
                <w:color w:val="auto"/>
                <w:szCs w:val="21"/>
                <w:highlight w:val="none"/>
              </w:rPr>
              <w:t>采购代理机构在采购代理机构在成交供应商确定后2个工作日内，在“中国招标投标公共服务平台”发布成交公告，同时采购代理机构将成交通知书快递至成交供应商。</w:t>
            </w:r>
          </w:p>
          <w:p>
            <w:pPr>
              <w:pStyle w:val="44"/>
              <w:ind w:left="60" w:leftChars="25" w:right="60" w:rightChars="25"/>
              <w:rPr>
                <w:rFonts w:cs="宋体"/>
                <w:color w:val="auto"/>
                <w:szCs w:val="21"/>
                <w:highlight w:val="none"/>
              </w:rPr>
            </w:pPr>
            <w:r>
              <w:rPr>
                <w:rFonts w:hint="eastAsia" w:cs="宋体"/>
                <w:color w:val="auto"/>
                <w:szCs w:val="21"/>
                <w:highlight w:val="none"/>
                <w:lang w:val="zh-CN"/>
              </w:rPr>
              <w:t>联系人：</w:t>
            </w:r>
            <w:r>
              <w:rPr>
                <w:rFonts w:hint="eastAsia" w:cs="宋体"/>
                <w:color w:val="auto"/>
                <w:szCs w:val="21"/>
                <w:highlight w:val="none"/>
              </w:rPr>
              <w:t>张虹</w:t>
            </w:r>
          </w:p>
          <w:p>
            <w:pPr>
              <w:pStyle w:val="44"/>
              <w:ind w:left="60" w:leftChars="25" w:right="60" w:rightChars="25"/>
              <w:rPr>
                <w:rFonts w:cs="宋体"/>
                <w:color w:val="auto"/>
                <w:szCs w:val="21"/>
                <w:highlight w:val="none"/>
              </w:rPr>
            </w:pPr>
            <w:r>
              <w:rPr>
                <w:rFonts w:hint="eastAsia" w:cs="宋体"/>
                <w:color w:val="auto"/>
                <w:szCs w:val="21"/>
                <w:highlight w:val="none"/>
                <w:lang w:val="zh-CN"/>
              </w:rPr>
              <w:t>联系电话：028-61375575、62600820、62630990转601或602</w:t>
            </w:r>
          </w:p>
          <w:p>
            <w:pPr>
              <w:pStyle w:val="44"/>
              <w:ind w:left="60" w:leftChars="25" w:right="60" w:rightChars="25"/>
              <w:rPr>
                <w:rFonts w:cs="宋体"/>
                <w:color w:val="auto"/>
                <w:szCs w:val="21"/>
                <w:highlight w:val="none"/>
              </w:rPr>
            </w:pPr>
            <w:r>
              <w:rPr>
                <w:rFonts w:hint="eastAsia" w:cs="宋体"/>
                <w:color w:val="auto"/>
                <w:szCs w:val="21"/>
                <w:highlight w:val="none"/>
                <w:lang w:val="zh-CN"/>
              </w:rPr>
              <w:t>地址：</w:t>
            </w:r>
            <w:r>
              <w:rPr>
                <w:rFonts w:hint="eastAsia" w:cs="宋体"/>
                <w:color w:val="auto"/>
                <w:szCs w:val="21"/>
                <w:highlight w:val="none"/>
              </w:rPr>
              <w:t>成都市高新区吉庆三路333号蜀都中心二期一号楼一单元401号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0" w:hRule="atLeast"/>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rPr>
              <w:t>招标代理</w:t>
            </w:r>
            <w:r>
              <w:rPr>
                <w:rFonts w:hint="eastAsia" w:cs="宋体"/>
                <w:color w:val="auto"/>
                <w:szCs w:val="21"/>
                <w:highlight w:val="none"/>
                <w:lang w:val="zh-CN"/>
              </w:rPr>
              <w:t>服务费</w:t>
            </w:r>
          </w:p>
        </w:tc>
        <w:tc>
          <w:tcPr>
            <w:tcW w:w="7061" w:type="dxa"/>
            <w:vAlign w:val="center"/>
          </w:tcPr>
          <w:p>
            <w:pPr>
              <w:pStyle w:val="44"/>
              <w:spacing w:line="320" w:lineRule="atLeast"/>
              <w:ind w:left="28" w:leftChars="0"/>
              <w:rPr>
                <w:color w:val="auto"/>
                <w:szCs w:val="21"/>
                <w:highlight w:val="none"/>
              </w:rPr>
            </w:pPr>
            <w:r>
              <w:rPr>
                <w:rFonts w:hint="eastAsia"/>
                <w:color w:val="auto"/>
                <w:szCs w:val="21"/>
                <w:highlight w:val="none"/>
              </w:rPr>
              <w:t>1.招标代理服务费以成本加合理利润为原则，按照下列收费标准计算出收费基准价格后下浮20%收取。</w:t>
            </w:r>
          </w:p>
          <w:p>
            <w:pPr>
              <w:pStyle w:val="44"/>
              <w:spacing w:line="320" w:lineRule="atLeast"/>
              <w:ind w:left="28" w:leftChars="0"/>
              <w:rPr>
                <w:color w:val="auto"/>
                <w:szCs w:val="21"/>
                <w:highlight w:val="none"/>
                <w:lang w:val="zh-CN"/>
              </w:rPr>
            </w:pPr>
            <w:r>
              <w:rPr>
                <w:rFonts w:hint="eastAsia"/>
                <w:color w:val="auto"/>
                <w:szCs w:val="21"/>
                <w:highlight w:val="none"/>
              </w:rPr>
              <w:t>2</w:t>
            </w:r>
            <w:r>
              <w:rPr>
                <w:rFonts w:hint="eastAsia"/>
                <w:color w:val="auto"/>
                <w:szCs w:val="21"/>
                <w:highlight w:val="none"/>
                <w:lang w:val="zh-CN"/>
              </w:rPr>
              <w:t>.代理服务费率标准和代理服务费计算方法</w:t>
            </w:r>
          </w:p>
          <w:tbl>
            <w:tblPr>
              <w:tblStyle w:val="24"/>
              <w:tblW w:w="5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0"/>
              <w:gridCol w:w="1180"/>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金额(万元)</w:t>
                  </w:r>
                  <w:r>
                    <w:rPr>
                      <w:rFonts w:hint="eastAsia"/>
                      <w:color w:val="auto"/>
                      <w:szCs w:val="21"/>
                      <w:highlight w:val="none"/>
                    </w:rPr>
                    <w:t>/</w:t>
                  </w:r>
                  <w:r>
                    <w:rPr>
                      <w:rFonts w:hint="eastAsia"/>
                      <w:color w:val="auto"/>
                      <w:szCs w:val="21"/>
                      <w:highlight w:val="none"/>
                      <w:lang w:val="zh-CN"/>
                    </w:rPr>
                    <w:t>类型</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货物类</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服务类</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100以下</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1.5%</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1.5%</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100－500</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1.1%</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0.8%</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500－1000</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0.8%</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0.45%</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1000－5000</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0.5%</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0.25%</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5000－10000</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0.25%</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0.1%</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10000－100000</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0.05%</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0.05%</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1000000以上</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0.01%</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0.01%</w:t>
                  </w:r>
                </w:p>
              </w:tc>
              <w:tc>
                <w:tcPr>
                  <w:tcW w:w="1180" w:type="dxa"/>
                  <w:vAlign w:val="center"/>
                </w:tcPr>
                <w:p>
                  <w:pPr>
                    <w:pStyle w:val="44"/>
                    <w:spacing w:line="320" w:lineRule="atLeast"/>
                    <w:ind w:left="28" w:leftChars="0"/>
                    <w:jc w:val="center"/>
                    <w:rPr>
                      <w:color w:val="auto"/>
                      <w:szCs w:val="21"/>
                      <w:highlight w:val="none"/>
                      <w:lang w:val="zh-CN"/>
                    </w:rPr>
                  </w:pPr>
                  <w:r>
                    <w:rPr>
                      <w:rFonts w:hint="eastAsia"/>
                      <w:color w:val="auto"/>
                      <w:szCs w:val="21"/>
                      <w:highlight w:val="none"/>
                      <w:lang w:val="zh-CN"/>
                    </w:rPr>
                    <w:t>0.01%</w:t>
                  </w:r>
                </w:p>
              </w:tc>
            </w:tr>
          </w:tbl>
          <w:p>
            <w:pPr>
              <w:pStyle w:val="44"/>
              <w:spacing w:line="320" w:lineRule="atLeast"/>
              <w:ind w:left="28" w:leftChars="0"/>
              <w:rPr>
                <w:color w:val="auto"/>
                <w:szCs w:val="21"/>
                <w:highlight w:val="none"/>
                <w:lang w:val="zh-CN"/>
              </w:rPr>
            </w:pPr>
            <w:r>
              <w:rPr>
                <w:rFonts w:hint="eastAsia"/>
                <w:color w:val="auto"/>
                <w:szCs w:val="21"/>
                <w:highlight w:val="none"/>
                <w:lang w:val="zh-CN"/>
              </w:rPr>
              <w:t>注：</w:t>
            </w:r>
          </w:p>
          <w:p>
            <w:pPr>
              <w:pStyle w:val="44"/>
              <w:spacing w:line="320" w:lineRule="atLeast"/>
              <w:ind w:left="28" w:leftChars="0"/>
              <w:rPr>
                <w:color w:val="auto"/>
                <w:szCs w:val="21"/>
                <w:highlight w:val="none"/>
                <w:lang w:val="zh-CN"/>
              </w:rPr>
            </w:pPr>
            <w:r>
              <w:rPr>
                <w:rFonts w:hint="eastAsia"/>
                <w:color w:val="auto"/>
                <w:szCs w:val="21"/>
                <w:highlight w:val="none"/>
                <w:lang w:val="zh-CN"/>
              </w:rPr>
              <w:t>(1)按本表费率计算的收费为代理服务全过程的收费基准价格。</w:t>
            </w:r>
          </w:p>
          <w:p>
            <w:pPr>
              <w:pStyle w:val="44"/>
              <w:spacing w:line="320" w:lineRule="atLeast"/>
              <w:ind w:left="28" w:leftChars="0"/>
              <w:jc w:val="both"/>
              <w:rPr>
                <w:color w:val="auto"/>
                <w:szCs w:val="21"/>
                <w:highlight w:val="none"/>
                <w:lang w:val="zh-CN"/>
              </w:rPr>
            </w:pPr>
            <w:r>
              <w:rPr>
                <w:rFonts w:hint="eastAsia"/>
                <w:color w:val="auto"/>
                <w:szCs w:val="21"/>
                <w:highlight w:val="none"/>
                <w:lang w:val="zh-CN"/>
              </w:rPr>
              <w:t>(2)本收费以单个项目为计算基础，凡单个项目收费金额低于人民币3000元，按3000元收取。</w:t>
            </w:r>
          </w:p>
          <w:p>
            <w:pPr>
              <w:pStyle w:val="44"/>
              <w:spacing w:line="320" w:lineRule="atLeast"/>
              <w:ind w:left="28" w:leftChars="0"/>
              <w:jc w:val="both"/>
              <w:rPr>
                <w:color w:val="auto"/>
                <w:szCs w:val="21"/>
                <w:highlight w:val="none"/>
                <w:lang w:val="zh-CN"/>
              </w:rPr>
            </w:pPr>
            <w:r>
              <w:rPr>
                <w:rFonts w:hint="eastAsia"/>
                <w:color w:val="auto"/>
                <w:szCs w:val="21"/>
                <w:highlight w:val="none"/>
                <w:lang w:val="zh-CN"/>
              </w:rPr>
              <w:t>(3)采购代理机构下浮比例为20%。</w:t>
            </w:r>
          </w:p>
          <w:p>
            <w:pPr>
              <w:pStyle w:val="44"/>
              <w:spacing w:line="320" w:lineRule="atLeast"/>
              <w:ind w:left="28" w:leftChars="0"/>
              <w:rPr>
                <w:color w:val="auto"/>
                <w:szCs w:val="21"/>
                <w:highlight w:val="none"/>
                <w:lang w:val="zh-CN"/>
              </w:rPr>
            </w:pPr>
            <w:r>
              <w:rPr>
                <w:rFonts w:hint="eastAsia"/>
                <w:color w:val="auto"/>
                <w:szCs w:val="21"/>
                <w:highlight w:val="none"/>
                <w:lang w:val="zh-CN"/>
              </w:rPr>
              <w:t>(</w:t>
            </w:r>
            <w:r>
              <w:rPr>
                <w:rFonts w:hint="eastAsia"/>
                <w:color w:val="auto"/>
                <w:szCs w:val="21"/>
                <w:highlight w:val="none"/>
              </w:rPr>
              <w:t>4</w:t>
            </w:r>
            <w:r>
              <w:rPr>
                <w:rFonts w:hint="eastAsia"/>
                <w:color w:val="auto"/>
                <w:szCs w:val="21"/>
                <w:highlight w:val="none"/>
                <w:lang w:val="zh-CN"/>
              </w:rPr>
              <w:t>)代理服务收费按差额定率累进法计算。</w:t>
            </w:r>
          </w:p>
          <w:p>
            <w:pPr>
              <w:pStyle w:val="44"/>
              <w:spacing w:line="320" w:lineRule="atLeast"/>
              <w:ind w:left="28" w:leftChars="0"/>
              <w:rPr>
                <w:color w:val="auto"/>
                <w:szCs w:val="21"/>
                <w:highlight w:val="none"/>
                <w:lang w:val="zh-CN"/>
              </w:rPr>
            </w:pPr>
            <w:r>
              <w:rPr>
                <w:rFonts w:hint="eastAsia"/>
                <w:color w:val="auto"/>
                <w:szCs w:val="21"/>
                <w:highlight w:val="none"/>
                <w:lang w:val="zh-CN"/>
              </w:rPr>
              <w:t>例如：某工程代理业务中标金额为6000万元，计算代理服务收费额如下：</w:t>
            </w:r>
          </w:p>
          <w:p>
            <w:pPr>
              <w:pStyle w:val="44"/>
              <w:spacing w:line="320" w:lineRule="atLeast"/>
              <w:ind w:left="28" w:leftChars="0"/>
              <w:rPr>
                <w:color w:val="auto"/>
                <w:szCs w:val="21"/>
                <w:highlight w:val="none"/>
                <w:lang w:val="zh-CN"/>
              </w:rPr>
            </w:pPr>
            <w:r>
              <w:rPr>
                <w:rFonts w:hint="eastAsia"/>
                <w:color w:val="auto"/>
                <w:szCs w:val="21"/>
                <w:highlight w:val="none"/>
                <w:lang w:val="zh-CN"/>
              </w:rPr>
              <w:t>100万元×1.00%=1万元</w:t>
            </w:r>
          </w:p>
          <w:p>
            <w:pPr>
              <w:pStyle w:val="44"/>
              <w:spacing w:line="320" w:lineRule="atLeast"/>
              <w:ind w:left="28" w:leftChars="0"/>
              <w:rPr>
                <w:color w:val="auto"/>
                <w:szCs w:val="21"/>
                <w:highlight w:val="none"/>
                <w:lang w:val="zh-CN"/>
              </w:rPr>
            </w:pPr>
            <w:r>
              <w:rPr>
                <w:rFonts w:hint="eastAsia"/>
                <w:color w:val="auto"/>
                <w:szCs w:val="21"/>
                <w:highlight w:val="none"/>
                <w:lang w:val="zh-CN"/>
              </w:rPr>
              <w:t>(500－100)万元×0.70%=2.8万元</w:t>
            </w:r>
          </w:p>
          <w:p>
            <w:pPr>
              <w:pStyle w:val="44"/>
              <w:spacing w:line="320" w:lineRule="atLeast"/>
              <w:ind w:left="28" w:leftChars="0"/>
              <w:rPr>
                <w:color w:val="auto"/>
                <w:szCs w:val="21"/>
                <w:highlight w:val="none"/>
                <w:lang w:val="zh-CN"/>
              </w:rPr>
            </w:pPr>
            <w:r>
              <w:rPr>
                <w:rFonts w:hint="eastAsia"/>
                <w:color w:val="auto"/>
                <w:szCs w:val="21"/>
                <w:highlight w:val="none"/>
                <w:lang w:val="zh-CN"/>
              </w:rPr>
              <w:t>(1000－500)万元×0.55%=2.75万元</w:t>
            </w:r>
          </w:p>
          <w:p>
            <w:pPr>
              <w:pStyle w:val="44"/>
              <w:spacing w:line="320" w:lineRule="atLeast"/>
              <w:ind w:left="28" w:leftChars="0"/>
              <w:rPr>
                <w:color w:val="auto"/>
                <w:szCs w:val="21"/>
                <w:highlight w:val="none"/>
                <w:lang w:val="zh-CN"/>
              </w:rPr>
            </w:pPr>
            <w:r>
              <w:rPr>
                <w:rFonts w:hint="eastAsia"/>
                <w:color w:val="auto"/>
                <w:szCs w:val="21"/>
                <w:highlight w:val="none"/>
                <w:lang w:val="zh-CN"/>
              </w:rPr>
              <w:t>(5000－1000)万元×0.35%=14万元</w:t>
            </w:r>
          </w:p>
          <w:p>
            <w:pPr>
              <w:pStyle w:val="44"/>
              <w:spacing w:line="320" w:lineRule="atLeast"/>
              <w:ind w:left="28" w:leftChars="0"/>
              <w:rPr>
                <w:color w:val="auto"/>
                <w:szCs w:val="21"/>
                <w:highlight w:val="none"/>
                <w:lang w:val="zh-CN"/>
              </w:rPr>
            </w:pPr>
            <w:r>
              <w:rPr>
                <w:rFonts w:hint="eastAsia"/>
                <w:color w:val="auto"/>
                <w:szCs w:val="21"/>
                <w:highlight w:val="none"/>
                <w:lang w:val="zh-CN"/>
              </w:rPr>
              <w:t>(6000－5000)万元×0.20%=2万元</w:t>
            </w:r>
          </w:p>
          <w:p>
            <w:pPr>
              <w:pStyle w:val="44"/>
              <w:spacing w:line="320" w:lineRule="atLeast"/>
              <w:ind w:left="28" w:leftChars="0"/>
              <w:rPr>
                <w:color w:val="auto"/>
                <w:szCs w:val="21"/>
                <w:highlight w:val="none"/>
                <w:lang w:val="zh-CN"/>
              </w:rPr>
            </w:pPr>
            <w:r>
              <w:rPr>
                <w:rFonts w:hint="eastAsia"/>
                <w:color w:val="auto"/>
                <w:szCs w:val="21"/>
                <w:highlight w:val="none"/>
                <w:lang w:val="zh-CN"/>
              </w:rPr>
              <w:t>最终代理服务=(1+2.8+2.75+14+2)*(1</w:t>
            </w:r>
            <w:r>
              <w:rPr>
                <w:rFonts w:hint="eastAsia"/>
                <w:color w:val="auto"/>
                <w:szCs w:val="21"/>
                <w:highlight w:val="none"/>
              </w:rPr>
              <w:t>-</w:t>
            </w:r>
            <w:r>
              <w:rPr>
                <w:rFonts w:hint="eastAsia"/>
                <w:color w:val="auto"/>
                <w:szCs w:val="21"/>
                <w:highlight w:val="none"/>
                <w:lang w:val="zh-CN"/>
              </w:rPr>
              <w:t>20%)=18.04(万元)</w:t>
            </w:r>
          </w:p>
          <w:p>
            <w:pPr>
              <w:pStyle w:val="44"/>
              <w:ind w:left="60" w:leftChars="25" w:right="60" w:rightChars="25"/>
              <w:rPr>
                <w:rFonts w:cs="宋体"/>
                <w:color w:val="auto"/>
                <w:szCs w:val="21"/>
                <w:highlight w:val="none"/>
              </w:rPr>
            </w:pPr>
            <w:r>
              <w:rPr>
                <w:rFonts w:hint="eastAsia"/>
                <w:color w:val="auto"/>
                <w:szCs w:val="21"/>
                <w:highlight w:val="none"/>
              </w:rPr>
              <w:t>3</w:t>
            </w:r>
            <w:r>
              <w:rPr>
                <w:rFonts w:hint="eastAsia"/>
                <w:color w:val="auto"/>
                <w:szCs w:val="21"/>
                <w:highlight w:val="none"/>
                <w:lang w:val="zh-CN"/>
              </w:rPr>
              <w:t>.</w:t>
            </w:r>
            <w:r>
              <w:rPr>
                <w:rFonts w:hint="eastAsia"/>
                <w:color w:val="auto"/>
                <w:szCs w:val="21"/>
                <w:highlight w:val="none"/>
              </w:rPr>
              <w:t>收取方式：成交</w:t>
            </w:r>
            <w:r>
              <w:rPr>
                <w:rFonts w:hint="eastAsia"/>
                <w:color w:val="auto"/>
                <w:szCs w:val="21"/>
                <w:highlight w:val="none"/>
                <w:lang w:val="zh-CN"/>
              </w:rPr>
              <w:t>通知发出后二个工作日内由</w:t>
            </w:r>
            <w:r>
              <w:rPr>
                <w:rFonts w:hint="eastAsia"/>
                <w:color w:val="auto"/>
                <w:szCs w:val="21"/>
                <w:highlight w:val="none"/>
              </w:rPr>
              <w:t>成交供应商</w:t>
            </w:r>
            <w:r>
              <w:rPr>
                <w:rFonts w:hint="eastAsia"/>
                <w:color w:val="auto"/>
                <w:szCs w:val="21"/>
                <w:highlight w:val="none"/>
                <w:lang w:val="zh-CN"/>
              </w:rPr>
              <w:t>一次性支付</w:t>
            </w:r>
            <w:r>
              <w:rPr>
                <w:rFonts w:hint="eastAsia"/>
                <w:color w:val="auto"/>
                <w:szCs w:val="21"/>
                <w:highlight w:val="none"/>
              </w:rPr>
              <w:t>至采购代理机构。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履约保证金</w:t>
            </w:r>
          </w:p>
          <w:p>
            <w:pPr>
              <w:pStyle w:val="47"/>
              <w:ind w:left="60" w:leftChars="25" w:right="60" w:rightChars="25"/>
              <w:rPr>
                <w:rFonts w:cs="宋体"/>
                <w:color w:val="auto"/>
                <w:szCs w:val="21"/>
                <w:highlight w:val="none"/>
              </w:rPr>
            </w:pPr>
            <w:r>
              <w:rPr>
                <w:rFonts w:hint="eastAsia" w:cs="宋体"/>
                <w:color w:val="auto"/>
                <w:szCs w:val="21"/>
                <w:highlight w:val="none"/>
              </w:rPr>
              <w:t>(实质性要求)</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详见第五章。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供应商询问</w:t>
            </w:r>
          </w:p>
        </w:tc>
        <w:tc>
          <w:tcPr>
            <w:tcW w:w="7061" w:type="dxa"/>
          </w:tcPr>
          <w:p>
            <w:pPr>
              <w:pStyle w:val="44"/>
              <w:numPr>
                <w:ilvl w:val="0"/>
                <w:numId w:val="14"/>
              </w:numPr>
              <w:ind w:left="60" w:leftChars="25" w:right="60" w:rightChars="25" w:firstLine="0"/>
              <w:rPr>
                <w:rFonts w:cs="宋体"/>
                <w:color w:val="auto"/>
                <w:szCs w:val="21"/>
                <w:highlight w:val="none"/>
              </w:rPr>
            </w:pPr>
            <w:r>
              <w:rPr>
                <w:rFonts w:hint="eastAsia" w:cs="宋体"/>
                <w:color w:val="auto"/>
                <w:szCs w:val="21"/>
                <w:highlight w:val="none"/>
              </w:rPr>
              <w:t>根据委托代理协议约定，采购人负责对采购文件技术参数部分的询问解释，四川乾新招投标代理有限公司负责答复，四川乾新招投标代理有限公司负责采购文件技术参数部分以外的询问解释和答复。</w:t>
            </w:r>
          </w:p>
          <w:p>
            <w:pPr>
              <w:pStyle w:val="44"/>
              <w:numPr>
                <w:ilvl w:val="0"/>
                <w:numId w:val="14"/>
              </w:numPr>
              <w:ind w:left="60" w:leftChars="25" w:right="60" w:rightChars="25" w:firstLine="0"/>
              <w:rPr>
                <w:rFonts w:cs="宋体"/>
                <w:color w:val="auto"/>
                <w:szCs w:val="21"/>
                <w:highlight w:val="none"/>
              </w:rPr>
            </w:pPr>
            <w:r>
              <w:rPr>
                <w:rFonts w:hint="eastAsia" w:cs="宋体"/>
                <w:color w:val="auto"/>
                <w:szCs w:val="21"/>
                <w:highlight w:val="none"/>
              </w:rPr>
              <w:t>询问内容不得涉及评审秘密、国家机密和商业秘密等保密内容。</w:t>
            </w:r>
          </w:p>
          <w:p>
            <w:pPr>
              <w:pStyle w:val="44"/>
              <w:numPr>
                <w:ilvl w:val="0"/>
                <w:numId w:val="14"/>
              </w:numPr>
              <w:ind w:left="60" w:leftChars="25" w:right="60" w:rightChars="25" w:firstLine="0"/>
              <w:rPr>
                <w:rFonts w:cs="宋体"/>
                <w:color w:val="auto"/>
                <w:szCs w:val="21"/>
                <w:highlight w:val="none"/>
              </w:rPr>
            </w:pPr>
            <w:r>
              <w:rPr>
                <w:rFonts w:hint="eastAsia" w:cs="宋体"/>
                <w:color w:val="auto"/>
                <w:szCs w:val="21"/>
                <w:highlight w:val="none"/>
              </w:rPr>
              <w:t>询问方式：询问可以采用邮寄、在线、现场书面或电子邮件等方式向四川乾新招投标代理有限公司提出；询问必须提供询问人基本信息(包含具体询问内容、询问人名称或姓名、联系人及联系电话、电子邮件)。</w:t>
            </w:r>
          </w:p>
          <w:p>
            <w:pPr>
              <w:pStyle w:val="44"/>
              <w:ind w:left="60" w:leftChars="25" w:right="60" w:rightChars="25"/>
              <w:rPr>
                <w:rFonts w:cs="宋体"/>
                <w:color w:val="auto"/>
                <w:szCs w:val="21"/>
                <w:highlight w:val="none"/>
              </w:rPr>
            </w:pPr>
            <w:r>
              <w:rPr>
                <w:rFonts w:hint="eastAsia" w:cs="宋体"/>
                <w:color w:val="auto"/>
                <w:szCs w:val="21"/>
                <w:highlight w:val="none"/>
                <w:lang w:val="zh-CN"/>
              </w:rPr>
              <w:t>联系人：</w:t>
            </w:r>
            <w:r>
              <w:rPr>
                <w:rFonts w:hint="eastAsia" w:cs="宋体"/>
                <w:color w:val="auto"/>
                <w:szCs w:val="21"/>
                <w:highlight w:val="none"/>
              </w:rPr>
              <w:t>王朝钢</w:t>
            </w:r>
          </w:p>
          <w:p>
            <w:pPr>
              <w:pStyle w:val="44"/>
              <w:ind w:left="60" w:leftChars="25" w:right="60" w:rightChars="25"/>
              <w:rPr>
                <w:rFonts w:cs="宋体"/>
                <w:color w:val="auto"/>
                <w:szCs w:val="21"/>
                <w:highlight w:val="none"/>
              </w:rPr>
            </w:pPr>
            <w:r>
              <w:rPr>
                <w:rFonts w:hint="eastAsia" w:cs="宋体"/>
                <w:color w:val="auto"/>
                <w:szCs w:val="21"/>
                <w:highlight w:val="none"/>
                <w:lang w:val="zh-CN"/>
              </w:rPr>
              <w:t>联系电话：</w:t>
            </w:r>
            <w:r>
              <w:rPr>
                <w:rFonts w:hint="eastAsia" w:cs="宋体"/>
                <w:color w:val="auto"/>
                <w:szCs w:val="21"/>
                <w:highlight w:val="none"/>
              </w:rPr>
              <w:t>028-</w:t>
            </w:r>
            <w:r>
              <w:rPr>
                <w:rFonts w:hint="eastAsia" w:cs="宋体"/>
                <w:color w:val="auto"/>
                <w:szCs w:val="21"/>
                <w:highlight w:val="none"/>
                <w:lang w:val="zh-CN"/>
              </w:rPr>
              <w:t>84638556、84882960</w:t>
            </w:r>
            <w:r>
              <w:rPr>
                <w:rFonts w:hint="eastAsia" w:cs="宋体"/>
                <w:color w:val="auto"/>
                <w:szCs w:val="21"/>
                <w:highlight w:val="none"/>
              </w:rPr>
              <w:t>转663</w:t>
            </w:r>
          </w:p>
          <w:p>
            <w:pPr>
              <w:pStyle w:val="44"/>
              <w:ind w:left="60" w:leftChars="25" w:right="60" w:rightChars="25"/>
              <w:rPr>
                <w:rFonts w:cs="宋体"/>
                <w:color w:val="auto"/>
                <w:szCs w:val="21"/>
                <w:highlight w:val="none"/>
                <w:lang w:val="zh-CN"/>
              </w:rPr>
            </w:pPr>
            <w:r>
              <w:rPr>
                <w:rFonts w:hint="eastAsia" w:cs="宋体"/>
                <w:color w:val="auto"/>
                <w:szCs w:val="21"/>
                <w:highlight w:val="none"/>
                <w:lang w:val="zh-CN"/>
              </w:rPr>
              <w:t>地址：成都市高新区吉庆三路333号蜀都中心二期一号楼一单元401号</w:t>
            </w:r>
          </w:p>
          <w:p>
            <w:pPr>
              <w:pStyle w:val="44"/>
              <w:ind w:left="60" w:leftChars="25" w:right="60" w:rightChars="25"/>
              <w:rPr>
                <w:rFonts w:cs="宋体"/>
                <w:color w:val="auto"/>
                <w:szCs w:val="21"/>
                <w:highlight w:val="none"/>
              </w:rPr>
            </w:pPr>
            <w:r>
              <w:rPr>
                <w:rFonts w:hint="eastAsia" w:cs="宋体"/>
                <w:color w:val="auto"/>
                <w:szCs w:val="21"/>
                <w:highlight w:val="none"/>
              </w:rPr>
              <w:t>邮编：610041</w:t>
            </w:r>
          </w:p>
          <w:p>
            <w:pPr>
              <w:pStyle w:val="44"/>
              <w:numPr>
                <w:ilvl w:val="0"/>
                <w:numId w:val="14"/>
              </w:numPr>
              <w:ind w:left="60" w:leftChars="25" w:right="60" w:rightChars="25" w:firstLine="0"/>
              <w:rPr>
                <w:rFonts w:cs="宋体"/>
                <w:color w:val="auto"/>
                <w:szCs w:val="21"/>
                <w:highlight w:val="none"/>
              </w:rPr>
            </w:pPr>
            <w:r>
              <w:rPr>
                <w:rFonts w:hint="eastAsia" w:cs="宋体"/>
                <w:color w:val="auto"/>
                <w:szCs w:val="21"/>
                <w:highlight w:val="none"/>
              </w:rPr>
              <w:t>询问提出的范围及主体：①采购文件及采购信息公告环节：依法获取采购文件的潜在供应商可以对采购文件及采购信息公告的内容向四川乾新招投标代理有限公司或采购人提出询问，仅对采购信息公告内容提出询问的，不限制询问主体。②采购过程、采购结果环节：参与采购活动的供应商可以对采购过程、采购结果相关问题向四川乾新招投标代理有限公司提出询问，未参与采购活动的供应商不得对此环节提出询问。③针对中小企业提出的询问将优先加快办理。</w:t>
            </w:r>
          </w:p>
          <w:p>
            <w:pPr>
              <w:pStyle w:val="44"/>
              <w:numPr>
                <w:ilvl w:val="0"/>
                <w:numId w:val="14"/>
              </w:numPr>
              <w:ind w:left="60" w:leftChars="25" w:right="60" w:rightChars="25" w:firstLine="0"/>
              <w:rPr>
                <w:rFonts w:cs="宋体"/>
                <w:color w:val="auto"/>
                <w:szCs w:val="21"/>
                <w:highlight w:val="none"/>
              </w:rPr>
            </w:pPr>
            <w:r>
              <w:rPr>
                <w:rFonts w:hint="eastAsia" w:cs="宋体"/>
                <w:color w:val="auto"/>
                <w:szCs w:val="21"/>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pPr>
              <w:pStyle w:val="44"/>
              <w:numPr>
                <w:ilvl w:val="0"/>
                <w:numId w:val="14"/>
              </w:numPr>
              <w:ind w:left="60" w:leftChars="25" w:right="60" w:rightChars="25" w:firstLine="0"/>
              <w:rPr>
                <w:rFonts w:cs="宋体"/>
                <w:color w:val="auto"/>
                <w:szCs w:val="21"/>
                <w:highlight w:val="none"/>
                <w:lang w:val="zh-CN"/>
              </w:rPr>
            </w:pPr>
            <w:r>
              <w:rPr>
                <w:rFonts w:hint="eastAsia" w:cs="宋体"/>
                <w:color w:val="auto"/>
                <w:szCs w:val="21"/>
                <w:highlight w:val="none"/>
              </w:rPr>
              <w:t>为降低时间成本，减少不必要的干扰，四川乾新招投标代理有限公司或采购人可以不接受未按照约定时间提出的询问。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供应商质疑</w:t>
            </w:r>
          </w:p>
        </w:tc>
        <w:tc>
          <w:tcPr>
            <w:tcW w:w="7061" w:type="dxa"/>
            <w:vAlign w:val="center"/>
          </w:tcPr>
          <w:p>
            <w:pPr>
              <w:pStyle w:val="44"/>
              <w:ind w:left="60" w:leftChars="25" w:right="60" w:rightChars="25"/>
              <w:textAlignment w:val="baseline"/>
              <w:rPr>
                <w:rFonts w:cs="宋体"/>
                <w:color w:val="auto"/>
                <w:szCs w:val="21"/>
                <w:highlight w:val="none"/>
              </w:rPr>
            </w:pPr>
            <w:r>
              <w:rPr>
                <w:rFonts w:hint="eastAsia" w:cs="宋体"/>
                <w:color w:val="auto"/>
                <w:szCs w:val="21"/>
                <w:highlight w:val="none"/>
              </w:rPr>
              <w:t>1.根据委托代理协议约定，采购人负责对采购文件技术参数部分的质疑解释，四川乾新招投标代理有限公司负责答复，四川乾新招投标代理有限公司负责采购文件技术参数部分以外的质疑解释和答复。</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2.供应商提出质疑应当坚持依法依规、诚实信用原则；不得超出采购文件、采购过程、采购结果的范围，不得进行虚假、恶意质疑，不得以质疑为手段获取不当得利、实现非法目的。</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3.提出质疑函的时限要求：供应商认为采购文件、采购过程、中标或者成交结果使其权益受到损害的，</w:t>
            </w:r>
            <w:r>
              <w:rPr>
                <w:rFonts w:hint="eastAsia" w:cs="宋体"/>
                <w:b/>
                <w:bCs/>
                <w:color w:val="auto"/>
                <w:szCs w:val="21"/>
                <w:highlight w:val="none"/>
              </w:rPr>
              <w:t>可以在知道或者应知其权益受到损害之日起2日内</w:t>
            </w:r>
            <w:r>
              <w:rPr>
                <w:rFonts w:hint="eastAsia" w:cs="宋体"/>
                <w:color w:val="auto"/>
                <w:szCs w:val="21"/>
                <w:highlight w:val="none"/>
              </w:rPr>
              <w:t>，以书面形式向采购人、采购代理机构提出质疑。</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4.接收质疑函的方式：供应商在法定时间内以书面形式现场、邮寄或快递提交质疑函(①采用邮寄和快递形式提交的质疑函以采购代理机构或采购人亲自书面签收的为准；②收到质疑函后，进行质疑处理时：书面形式现场提交的以书面签收的日期为准，邮寄以寄出的邮戳日期为准，快递以受送达人在签收单上签收之日为准；③温馨提示：供应商提交质疑选择邮寄或快递形式时，请先联系采购人或采购代理机构，选择高效及时的方式。质疑供应商在质疑函签收后5个工作日内未收到质疑答复的，可主动电话询问我公司相关事宜。④针对中小企业提出的质疑将优先加快办理)。</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联系人：王朝钢</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联系电话：028-</w:t>
            </w:r>
            <w:r>
              <w:rPr>
                <w:rFonts w:hint="eastAsia" w:cs="宋体"/>
                <w:color w:val="auto"/>
                <w:szCs w:val="21"/>
                <w:highlight w:val="none"/>
                <w:lang w:val="zh-CN"/>
              </w:rPr>
              <w:t>84638556、84882960</w:t>
            </w:r>
            <w:r>
              <w:rPr>
                <w:rFonts w:hint="eastAsia" w:cs="宋体"/>
                <w:color w:val="auto"/>
                <w:szCs w:val="21"/>
                <w:highlight w:val="none"/>
              </w:rPr>
              <w:t>转663</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通讯地址：</w:t>
            </w:r>
            <w:r>
              <w:rPr>
                <w:rFonts w:hint="eastAsia" w:cs="宋体"/>
                <w:color w:val="auto"/>
                <w:szCs w:val="21"/>
                <w:highlight w:val="none"/>
                <w:lang w:val="zh-CN"/>
              </w:rPr>
              <w:t>成都市高新区吉庆三路333号蜀都中心二期一号楼一单元401号</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邮编：610041</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注：①参照《中华人民共和国政府采购法》等法律法规规定，供应商质疑应当有明确的请求和必要的证明材料，须符合《政府采购质疑和投诉办法》(财政部第94号令)规定，并使用财政部下发《质疑函》范本。</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明确的请求是指：供应商对采购文件还是对采购过程还是对中标、成交结果提出质疑；想要达到的结果，如中标成交无效、废标、重新组织采购、赔偿、追究法律责任等；</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必要的证明材料是指：包含供应商的营业执照、授权委托书(法定代表人质疑时无需提供)、委托代理人身份证明、参加采购项目的证明、权益受到损害的证明材料、证明提出质疑的事实存在的材料等。</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如因供应商提出的质疑函不符合《政府采购质疑和投诉办法》(财政部令第94号)第十二条的要求，四川乾新招投标代理有限公司或采购人将要求供应商在法定质疑期内进行质疑函补正，未进行补正或在法定质疑期内未进行补正的，其所有不利后果由供应商自行承担。</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②</w:t>
            </w:r>
            <w:r>
              <w:rPr>
                <w:rFonts w:hint="eastAsia" w:cs="宋体"/>
                <w:color w:val="auto"/>
                <w:szCs w:val="21"/>
                <w:highlight w:val="none"/>
                <w:lang w:val="zh-CN"/>
              </w:rPr>
              <w:t>供应商</w:t>
            </w:r>
            <w:r>
              <w:rPr>
                <w:rFonts w:hint="eastAsia" w:cs="宋体"/>
                <w:color w:val="auto"/>
                <w:szCs w:val="21"/>
                <w:highlight w:val="none"/>
              </w:rPr>
              <w:t>应当在法定质疑期内一次性提出针对同一采购程序环节的质疑。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lang w:val="zh-CN"/>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供应商投诉</w:t>
            </w:r>
          </w:p>
        </w:tc>
        <w:tc>
          <w:tcPr>
            <w:tcW w:w="7061" w:type="dxa"/>
          </w:tcPr>
          <w:p>
            <w:pPr>
              <w:pStyle w:val="44"/>
              <w:ind w:left="60" w:leftChars="25" w:right="60" w:rightChars="25"/>
              <w:textAlignment w:val="baseline"/>
              <w:rPr>
                <w:rFonts w:cs="宋体"/>
                <w:color w:val="auto"/>
                <w:szCs w:val="21"/>
                <w:highlight w:val="none"/>
              </w:rPr>
            </w:pPr>
            <w:r>
              <w:rPr>
                <w:rFonts w:hint="eastAsia" w:cs="宋体"/>
                <w:color w:val="auto"/>
                <w:szCs w:val="21"/>
                <w:highlight w:val="none"/>
              </w:rPr>
              <w:t>投诉受理部门：成都市技师学院纪检监察处</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联系电话：028-64907543</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地址：成都市郫都区红光街道港通北3路1899号</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邮编：611700</w:t>
            </w:r>
          </w:p>
          <w:p>
            <w:pPr>
              <w:pStyle w:val="44"/>
              <w:ind w:left="60" w:leftChars="25" w:right="60" w:rightChars="25"/>
              <w:textAlignment w:val="baseline"/>
              <w:rPr>
                <w:rFonts w:cs="宋体"/>
                <w:color w:val="auto"/>
                <w:szCs w:val="21"/>
                <w:highlight w:val="none"/>
              </w:rPr>
            </w:pPr>
            <w:r>
              <w:rPr>
                <w:rFonts w:hint="eastAsia" w:cs="宋体"/>
                <w:color w:val="auto"/>
                <w:szCs w:val="21"/>
                <w:highlight w:val="none"/>
              </w:rPr>
              <w:t>注：供应商投诉应当有明确的请求和必要的证明材料。供应商投诉的事项不得超出已质疑事项的范围，须符合《政府采购质疑和投诉办法》(财政部第94号令)规定，并使用财政部下发《投诉书》范本。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竞争性谈判费用</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无论谈判的结果如何，供应商自行承担所有与参加竞争性谈判有关的全部费用。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谈判文件</w:t>
            </w:r>
            <w:r>
              <w:rPr>
                <w:rFonts w:hint="eastAsia" w:cs="宋体"/>
                <w:color w:val="auto"/>
                <w:szCs w:val="21"/>
                <w:highlight w:val="none"/>
                <w:lang w:val="zh-CN"/>
              </w:rPr>
              <w:t>咨询</w:t>
            </w:r>
          </w:p>
        </w:tc>
        <w:tc>
          <w:tcPr>
            <w:tcW w:w="7061" w:type="dxa"/>
            <w:vAlign w:val="center"/>
          </w:tcPr>
          <w:p>
            <w:pPr>
              <w:pStyle w:val="47"/>
              <w:ind w:left="60" w:leftChars="25" w:right="60" w:rightChars="25"/>
              <w:jc w:val="left"/>
              <w:rPr>
                <w:rFonts w:cs="宋体"/>
                <w:color w:val="auto"/>
                <w:szCs w:val="21"/>
                <w:highlight w:val="none"/>
              </w:rPr>
            </w:pPr>
            <w:r>
              <w:rPr>
                <w:rFonts w:hint="eastAsia" w:cs="宋体"/>
                <w:color w:val="auto"/>
                <w:szCs w:val="21"/>
                <w:highlight w:val="none"/>
                <w:lang w:val="zh-CN"/>
              </w:rPr>
              <w:t>联系人：</w:t>
            </w:r>
            <w:r>
              <w:rPr>
                <w:rFonts w:hint="eastAsia" w:cs="宋体"/>
                <w:color w:val="auto"/>
                <w:szCs w:val="21"/>
                <w:highlight w:val="none"/>
              </w:rPr>
              <w:t>王朝钢</w:t>
            </w:r>
          </w:p>
          <w:p>
            <w:pPr>
              <w:pStyle w:val="47"/>
              <w:ind w:left="60" w:leftChars="25" w:right="60" w:rightChars="25"/>
              <w:jc w:val="left"/>
              <w:rPr>
                <w:rFonts w:cs="宋体"/>
                <w:color w:val="auto"/>
                <w:szCs w:val="21"/>
                <w:highlight w:val="none"/>
              </w:rPr>
            </w:pPr>
            <w:r>
              <w:rPr>
                <w:rFonts w:hint="eastAsia" w:cs="宋体"/>
                <w:color w:val="auto"/>
                <w:szCs w:val="21"/>
                <w:highlight w:val="none"/>
                <w:lang w:val="zh-CN"/>
              </w:rPr>
              <w:t>联系电话：</w:t>
            </w:r>
            <w:r>
              <w:rPr>
                <w:rFonts w:hint="eastAsia" w:cs="宋体"/>
                <w:color w:val="auto"/>
                <w:szCs w:val="21"/>
                <w:highlight w:val="none"/>
              </w:rPr>
              <w:t>028-</w:t>
            </w:r>
            <w:r>
              <w:rPr>
                <w:rFonts w:hint="eastAsia" w:cs="宋体"/>
                <w:color w:val="auto"/>
                <w:szCs w:val="21"/>
                <w:highlight w:val="none"/>
                <w:lang w:val="zh-CN"/>
              </w:rPr>
              <w:t>84638556、84882960</w:t>
            </w:r>
            <w:r>
              <w:rPr>
                <w:rFonts w:hint="eastAsia" w:cs="宋体"/>
                <w:color w:val="auto"/>
                <w:szCs w:val="21"/>
                <w:highlight w:val="none"/>
              </w:rPr>
              <w:t>转663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服务质量投诉电话</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rPr>
              <w:t>联系人：万方仪</w:t>
            </w:r>
          </w:p>
          <w:p>
            <w:pPr>
              <w:pStyle w:val="44"/>
              <w:ind w:left="60" w:leftChars="25" w:right="60" w:rightChars="25"/>
              <w:rPr>
                <w:rFonts w:cs="宋体"/>
                <w:color w:val="auto"/>
                <w:szCs w:val="21"/>
                <w:highlight w:val="none"/>
              </w:rPr>
            </w:pPr>
            <w:r>
              <w:rPr>
                <w:rFonts w:hint="eastAsia" w:cs="宋体"/>
                <w:color w:val="auto"/>
                <w:szCs w:val="21"/>
                <w:highlight w:val="none"/>
              </w:rPr>
              <w:t>联系电话：028-61375575、62600820、62630990转603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lang w:val="zh-CN"/>
              </w:rPr>
              <w:t>声明承诺提醒</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lang w:val="zh-CN"/>
              </w:rPr>
              <w:t>供应商响应文件中提供的各种声明和承诺应当真实有效，无效声明和承诺、虚假声明和承诺将由供应商</w:t>
            </w:r>
            <w:r>
              <w:rPr>
                <w:rFonts w:hint="eastAsia" w:cs="宋体"/>
                <w:color w:val="auto"/>
                <w:szCs w:val="21"/>
                <w:highlight w:val="none"/>
              </w:rPr>
              <w:t>自行</w:t>
            </w:r>
            <w:r>
              <w:rPr>
                <w:rFonts w:hint="eastAsia" w:cs="宋体"/>
                <w:color w:val="auto"/>
                <w:szCs w:val="21"/>
                <w:highlight w:val="none"/>
                <w:lang w:val="zh-CN"/>
              </w:rPr>
              <w:t>承担由此带来的</w:t>
            </w:r>
            <w:r>
              <w:rPr>
                <w:rFonts w:hint="eastAsia" w:cs="宋体"/>
                <w:color w:val="auto"/>
                <w:szCs w:val="21"/>
                <w:highlight w:val="none"/>
              </w:rPr>
              <w:t>一切</w:t>
            </w:r>
            <w:r>
              <w:rPr>
                <w:rFonts w:hint="eastAsia" w:cs="宋体"/>
                <w:color w:val="auto"/>
                <w:szCs w:val="21"/>
                <w:highlight w:val="none"/>
                <w:lang w:val="zh-CN"/>
              </w:rPr>
              <w:t>不利后果，</w:t>
            </w:r>
            <w:r>
              <w:rPr>
                <w:rFonts w:hint="eastAsia" w:cs="宋体"/>
                <w:color w:val="auto"/>
                <w:szCs w:val="21"/>
                <w:highlight w:val="none"/>
              </w:rPr>
              <w:t>采购代理机构</w:t>
            </w:r>
            <w:r>
              <w:rPr>
                <w:rFonts w:hint="eastAsia" w:cs="宋体"/>
                <w:color w:val="auto"/>
                <w:szCs w:val="21"/>
                <w:highlight w:val="none"/>
                <w:lang w:val="zh-CN"/>
              </w:rPr>
              <w:t>还将报告监管部门追究</w:t>
            </w:r>
            <w:r>
              <w:rPr>
                <w:rFonts w:hint="eastAsia" w:cs="宋体"/>
                <w:color w:val="auto"/>
                <w:szCs w:val="21"/>
                <w:highlight w:val="none"/>
              </w:rPr>
              <w:t>其</w:t>
            </w:r>
            <w:r>
              <w:rPr>
                <w:rFonts w:hint="eastAsia" w:cs="宋体"/>
                <w:color w:val="auto"/>
                <w:szCs w:val="21"/>
                <w:highlight w:val="none"/>
                <w:lang w:val="zh-CN"/>
              </w:rPr>
              <w:t>法律责任。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numPr>
                <w:ilvl w:val="0"/>
                <w:numId w:val="9"/>
              </w:numPr>
              <w:ind w:left="60" w:leftChars="25" w:right="60" w:rightChars="25"/>
              <w:rPr>
                <w:rFonts w:cs="宋体"/>
                <w:color w:val="auto"/>
                <w:szCs w:val="21"/>
                <w:highlight w:val="none"/>
              </w:rPr>
            </w:pP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备注</w:t>
            </w:r>
          </w:p>
        </w:tc>
        <w:tc>
          <w:tcPr>
            <w:tcW w:w="7061" w:type="dxa"/>
            <w:vAlign w:val="center"/>
          </w:tcPr>
          <w:p>
            <w:pPr>
              <w:pStyle w:val="44"/>
              <w:ind w:left="60" w:leftChars="25" w:right="60" w:rightChars="25"/>
              <w:rPr>
                <w:rFonts w:cs="宋体"/>
                <w:color w:val="auto"/>
                <w:szCs w:val="21"/>
                <w:highlight w:val="none"/>
              </w:rPr>
            </w:pPr>
            <w:r>
              <w:rPr>
                <w:rFonts w:hint="eastAsia" w:cs="宋体"/>
                <w:color w:val="auto"/>
                <w:szCs w:val="21"/>
                <w:highlight w:val="none"/>
                <w:lang w:val="zh-CN"/>
              </w:rPr>
              <w:t>若竞争性谈判文件中其他内容与谈判须知前附表内容不一致的，以谈判须知前附表为准。</w:t>
            </w:r>
          </w:p>
        </w:tc>
      </w:tr>
    </w:tbl>
    <w:p>
      <w:pPr>
        <w:rPr>
          <w:color w:val="auto"/>
          <w:highlight w:val="none"/>
        </w:rPr>
      </w:pPr>
      <w:r>
        <w:rPr>
          <w:rFonts w:hint="eastAsia"/>
          <w:color w:val="auto"/>
          <w:highlight w:val="none"/>
        </w:rPr>
        <w:br w:type="page"/>
      </w:r>
    </w:p>
    <w:p>
      <w:pPr>
        <w:pStyle w:val="37"/>
        <w:spacing w:before="120" w:beforeLines="50" w:after="120" w:afterLines="50"/>
        <w:ind w:firstLine="0" w:firstLineChars="0"/>
        <w:jc w:val="center"/>
        <w:rPr>
          <w:rFonts w:asciiTheme="minorEastAsia" w:hAnsiTheme="minorEastAsia" w:eastAsiaTheme="minorEastAsia" w:cstheme="minorEastAsia"/>
          <w:color w:val="auto"/>
          <w:sz w:val="32"/>
          <w:szCs w:val="32"/>
          <w:highlight w:val="none"/>
        </w:rPr>
      </w:pPr>
      <w:bookmarkStart w:id="17" w:name="_Toc7391"/>
      <w:bookmarkStart w:id="18" w:name="_Toc22159"/>
      <w:r>
        <w:rPr>
          <w:rFonts w:hint="eastAsia" w:asciiTheme="minorEastAsia" w:hAnsiTheme="minorEastAsia" w:eastAsiaTheme="minorEastAsia" w:cstheme="minorEastAsia"/>
          <w:color w:val="auto"/>
          <w:sz w:val="32"/>
          <w:szCs w:val="32"/>
          <w:highlight w:val="none"/>
        </w:rPr>
        <w:t>总则</w:t>
      </w:r>
      <w:bookmarkEnd w:id="17"/>
      <w:bookmarkEnd w:id="18"/>
    </w:p>
    <w:tbl>
      <w:tblPr>
        <w:tblStyle w:val="24"/>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2020"/>
        <w:gridCol w:w="70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622" w:type="dxa"/>
            <w:vAlign w:val="center"/>
          </w:tcPr>
          <w:p>
            <w:pPr>
              <w:pStyle w:val="47"/>
              <w:ind w:left="60" w:leftChars="25" w:right="60" w:rightChars="25"/>
              <w:rPr>
                <w:rFonts w:cs="宋体"/>
                <w:color w:val="auto"/>
                <w:szCs w:val="21"/>
                <w:highlight w:val="none"/>
              </w:rPr>
            </w:pPr>
            <w:r>
              <w:rPr>
                <w:rFonts w:hint="eastAsia" w:cs="宋体"/>
                <w:b/>
                <w:bCs/>
                <w:color w:val="auto"/>
                <w:szCs w:val="21"/>
                <w:highlight w:val="none"/>
                <w:lang w:val="zh-CN"/>
              </w:rPr>
              <w:t>序号</w:t>
            </w:r>
          </w:p>
        </w:tc>
        <w:tc>
          <w:tcPr>
            <w:tcW w:w="2020" w:type="dxa"/>
            <w:vAlign w:val="center"/>
          </w:tcPr>
          <w:p>
            <w:pPr>
              <w:pStyle w:val="47"/>
              <w:ind w:left="60" w:leftChars="25" w:right="60" w:rightChars="25"/>
              <w:rPr>
                <w:rFonts w:cs="宋体"/>
                <w:color w:val="auto"/>
                <w:szCs w:val="21"/>
                <w:highlight w:val="none"/>
                <w:lang w:val="zh-CN"/>
              </w:rPr>
            </w:pPr>
            <w:r>
              <w:rPr>
                <w:rFonts w:hint="eastAsia" w:cs="宋体"/>
                <w:b/>
                <w:bCs/>
                <w:color w:val="auto"/>
                <w:szCs w:val="21"/>
                <w:highlight w:val="none"/>
                <w:lang w:val="zh-CN"/>
              </w:rPr>
              <w:t>事项</w:t>
            </w:r>
          </w:p>
        </w:tc>
        <w:tc>
          <w:tcPr>
            <w:tcW w:w="7061" w:type="dxa"/>
            <w:vAlign w:val="center"/>
          </w:tcPr>
          <w:p>
            <w:pPr>
              <w:pStyle w:val="47"/>
              <w:ind w:left="60" w:leftChars="25" w:right="60" w:rightChars="25"/>
              <w:rPr>
                <w:rFonts w:cs="宋体"/>
                <w:color w:val="auto"/>
                <w:szCs w:val="21"/>
                <w:highlight w:val="none"/>
                <w:lang w:val="zh-CN"/>
              </w:rPr>
            </w:pPr>
            <w:r>
              <w:rPr>
                <w:rFonts w:hint="eastAsia" w:cs="宋体"/>
                <w:b/>
                <w:bCs/>
                <w:color w:val="auto"/>
                <w:szCs w:val="21"/>
                <w:highlight w:val="none"/>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1</w:t>
            </w:r>
          </w:p>
        </w:tc>
        <w:tc>
          <w:tcPr>
            <w:tcW w:w="2020" w:type="dxa"/>
            <w:vAlign w:val="center"/>
          </w:tcPr>
          <w:p>
            <w:pPr>
              <w:pStyle w:val="47"/>
              <w:ind w:left="60" w:leftChars="25" w:right="60" w:rightChars="25"/>
              <w:rPr>
                <w:rFonts w:cs="宋体"/>
                <w:color w:val="auto"/>
                <w:szCs w:val="21"/>
                <w:highlight w:val="none"/>
                <w:lang w:val="zh-CN"/>
              </w:rPr>
            </w:pPr>
            <w:r>
              <w:rPr>
                <w:rFonts w:hint="eastAsia" w:cs="宋体"/>
                <w:color w:val="auto"/>
                <w:szCs w:val="21"/>
                <w:highlight w:val="none"/>
                <w:lang w:val="zh-CN"/>
              </w:rPr>
              <w:t>适用范围</w:t>
            </w:r>
          </w:p>
        </w:tc>
        <w:tc>
          <w:tcPr>
            <w:tcW w:w="7061" w:type="dxa"/>
            <w:vAlign w:val="center"/>
          </w:tcPr>
          <w:p>
            <w:pPr>
              <w:pStyle w:val="44"/>
              <w:numPr>
                <w:ilvl w:val="0"/>
                <w:numId w:val="15"/>
              </w:numPr>
              <w:ind w:left="60" w:leftChars="25" w:right="60" w:rightChars="25" w:firstLine="0"/>
              <w:rPr>
                <w:rFonts w:cs="宋体"/>
                <w:color w:val="auto"/>
                <w:szCs w:val="21"/>
                <w:highlight w:val="none"/>
              </w:rPr>
            </w:pPr>
            <w:r>
              <w:rPr>
                <w:rFonts w:hint="eastAsia" w:cs="宋体"/>
                <w:color w:val="auto"/>
                <w:szCs w:val="21"/>
                <w:highlight w:val="none"/>
                <w:lang w:val="zh-CN"/>
              </w:rPr>
              <w:t>本竞争性谈判文件(亦</w:t>
            </w:r>
            <w:r>
              <w:rPr>
                <w:rFonts w:hint="eastAsia" w:cs="宋体"/>
                <w:color w:val="auto"/>
                <w:szCs w:val="21"/>
                <w:highlight w:val="none"/>
              </w:rPr>
              <w:t>简称“谈判文件”或“采购文件”</w:t>
            </w:r>
            <w:r>
              <w:rPr>
                <w:rFonts w:hint="eastAsia" w:cs="宋体"/>
                <w:color w:val="auto"/>
                <w:szCs w:val="21"/>
                <w:highlight w:val="none"/>
                <w:lang w:val="zh-CN"/>
              </w:rPr>
              <w:t>)仅适用于</w:t>
            </w:r>
            <w:r>
              <w:rPr>
                <w:rFonts w:hint="eastAsia" w:cs="宋体"/>
                <w:color w:val="auto"/>
                <w:szCs w:val="21"/>
                <w:highlight w:val="none"/>
              </w:rPr>
              <w:t>本次谈判</w:t>
            </w:r>
            <w:r>
              <w:rPr>
                <w:rFonts w:hint="eastAsia" w:cs="宋体"/>
                <w:color w:val="auto"/>
                <w:szCs w:val="21"/>
                <w:highlight w:val="none"/>
                <w:lang w:val="zh-CN"/>
              </w:rPr>
              <w:t>采购</w:t>
            </w:r>
            <w:r>
              <w:rPr>
                <w:rFonts w:hint="eastAsia" w:cs="宋体"/>
                <w:color w:val="auto"/>
                <w:szCs w:val="21"/>
                <w:highlight w:val="none"/>
              </w:rPr>
              <w:t>项目。</w:t>
            </w:r>
          </w:p>
          <w:p>
            <w:pPr>
              <w:pStyle w:val="44"/>
              <w:numPr>
                <w:ilvl w:val="0"/>
                <w:numId w:val="15"/>
              </w:numPr>
              <w:ind w:left="60" w:leftChars="25" w:right="60" w:rightChars="25" w:firstLine="0"/>
              <w:rPr>
                <w:rFonts w:cs="宋体"/>
                <w:color w:val="auto"/>
                <w:szCs w:val="21"/>
                <w:highlight w:val="none"/>
                <w:lang w:val="zh-CN"/>
              </w:rPr>
            </w:pPr>
            <w:r>
              <w:rPr>
                <w:rFonts w:hint="eastAsia" w:cs="宋体"/>
                <w:color w:val="auto"/>
                <w:szCs w:val="21"/>
                <w:highlight w:val="none"/>
                <w:lang w:val="zh-CN"/>
              </w:rPr>
              <w:t>本竞争性谈判文件中的</w:t>
            </w:r>
            <w:r>
              <w:rPr>
                <w:rFonts w:hint="eastAsia" w:cs="宋体"/>
                <w:color w:val="auto"/>
                <w:szCs w:val="21"/>
                <w:highlight w:val="none"/>
              </w:rPr>
              <w:t>响应文件</w:t>
            </w:r>
            <w:r>
              <w:rPr>
                <w:rFonts w:hint="eastAsia" w:cs="宋体"/>
                <w:color w:val="auto"/>
                <w:szCs w:val="21"/>
                <w:highlight w:val="none"/>
                <w:lang w:val="zh-CN"/>
              </w:rPr>
              <w:t>，仅适用于本采购项目。</w:t>
            </w:r>
          </w:p>
          <w:p>
            <w:pPr>
              <w:pStyle w:val="44"/>
              <w:numPr>
                <w:ilvl w:val="0"/>
                <w:numId w:val="15"/>
              </w:numPr>
              <w:ind w:left="60" w:leftChars="25" w:right="60" w:rightChars="25" w:firstLine="0"/>
              <w:rPr>
                <w:rFonts w:cs="宋体"/>
                <w:color w:val="auto"/>
                <w:szCs w:val="21"/>
                <w:highlight w:val="none"/>
                <w:lang w:val="zh-CN"/>
              </w:rPr>
            </w:pPr>
            <w:r>
              <w:rPr>
                <w:rFonts w:hint="eastAsia" w:cs="宋体"/>
                <w:color w:val="auto"/>
                <w:szCs w:val="21"/>
                <w:highlight w:val="none"/>
                <w:lang w:val="zh-CN"/>
              </w:rPr>
              <w:t>本竞争性谈判文件中的</w:t>
            </w:r>
            <w:r>
              <w:rPr>
                <w:rFonts w:hint="eastAsia" w:cs="宋体"/>
                <w:color w:val="auto"/>
                <w:szCs w:val="21"/>
                <w:highlight w:val="none"/>
              </w:rPr>
              <w:t>谈判小组</w:t>
            </w:r>
            <w:r>
              <w:rPr>
                <w:rFonts w:hint="eastAsia" w:cs="宋体"/>
                <w:color w:val="auto"/>
                <w:szCs w:val="21"/>
                <w:highlight w:val="none"/>
                <w:lang w:val="zh-CN"/>
              </w:rPr>
              <w:t>(亦可称为“评审委员会”)，仅适用于本采购项目。</w:t>
            </w:r>
          </w:p>
          <w:p>
            <w:pPr>
              <w:pStyle w:val="44"/>
              <w:numPr>
                <w:ilvl w:val="0"/>
                <w:numId w:val="15"/>
              </w:numPr>
              <w:ind w:left="60" w:leftChars="25" w:right="60" w:rightChars="25" w:firstLine="0"/>
              <w:rPr>
                <w:rFonts w:cs="宋体"/>
                <w:color w:val="auto"/>
                <w:szCs w:val="21"/>
                <w:highlight w:val="none"/>
              </w:rPr>
            </w:pPr>
            <w:r>
              <w:rPr>
                <w:rFonts w:hint="eastAsia" w:cs="宋体"/>
                <w:color w:val="auto"/>
                <w:szCs w:val="21"/>
                <w:highlight w:val="none"/>
                <w:lang w:val="zh-CN"/>
              </w:rPr>
              <w:t>本</w:t>
            </w:r>
            <w:r>
              <w:rPr>
                <w:rFonts w:hint="eastAsia" w:cs="宋体"/>
                <w:color w:val="auto"/>
                <w:szCs w:val="21"/>
                <w:highlight w:val="none"/>
              </w:rPr>
              <w:t>谈判文件</w:t>
            </w:r>
            <w:r>
              <w:rPr>
                <w:rFonts w:hint="eastAsia" w:cs="宋体"/>
                <w:color w:val="auto"/>
                <w:szCs w:val="21"/>
                <w:highlight w:val="none"/>
                <w:lang w:val="zh-CN"/>
              </w:rPr>
              <w:t>的解释权归采购人和采购代理机构所有。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2</w:t>
            </w: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采购主体</w:t>
            </w:r>
          </w:p>
        </w:tc>
        <w:tc>
          <w:tcPr>
            <w:tcW w:w="7061" w:type="dxa"/>
            <w:vAlign w:val="center"/>
          </w:tcPr>
          <w:p>
            <w:pPr>
              <w:pStyle w:val="44"/>
              <w:numPr>
                <w:ilvl w:val="0"/>
                <w:numId w:val="16"/>
              </w:numPr>
              <w:ind w:left="60" w:leftChars="25" w:right="60" w:rightChars="25" w:firstLine="0"/>
              <w:rPr>
                <w:rFonts w:cs="宋体"/>
                <w:color w:val="auto"/>
                <w:szCs w:val="21"/>
                <w:highlight w:val="none"/>
              </w:rPr>
            </w:pPr>
            <w:r>
              <w:rPr>
                <w:rFonts w:hint="eastAsia" w:cs="宋体"/>
                <w:color w:val="auto"/>
                <w:szCs w:val="21"/>
                <w:highlight w:val="none"/>
              </w:rPr>
              <w:t>“采购人”系指成都市技师学院。</w:t>
            </w:r>
          </w:p>
          <w:p>
            <w:pPr>
              <w:pStyle w:val="44"/>
              <w:numPr>
                <w:ilvl w:val="0"/>
                <w:numId w:val="16"/>
              </w:numPr>
              <w:ind w:left="60" w:leftChars="25" w:right="60" w:rightChars="25" w:firstLine="0"/>
              <w:rPr>
                <w:rFonts w:cs="宋体"/>
                <w:color w:val="auto"/>
                <w:szCs w:val="21"/>
                <w:highlight w:val="none"/>
              </w:rPr>
            </w:pPr>
            <w:r>
              <w:rPr>
                <w:rFonts w:hint="eastAsia" w:cs="宋体"/>
                <w:color w:val="auto"/>
                <w:szCs w:val="21"/>
                <w:highlight w:val="none"/>
              </w:rPr>
              <w:t>“供应商”系指获取了竞争性谈判文件拟参加谈判和向采购人提供相应服务的法人、其他组织或者自然人。</w:t>
            </w:r>
          </w:p>
          <w:p>
            <w:pPr>
              <w:pStyle w:val="44"/>
              <w:numPr>
                <w:ilvl w:val="0"/>
                <w:numId w:val="16"/>
              </w:numPr>
              <w:ind w:left="60" w:leftChars="25" w:right="60" w:rightChars="25" w:firstLine="0"/>
              <w:rPr>
                <w:rFonts w:cs="宋体"/>
                <w:color w:val="auto"/>
                <w:szCs w:val="21"/>
                <w:highlight w:val="none"/>
              </w:rPr>
            </w:pPr>
            <w:r>
              <w:rPr>
                <w:rFonts w:hint="eastAsia" w:cs="宋体"/>
                <w:color w:val="auto"/>
                <w:szCs w:val="21"/>
                <w:highlight w:val="none"/>
              </w:rPr>
              <w:t>“采购代理机构”系指根据采购人的委托依法办理采购事宜的采购机构。本次竞争性谈判的采购代理机构是四川乾新招投标代理有限公司。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3</w:t>
            </w: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合格供应商条件</w:t>
            </w:r>
          </w:p>
          <w:p>
            <w:pPr>
              <w:pStyle w:val="47"/>
              <w:ind w:left="60" w:leftChars="25" w:right="60" w:rightChars="25"/>
              <w:rPr>
                <w:rFonts w:cs="宋体"/>
                <w:color w:val="auto"/>
                <w:szCs w:val="21"/>
                <w:highlight w:val="none"/>
              </w:rPr>
            </w:pPr>
            <w:r>
              <w:rPr>
                <w:rFonts w:hint="eastAsia" w:cs="宋体"/>
                <w:color w:val="auto"/>
                <w:szCs w:val="21"/>
                <w:highlight w:val="none"/>
              </w:rPr>
              <w:t>(实质性要求)</w:t>
            </w:r>
          </w:p>
        </w:tc>
        <w:tc>
          <w:tcPr>
            <w:tcW w:w="7061" w:type="dxa"/>
            <w:vAlign w:val="center"/>
          </w:tcPr>
          <w:p>
            <w:pPr>
              <w:pStyle w:val="44"/>
              <w:numPr>
                <w:ilvl w:val="0"/>
                <w:numId w:val="17"/>
              </w:numPr>
              <w:ind w:left="60" w:leftChars="25" w:right="60" w:rightChars="25" w:firstLine="0"/>
              <w:rPr>
                <w:rFonts w:cs="宋体"/>
                <w:color w:val="auto"/>
                <w:szCs w:val="21"/>
                <w:highlight w:val="none"/>
              </w:rPr>
            </w:pPr>
            <w:r>
              <w:rPr>
                <w:rFonts w:hint="eastAsia" w:cs="宋体"/>
                <w:color w:val="auto"/>
                <w:szCs w:val="21"/>
                <w:highlight w:val="none"/>
              </w:rPr>
              <w:t>不属于禁止参加本项目采购活动的供应商。</w:t>
            </w:r>
          </w:p>
          <w:p>
            <w:pPr>
              <w:pStyle w:val="44"/>
              <w:numPr>
                <w:ilvl w:val="0"/>
                <w:numId w:val="18"/>
              </w:numPr>
              <w:ind w:left="60" w:leftChars="25" w:right="60" w:rightChars="25" w:firstLine="0"/>
              <w:rPr>
                <w:rFonts w:cs="宋体"/>
                <w:color w:val="auto"/>
                <w:szCs w:val="21"/>
                <w:highlight w:val="none"/>
              </w:rPr>
            </w:pPr>
            <w:r>
              <w:rPr>
                <w:rFonts w:hint="eastAsia" w:cs="宋体"/>
                <w:color w:val="auto"/>
                <w:szCs w:val="21"/>
                <w:highlight w:val="none"/>
              </w:rPr>
              <w:t>遵守国家有关的法律、法规、规章和其他政策制度。</w:t>
            </w:r>
          </w:p>
          <w:p>
            <w:pPr>
              <w:pStyle w:val="44"/>
              <w:numPr>
                <w:ilvl w:val="0"/>
                <w:numId w:val="18"/>
              </w:numPr>
              <w:ind w:left="60" w:leftChars="25" w:right="60" w:rightChars="25" w:firstLine="0"/>
              <w:rPr>
                <w:rFonts w:cs="宋体"/>
                <w:color w:val="auto"/>
                <w:szCs w:val="21"/>
                <w:highlight w:val="none"/>
              </w:rPr>
            </w:pPr>
            <w:r>
              <w:rPr>
                <w:rFonts w:hint="eastAsia" w:cs="宋体"/>
                <w:color w:val="auto"/>
                <w:szCs w:val="21"/>
                <w:highlight w:val="none"/>
              </w:rPr>
              <w:t>依法获取了采购文件。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4</w:t>
            </w: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充分、公平竞争保障</w:t>
            </w:r>
          </w:p>
          <w:p>
            <w:pPr>
              <w:pStyle w:val="47"/>
              <w:ind w:left="60" w:leftChars="25" w:right="60" w:rightChars="25"/>
              <w:rPr>
                <w:rFonts w:cs="宋体"/>
                <w:color w:val="auto"/>
                <w:szCs w:val="21"/>
                <w:highlight w:val="none"/>
              </w:rPr>
            </w:pPr>
            <w:r>
              <w:rPr>
                <w:rFonts w:hint="eastAsia" w:cs="宋体"/>
                <w:color w:val="auto"/>
                <w:szCs w:val="21"/>
                <w:highlight w:val="none"/>
              </w:rPr>
              <w:t>措施</w:t>
            </w:r>
          </w:p>
          <w:p>
            <w:pPr>
              <w:pStyle w:val="47"/>
              <w:ind w:left="60" w:leftChars="25" w:right="60" w:rightChars="25"/>
              <w:rPr>
                <w:rFonts w:cs="宋体"/>
                <w:color w:val="auto"/>
                <w:szCs w:val="21"/>
                <w:highlight w:val="none"/>
              </w:rPr>
            </w:pPr>
            <w:r>
              <w:rPr>
                <w:rFonts w:hint="eastAsia" w:cs="宋体"/>
                <w:color w:val="auto"/>
                <w:szCs w:val="21"/>
                <w:highlight w:val="none"/>
              </w:rPr>
              <w:t>(实质性要求)</w:t>
            </w:r>
          </w:p>
          <w:p>
            <w:pPr>
              <w:pStyle w:val="47"/>
              <w:ind w:left="60" w:leftChars="25" w:right="60" w:rightChars="25"/>
              <w:rPr>
                <w:rFonts w:cs="宋体"/>
                <w:color w:val="auto"/>
                <w:szCs w:val="21"/>
                <w:highlight w:val="none"/>
              </w:rPr>
            </w:pPr>
          </w:p>
        </w:tc>
        <w:tc>
          <w:tcPr>
            <w:tcW w:w="7061" w:type="dxa"/>
            <w:vAlign w:val="center"/>
          </w:tcPr>
          <w:p>
            <w:pPr>
              <w:pStyle w:val="44"/>
              <w:numPr>
                <w:ilvl w:val="0"/>
                <w:numId w:val="19"/>
              </w:numPr>
              <w:ind w:left="60" w:leftChars="25" w:right="60" w:rightChars="25" w:firstLine="0"/>
              <w:rPr>
                <w:rFonts w:cs="宋体"/>
                <w:color w:val="auto"/>
                <w:szCs w:val="21"/>
                <w:highlight w:val="none"/>
              </w:rPr>
            </w:pPr>
            <w:r>
              <w:rPr>
                <w:rFonts w:hint="eastAsia" w:cs="宋体"/>
                <w:color w:val="auto"/>
                <w:szCs w:val="21"/>
                <w:highlight w:val="none"/>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无效处理。</w:t>
            </w:r>
          </w:p>
          <w:p>
            <w:pPr>
              <w:pStyle w:val="44"/>
              <w:numPr>
                <w:ilvl w:val="0"/>
                <w:numId w:val="19"/>
              </w:numPr>
              <w:ind w:left="60" w:leftChars="25" w:right="60" w:rightChars="25" w:firstLine="0"/>
              <w:rPr>
                <w:rFonts w:cs="宋体"/>
                <w:color w:val="auto"/>
                <w:szCs w:val="21"/>
                <w:highlight w:val="none"/>
              </w:rPr>
            </w:pPr>
            <w:r>
              <w:rPr>
                <w:rFonts w:hint="eastAsia" w:cs="宋体"/>
                <w:color w:val="auto"/>
                <w:szCs w:val="21"/>
                <w:highlight w:val="none"/>
              </w:rPr>
              <w:t>利害关系供应商处理。单位负责人为同一人或者存在直接控股、管理关系的不同供应商不得参加同一合同项下的采购活动。</w:t>
            </w:r>
          </w:p>
          <w:p>
            <w:pPr>
              <w:pStyle w:val="44"/>
              <w:numPr>
                <w:ilvl w:val="0"/>
                <w:numId w:val="19"/>
              </w:numPr>
              <w:ind w:left="60" w:leftChars="25" w:right="60" w:rightChars="25" w:firstLine="0"/>
              <w:rPr>
                <w:rFonts w:cs="宋体"/>
                <w:color w:val="auto"/>
                <w:szCs w:val="21"/>
                <w:highlight w:val="none"/>
              </w:rPr>
            </w:pPr>
            <w:r>
              <w:rPr>
                <w:rFonts w:hint="eastAsia" w:cs="宋体"/>
                <w:color w:val="auto"/>
                <w:szCs w:val="21"/>
                <w:highlight w:val="none"/>
              </w:rPr>
              <w:t>前期参与供应商处理。为采购项目提供整体设计、规范编制或者项目管理、监理、检测等服务的供应商，不得再参加该采购项目的其他采购活动。供应商为采购人、采购代理机构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pPr>
              <w:pStyle w:val="44"/>
              <w:ind w:left="60" w:leftChars="25" w:right="60" w:rightChars="25"/>
              <w:rPr>
                <w:rFonts w:cs="宋体"/>
                <w:b/>
                <w:bCs/>
                <w:color w:val="auto"/>
                <w:szCs w:val="21"/>
                <w:highlight w:val="none"/>
              </w:rPr>
            </w:pPr>
            <w:r>
              <w:rPr>
                <w:rFonts w:hint="eastAsia" w:cs="宋体"/>
                <w:b/>
                <w:bCs/>
                <w:color w:val="auto"/>
                <w:szCs w:val="21"/>
                <w:highlight w:val="none"/>
              </w:rPr>
              <w:t>注：本项目符合本条规定的供应商是：成都立行建设工程项目管理有限责任公司；四川永以恒建筑工程有限公司；四川投众建设工程有限公司。</w:t>
            </w:r>
          </w:p>
          <w:p>
            <w:pPr>
              <w:pStyle w:val="44"/>
              <w:numPr>
                <w:ilvl w:val="0"/>
                <w:numId w:val="19"/>
              </w:numPr>
              <w:ind w:left="60" w:leftChars="25" w:right="60" w:rightChars="25" w:firstLine="0"/>
              <w:rPr>
                <w:rFonts w:cs="宋体"/>
                <w:color w:val="auto"/>
                <w:szCs w:val="21"/>
                <w:highlight w:val="none"/>
              </w:rPr>
            </w:pPr>
            <w:r>
              <w:rPr>
                <w:rFonts w:hint="eastAsia" w:cs="宋体"/>
                <w:color w:val="auto"/>
                <w:szCs w:val="21"/>
                <w:highlight w:val="none"/>
              </w:rPr>
              <w:t>利害关系代理人处理。2家以上的供应商不得在同一合同项下的采购项目中，同时委托同一个自然人、同一家庭的人员、同一单位的人员作为其代理人，否则，其响应文件作为无效处理。</w:t>
            </w:r>
          </w:p>
          <w:p>
            <w:pPr>
              <w:pStyle w:val="44"/>
              <w:numPr>
                <w:ilvl w:val="0"/>
                <w:numId w:val="19"/>
              </w:numPr>
              <w:ind w:left="60" w:leftChars="25" w:right="60" w:rightChars="25" w:firstLine="0"/>
              <w:rPr>
                <w:rFonts w:cs="宋体"/>
                <w:color w:val="auto"/>
                <w:szCs w:val="21"/>
                <w:highlight w:val="none"/>
              </w:rPr>
            </w:pPr>
            <w:r>
              <w:rPr>
                <w:rFonts w:hint="eastAsia" w:cs="宋体"/>
                <w:color w:val="auto"/>
                <w:szCs w:val="21"/>
                <w:highlight w:val="none"/>
              </w:rPr>
              <w:t>供应商实际控制人或者中高级管理人员，同时是采购代理机构工作人员，不得参与本项目采购活动。</w:t>
            </w:r>
          </w:p>
          <w:p>
            <w:pPr>
              <w:pStyle w:val="44"/>
              <w:numPr>
                <w:ilvl w:val="0"/>
                <w:numId w:val="19"/>
              </w:numPr>
              <w:ind w:left="60" w:leftChars="25" w:right="60" w:rightChars="25" w:firstLine="0"/>
              <w:rPr>
                <w:rFonts w:cs="宋体"/>
                <w:color w:val="auto"/>
                <w:szCs w:val="21"/>
                <w:highlight w:val="none"/>
              </w:rPr>
            </w:pPr>
            <w:r>
              <w:rPr>
                <w:rFonts w:hint="eastAsia" w:cs="宋体"/>
                <w:color w:val="auto"/>
                <w:szCs w:val="21"/>
                <w:highlight w:val="none"/>
              </w:rPr>
              <w:t>同一母公司的两家以上的子公司只能组成联合体参加本项目同一合同项下的采购活动，不得以不同供应商身份同时参加本项目同一合同项下的采购活动。</w:t>
            </w:r>
          </w:p>
          <w:p>
            <w:pPr>
              <w:pStyle w:val="44"/>
              <w:numPr>
                <w:ilvl w:val="0"/>
                <w:numId w:val="19"/>
              </w:numPr>
              <w:ind w:left="60" w:leftChars="25" w:right="60" w:rightChars="25" w:firstLine="0"/>
              <w:rPr>
                <w:rFonts w:cs="宋体"/>
                <w:color w:val="auto"/>
                <w:szCs w:val="21"/>
                <w:highlight w:val="none"/>
              </w:rPr>
            </w:pPr>
            <w:r>
              <w:rPr>
                <w:rFonts w:hint="eastAsia" w:cs="宋体"/>
                <w:color w:val="auto"/>
                <w:szCs w:val="21"/>
                <w:highlight w:val="none"/>
              </w:rPr>
              <w:t>供应商与采购代理机构存在关联关系，或者是采购代理机构的母公司或子公司，不得参加本项目采购活动。</w:t>
            </w:r>
          </w:p>
          <w:p>
            <w:pPr>
              <w:pStyle w:val="44"/>
              <w:numPr>
                <w:ilvl w:val="0"/>
                <w:numId w:val="19"/>
              </w:numPr>
              <w:ind w:left="60" w:leftChars="25" w:right="60" w:rightChars="25" w:firstLine="0"/>
              <w:rPr>
                <w:rFonts w:cs="宋体"/>
                <w:color w:val="auto"/>
                <w:szCs w:val="21"/>
                <w:highlight w:val="none"/>
              </w:rPr>
            </w:pPr>
            <w:r>
              <w:rPr>
                <w:rFonts w:hint="eastAsia" w:cs="宋体"/>
                <w:color w:val="auto"/>
                <w:szCs w:val="21"/>
                <w:highlight w:val="none"/>
              </w:rPr>
              <w:t>回避。采购活动中，采购人员及相关人员与供应商有下列利害关系之一的，应当回避：</w:t>
            </w:r>
          </w:p>
          <w:p>
            <w:pPr>
              <w:pStyle w:val="44"/>
              <w:numPr>
                <w:ilvl w:val="0"/>
                <w:numId w:val="20"/>
              </w:numPr>
              <w:ind w:left="60" w:leftChars="25" w:right="60" w:rightChars="25" w:firstLine="0"/>
              <w:rPr>
                <w:rFonts w:cs="宋体"/>
                <w:color w:val="auto"/>
                <w:szCs w:val="21"/>
                <w:highlight w:val="none"/>
              </w:rPr>
            </w:pPr>
            <w:r>
              <w:rPr>
                <w:rFonts w:hint="eastAsia" w:cs="宋体"/>
                <w:color w:val="auto"/>
                <w:szCs w:val="21"/>
                <w:highlight w:val="none"/>
              </w:rPr>
              <w:t>参加采购活动前3年内与供应商存在劳动关系；</w:t>
            </w:r>
          </w:p>
          <w:p>
            <w:pPr>
              <w:pStyle w:val="44"/>
              <w:numPr>
                <w:ilvl w:val="0"/>
                <w:numId w:val="20"/>
              </w:numPr>
              <w:ind w:left="60" w:leftChars="25" w:right="60" w:rightChars="25" w:firstLine="0"/>
              <w:rPr>
                <w:rFonts w:cs="宋体"/>
                <w:color w:val="auto"/>
                <w:szCs w:val="21"/>
                <w:highlight w:val="none"/>
              </w:rPr>
            </w:pPr>
            <w:r>
              <w:rPr>
                <w:rFonts w:hint="eastAsia" w:cs="宋体"/>
                <w:color w:val="auto"/>
                <w:szCs w:val="21"/>
                <w:highlight w:val="none"/>
              </w:rPr>
              <w:t>参加采购活动前3年内担任供应商的董事、监事；</w:t>
            </w:r>
          </w:p>
          <w:p>
            <w:pPr>
              <w:pStyle w:val="44"/>
              <w:numPr>
                <w:ilvl w:val="0"/>
                <w:numId w:val="20"/>
              </w:numPr>
              <w:ind w:left="60" w:leftChars="25" w:right="60" w:rightChars="25" w:firstLine="0"/>
              <w:rPr>
                <w:rFonts w:cs="宋体"/>
                <w:color w:val="auto"/>
                <w:szCs w:val="21"/>
                <w:highlight w:val="none"/>
              </w:rPr>
            </w:pPr>
            <w:r>
              <w:rPr>
                <w:rFonts w:hint="eastAsia" w:cs="宋体"/>
                <w:color w:val="auto"/>
                <w:szCs w:val="21"/>
                <w:highlight w:val="none"/>
              </w:rPr>
              <w:t>参加采购活动前3年内是供应商的控股股东或者实际控制人；</w:t>
            </w:r>
          </w:p>
          <w:p>
            <w:pPr>
              <w:pStyle w:val="44"/>
              <w:numPr>
                <w:ilvl w:val="0"/>
                <w:numId w:val="20"/>
              </w:numPr>
              <w:ind w:left="60" w:leftChars="25" w:right="60" w:rightChars="25" w:firstLine="0"/>
              <w:rPr>
                <w:rFonts w:cs="宋体"/>
                <w:color w:val="auto"/>
                <w:szCs w:val="21"/>
                <w:highlight w:val="none"/>
              </w:rPr>
            </w:pPr>
            <w:r>
              <w:rPr>
                <w:rFonts w:hint="eastAsia" w:cs="宋体"/>
                <w:color w:val="auto"/>
                <w:szCs w:val="21"/>
                <w:highlight w:val="none"/>
              </w:rPr>
              <w:t>与供应商的法定代表人或者负责人有夫妻、直系血亲、三代以内旁系血亲或者近姻亲关系；</w:t>
            </w:r>
          </w:p>
          <w:p>
            <w:pPr>
              <w:pStyle w:val="44"/>
              <w:numPr>
                <w:ilvl w:val="0"/>
                <w:numId w:val="20"/>
              </w:numPr>
              <w:ind w:left="60" w:leftChars="25" w:right="60" w:rightChars="25" w:firstLine="0"/>
              <w:rPr>
                <w:rFonts w:cs="宋体"/>
                <w:color w:val="auto"/>
                <w:szCs w:val="21"/>
                <w:highlight w:val="none"/>
              </w:rPr>
            </w:pPr>
            <w:r>
              <w:rPr>
                <w:rFonts w:hint="eastAsia" w:cs="宋体"/>
                <w:color w:val="auto"/>
                <w:szCs w:val="21"/>
                <w:highlight w:val="none"/>
              </w:rPr>
              <w:t>与供应商有其他可能影响采购活动公平、公正进行的关系。</w:t>
            </w:r>
          </w:p>
          <w:p>
            <w:pPr>
              <w:pStyle w:val="44"/>
              <w:ind w:left="60" w:leftChars="25" w:right="60" w:rightChars="25"/>
              <w:rPr>
                <w:rFonts w:cs="宋体"/>
                <w:color w:val="auto"/>
                <w:szCs w:val="21"/>
                <w:highlight w:val="none"/>
              </w:rPr>
            </w:pPr>
            <w:r>
              <w:rPr>
                <w:rFonts w:hint="eastAsia" w:cs="宋体"/>
                <w:color w:val="auto"/>
                <w:szCs w:val="21"/>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pPr>
              <w:pStyle w:val="44"/>
              <w:ind w:left="60" w:leftChars="25" w:right="60" w:rightChars="25"/>
              <w:rPr>
                <w:rFonts w:cs="宋体"/>
                <w:color w:val="auto"/>
                <w:szCs w:val="21"/>
                <w:highlight w:val="none"/>
              </w:rPr>
            </w:pPr>
            <w:r>
              <w:rPr>
                <w:rFonts w:hint="eastAsia" w:cs="宋体"/>
                <w:color w:val="auto"/>
                <w:szCs w:val="21"/>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4"/>
              <w:ind w:left="60" w:leftChars="25" w:right="60" w:rightChars="25"/>
              <w:rPr>
                <w:rFonts w:cs="宋体"/>
                <w:color w:val="auto"/>
                <w:szCs w:val="21"/>
                <w:highlight w:val="none"/>
              </w:rPr>
            </w:pPr>
            <w:r>
              <w:rPr>
                <w:rFonts w:hint="eastAsia" w:cs="宋体"/>
                <w:color w:val="auto"/>
                <w:szCs w:val="21"/>
                <w:highlight w:val="none"/>
              </w:rPr>
              <w:t>注：按照相关法律法规规定，负责人是指单位法定代表人或者法律、行政法规规定代表单位行使职权的主要负责人。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管理关系是指与不具有出资持股关系的单位之间存在的其他管理与被管理关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5</w:t>
            </w: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谈判有效期</w:t>
            </w:r>
          </w:p>
          <w:p>
            <w:pPr>
              <w:pStyle w:val="47"/>
              <w:ind w:left="60" w:leftChars="25" w:right="60" w:rightChars="25"/>
              <w:rPr>
                <w:rFonts w:cs="宋体"/>
                <w:color w:val="auto"/>
                <w:szCs w:val="21"/>
                <w:highlight w:val="none"/>
              </w:rPr>
            </w:pPr>
            <w:r>
              <w:rPr>
                <w:rFonts w:hint="eastAsia" w:cs="宋体"/>
                <w:color w:val="auto"/>
                <w:szCs w:val="21"/>
                <w:highlight w:val="none"/>
              </w:rPr>
              <w:t>(实质性要求)</w:t>
            </w:r>
          </w:p>
        </w:tc>
        <w:tc>
          <w:tcPr>
            <w:tcW w:w="7061" w:type="dxa"/>
            <w:vAlign w:val="center"/>
          </w:tcPr>
          <w:p>
            <w:pPr>
              <w:pStyle w:val="44"/>
              <w:numPr>
                <w:ilvl w:val="0"/>
                <w:numId w:val="21"/>
              </w:numPr>
              <w:ind w:left="60" w:leftChars="25" w:right="60" w:rightChars="25" w:firstLine="0"/>
              <w:rPr>
                <w:rFonts w:cs="宋体"/>
                <w:color w:val="auto"/>
                <w:szCs w:val="21"/>
                <w:highlight w:val="none"/>
              </w:rPr>
            </w:pPr>
            <w:r>
              <w:rPr>
                <w:rFonts w:hint="eastAsia" w:cs="宋体"/>
                <w:color w:val="auto"/>
                <w:szCs w:val="21"/>
                <w:highlight w:val="none"/>
              </w:rPr>
              <w:t>谈判有效期为响应文件递交截止时间之日起90日。供应商响应文件中必须载明谈判有效期，响应文件中载明的谈判有效期可以长于谈判文件规定的期限，但不得短于谈判文件规定的期限。否则，其响应文件将作为无效响应处理。</w:t>
            </w:r>
          </w:p>
          <w:p>
            <w:pPr>
              <w:pStyle w:val="44"/>
              <w:numPr>
                <w:ilvl w:val="0"/>
                <w:numId w:val="21"/>
              </w:numPr>
              <w:ind w:left="60" w:leftChars="25" w:right="60" w:rightChars="25" w:firstLine="0"/>
              <w:rPr>
                <w:rFonts w:cs="宋体"/>
                <w:color w:val="auto"/>
                <w:szCs w:val="21"/>
                <w:highlight w:val="none"/>
              </w:rPr>
            </w:pPr>
            <w:r>
              <w:rPr>
                <w:rFonts w:hint="eastAsia" w:cs="宋体"/>
                <w:color w:val="auto"/>
                <w:szCs w:val="21"/>
                <w:highlight w:val="none"/>
              </w:rPr>
              <w:t>因不可抗力事件，采购人可于谈判有效期届满之前与供应商协商延长谈判有效期。供应商拒绝延长谈判有效期的，不得再参与该项目后续采购活动，但由此给供应商造成的损失，采购人可以自主决定是否可以给予适当补偿。供应商同意延长谈判有效期的，不能修改响应文件。</w:t>
            </w:r>
          </w:p>
          <w:p>
            <w:pPr>
              <w:pStyle w:val="44"/>
              <w:numPr>
                <w:ilvl w:val="0"/>
                <w:numId w:val="21"/>
              </w:numPr>
              <w:ind w:left="60" w:leftChars="25" w:right="60" w:rightChars="25" w:firstLine="0"/>
              <w:rPr>
                <w:rFonts w:cs="宋体"/>
                <w:color w:val="auto"/>
                <w:szCs w:val="21"/>
                <w:highlight w:val="none"/>
              </w:rPr>
            </w:pPr>
            <w:r>
              <w:rPr>
                <w:rFonts w:hint="eastAsia" w:cs="宋体"/>
                <w:color w:val="auto"/>
                <w:szCs w:val="21"/>
                <w:highlight w:val="none"/>
              </w:rPr>
              <w:t>因采购人采购需求作出必要调整，采购人可于谈判有效期届满之前与供应商协商延长谈判有效期。供应商拒绝延长谈判有效期的，不得再参与该项目后续采购活动，但由此给供应商造成的损失，采购人可以自主决定是否可以给予适当补偿。供应商同意延长谈判有效期的，不能修改响应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6</w:t>
            </w:r>
          </w:p>
        </w:tc>
        <w:tc>
          <w:tcPr>
            <w:tcW w:w="2020" w:type="dxa"/>
            <w:vAlign w:val="center"/>
          </w:tcPr>
          <w:p>
            <w:pPr>
              <w:pStyle w:val="47"/>
              <w:ind w:left="60" w:leftChars="25" w:right="60" w:rightChars="25"/>
              <w:rPr>
                <w:rFonts w:cs="宋体"/>
                <w:color w:val="auto"/>
                <w:szCs w:val="21"/>
                <w:highlight w:val="none"/>
              </w:rPr>
            </w:pPr>
            <w:r>
              <w:rPr>
                <w:rFonts w:hint="eastAsia" w:cs="宋体"/>
                <w:color w:val="auto"/>
                <w:szCs w:val="21"/>
                <w:highlight w:val="none"/>
              </w:rPr>
              <w:t>其他</w:t>
            </w:r>
          </w:p>
        </w:tc>
        <w:tc>
          <w:tcPr>
            <w:tcW w:w="7061" w:type="dxa"/>
            <w:vAlign w:val="center"/>
          </w:tcPr>
          <w:p>
            <w:pPr>
              <w:pStyle w:val="44"/>
              <w:numPr>
                <w:ilvl w:val="0"/>
                <w:numId w:val="22"/>
              </w:numPr>
              <w:ind w:left="60" w:leftChars="25" w:right="60" w:rightChars="25" w:firstLine="0"/>
              <w:rPr>
                <w:rFonts w:cs="宋体"/>
                <w:color w:val="auto"/>
                <w:szCs w:val="21"/>
                <w:highlight w:val="none"/>
              </w:rPr>
            </w:pPr>
            <w:r>
              <w:rPr>
                <w:rFonts w:hint="eastAsia" w:cs="宋体"/>
                <w:color w:val="auto"/>
                <w:szCs w:val="21"/>
                <w:highlight w:val="none"/>
              </w:rPr>
              <w:t>本竞争性谈判文件各部分规定的期间以时、日、月、年计算。期间开始的时和日，不计算在期间内，从次日开始计算。期限的最后一日是国家法定节假日的，顺延到节假日后的次日为期限的最后一日。采购文件涉及的法律法规中所称的“以上”、“以下”、“内”、“以内”，包括本数；所称的“不足”，不包括本数。</w:t>
            </w:r>
          </w:p>
          <w:p>
            <w:pPr>
              <w:pStyle w:val="44"/>
              <w:numPr>
                <w:ilvl w:val="0"/>
                <w:numId w:val="22"/>
              </w:numPr>
              <w:ind w:left="60" w:leftChars="25" w:right="60" w:rightChars="25" w:firstLine="0"/>
              <w:rPr>
                <w:rFonts w:cs="宋体"/>
                <w:color w:val="auto"/>
                <w:szCs w:val="21"/>
                <w:highlight w:val="none"/>
              </w:rPr>
            </w:pPr>
            <w:r>
              <w:rPr>
                <w:rFonts w:hint="eastAsia" w:cs="宋体"/>
                <w:color w:val="auto"/>
                <w:szCs w:val="21"/>
                <w:highlight w:val="none"/>
              </w:rPr>
              <w:t>本竞争性谈判文件各部分规定的时间均以北京时间为准。</w:t>
            </w:r>
          </w:p>
        </w:tc>
      </w:tr>
    </w:tbl>
    <w:p>
      <w:pPr>
        <w:pStyle w:val="37"/>
        <w:spacing w:before="120" w:beforeLines="50" w:after="120" w:afterLines="50"/>
        <w:ind w:firstLine="0" w:firstLineChars="0"/>
        <w:jc w:val="center"/>
        <w:rPr>
          <w:color w:val="auto"/>
          <w:sz w:val="32"/>
          <w:szCs w:val="32"/>
          <w:highlight w:val="none"/>
        </w:rPr>
      </w:pPr>
      <w:r>
        <w:rPr>
          <w:rFonts w:hint="eastAsia"/>
          <w:color w:val="auto"/>
          <w:highlight w:val="none"/>
        </w:rPr>
        <w:br w:type="page"/>
      </w:r>
      <w:bookmarkStart w:id="19" w:name="_Toc26593"/>
      <w:bookmarkStart w:id="20" w:name="_Toc23295"/>
      <w:bookmarkStart w:id="21" w:name="_Toc2042"/>
      <w:bookmarkStart w:id="22" w:name="_Toc4011"/>
      <w:bookmarkStart w:id="23" w:name="_Toc1268"/>
      <w:r>
        <w:rPr>
          <w:rFonts w:hint="eastAsia"/>
          <w:color w:val="auto"/>
          <w:sz w:val="32"/>
          <w:szCs w:val="32"/>
          <w:highlight w:val="none"/>
        </w:rPr>
        <w:t>竞争性谈判文件</w:t>
      </w:r>
      <w:bookmarkEnd w:id="16"/>
      <w:bookmarkEnd w:id="19"/>
      <w:bookmarkEnd w:id="20"/>
      <w:bookmarkEnd w:id="21"/>
      <w:bookmarkEnd w:id="22"/>
      <w:bookmarkEnd w:id="23"/>
    </w:p>
    <w:p>
      <w:pPr>
        <w:pStyle w:val="51"/>
        <w:spacing w:line="520" w:lineRule="exact"/>
        <w:ind w:firstLine="482"/>
        <w:rPr>
          <w:color w:val="auto"/>
          <w:highlight w:val="none"/>
        </w:rPr>
      </w:pPr>
      <w:bookmarkStart w:id="24" w:name="_Toc23052"/>
      <w:bookmarkStart w:id="25" w:name="_Toc11573"/>
      <w:bookmarkStart w:id="26" w:name="_Toc8123"/>
      <w:bookmarkStart w:id="27" w:name="_Toc1189"/>
      <w:bookmarkStart w:id="28" w:name="_Toc25363"/>
      <w:bookmarkStart w:id="29" w:name="_Toc18796"/>
      <w:bookmarkStart w:id="30" w:name="_Toc319439877"/>
      <w:bookmarkStart w:id="31" w:name="_Toc10311"/>
      <w:bookmarkStart w:id="32" w:name="_Toc5790"/>
      <w:bookmarkStart w:id="33" w:name="_Toc327196263"/>
      <w:bookmarkStart w:id="34" w:name="_Toc28450"/>
      <w:bookmarkStart w:id="35" w:name="_Toc319440119"/>
      <w:bookmarkStart w:id="36" w:name="_Toc217446034"/>
      <w:bookmarkStart w:id="37" w:name="_Toc23796"/>
      <w:bookmarkStart w:id="38" w:name="_Toc309897492"/>
      <w:bookmarkStart w:id="39" w:name="_Toc32483"/>
      <w:bookmarkStart w:id="40" w:name="_Toc308084574"/>
      <w:bookmarkStart w:id="41" w:name="_Toc308188129"/>
      <w:bookmarkStart w:id="42" w:name="_Toc3601"/>
      <w:bookmarkStart w:id="43" w:name="_Toc20769"/>
      <w:bookmarkStart w:id="44" w:name="_Toc307564829"/>
      <w:bookmarkStart w:id="45" w:name="_Toc31870"/>
      <w:bookmarkStart w:id="46" w:name="_Toc12046"/>
      <w:bookmarkStart w:id="47" w:name="_Toc32648"/>
      <w:bookmarkStart w:id="48" w:name="_Toc307501086"/>
      <w:bookmarkStart w:id="49" w:name="_Toc29532"/>
      <w:r>
        <w:rPr>
          <w:rFonts w:hint="eastAsia"/>
          <w:color w:val="auto"/>
          <w:highlight w:val="none"/>
        </w:rPr>
        <w:t>竞争性谈判文件的构成</w:t>
      </w:r>
      <w:bookmarkEnd w:id="24"/>
      <w:bookmarkEnd w:id="25"/>
      <w:bookmarkEnd w:id="26"/>
      <w:bookmarkEnd w:id="27"/>
      <w:bookmarkEnd w:id="28"/>
      <w:bookmarkEnd w:id="29"/>
    </w:p>
    <w:p>
      <w:pPr>
        <w:pStyle w:val="65"/>
        <w:spacing w:line="520" w:lineRule="exact"/>
        <w:ind w:firstLine="480"/>
        <w:rPr>
          <w:color w:val="auto"/>
          <w:highlight w:val="none"/>
        </w:rPr>
      </w:pPr>
      <w:bookmarkStart w:id="50" w:name="_Toc14475"/>
      <w:bookmarkStart w:id="51" w:name="_Toc27285"/>
      <w:bookmarkStart w:id="52" w:name="_Toc13169"/>
      <w:bookmarkStart w:id="53" w:name="_Toc15049"/>
      <w:bookmarkStart w:id="54" w:name="_Toc26493"/>
      <w:r>
        <w:rPr>
          <w:rFonts w:hint="eastAsia"/>
          <w:color w:val="auto"/>
          <w:highlight w:val="none"/>
        </w:rPr>
        <w:t>竞争性谈判文件是供应商准备响应文件和参加竞争性谈判的依据，同时也是评审的重要依据，具有准法律文件性质。竞争性谈判文件用以阐明谈判项目所需的资质、技术、服务及报价等要求、谈判采购程序、有关规定和注意事项以及合同草案条款等。</w:t>
      </w:r>
    </w:p>
    <w:p>
      <w:pPr>
        <w:pStyle w:val="65"/>
        <w:spacing w:line="520" w:lineRule="exact"/>
        <w:ind w:firstLine="480"/>
        <w:rPr>
          <w:color w:val="auto"/>
          <w:highlight w:val="none"/>
        </w:rPr>
      </w:pPr>
      <w:r>
        <w:rPr>
          <w:rFonts w:hint="eastAsia"/>
          <w:color w:val="auto"/>
          <w:highlight w:val="none"/>
        </w:rPr>
        <w:t>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pPr>
        <w:pStyle w:val="51"/>
        <w:spacing w:line="520" w:lineRule="exact"/>
        <w:ind w:firstLine="482"/>
        <w:rPr>
          <w:color w:val="auto"/>
          <w:highlight w:val="none"/>
        </w:rPr>
      </w:pPr>
      <w:bookmarkStart w:id="55" w:name="_Toc25074"/>
      <w:r>
        <w:rPr>
          <w:rFonts w:hint="eastAsia"/>
          <w:color w:val="auto"/>
          <w:highlight w:val="none"/>
        </w:rPr>
        <w:t>竞争性谈判文件包含内容</w:t>
      </w:r>
      <w:bookmarkEnd w:id="50"/>
      <w:bookmarkEnd w:id="51"/>
      <w:bookmarkEnd w:id="52"/>
      <w:bookmarkEnd w:id="53"/>
      <w:bookmarkEnd w:id="54"/>
      <w:bookmarkEnd w:id="55"/>
    </w:p>
    <w:p>
      <w:pPr>
        <w:pStyle w:val="65"/>
        <w:spacing w:line="520" w:lineRule="exact"/>
        <w:ind w:firstLine="480"/>
        <w:rPr>
          <w:color w:val="auto"/>
          <w:highlight w:val="none"/>
        </w:rPr>
      </w:pPr>
      <w:r>
        <w:rPr>
          <w:rFonts w:hint="eastAsia"/>
          <w:color w:val="auto"/>
          <w:highlight w:val="none"/>
        </w:rPr>
        <w:t>供应商的资格条件、采购邀请(须包括采购预算及采购方式)、采购需求、采购程序、参照执行的政府采购政策要求、谈判过程中可能实质性变动的内容(采购需求中的技术、服务要求以及合同草案条款)、价格构成或者报价要求、响应文件编制要求、供应商响应文件相关文书格式、提交响应文件截止时间及地点、保证金交纳数额和形式、评定成交的标准、采购合同、采购项目履约验收标准和要求、其他需要规定的事项。</w:t>
      </w:r>
    </w:p>
    <w:p>
      <w:pPr>
        <w:pStyle w:val="65"/>
        <w:spacing w:line="520" w:lineRule="exact"/>
        <w:ind w:firstLine="480"/>
        <w:rPr>
          <w:color w:val="auto"/>
          <w:highlight w:val="none"/>
        </w:rPr>
      </w:pPr>
      <w:r>
        <w:rPr>
          <w:rFonts w:hint="eastAsia"/>
          <w:color w:val="auto"/>
          <w:highlight w:val="none"/>
        </w:rPr>
        <w:t>供应商应详细阅读竞争性谈判文件的全部内容，并实质性响应竞争性谈判文件的要求，供应商未对竞争性谈判文件全面做出实质性响应是供应商的风险。</w:t>
      </w:r>
    </w:p>
    <w:p>
      <w:pPr>
        <w:pStyle w:val="51"/>
        <w:spacing w:line="520" w:lineRule="exact"/>
        <w:ind w:firstLine="482"/>
        <w:rPr>
          <w:color w:val="auto"/>
          <w:highlight w:val="none"/>
        </w:rPr>
      </w:pPr>
      <w:bookmarkStart w:id="56" w:name="_Toc7403"/>
      <w:bookmarkStart w:id="57" w:name="_Toc2359"/>
      <w:bookmarkStart w:id="58" w:name="_Toc5720"/>
      <w:bookmarkStart w:id="59" w:name="_Toc30158"/>
      <w:bookmarkStart w:id="60" w:name="_Toc26171"/>
      <w:bookmarkStart w:id="61" w:name="_Toc26095"/>
      <w:r>
        <w:rPr>
          <w:rFonts w:hint="eastAsia"/>
          <w:color w:val="auto"/>
          <w:highlight w:val="none"/>
        </w:rPr>
        <w:t>竞争性谈判文件的澄清和修改</w:t>
      </w:r>
      <w:bookmarkEnd w:id="56"/>
      <w:bookmarkEnd w:id="57"/>
      <w:bookmarkEnd w:id="58"/>
      <w:bookmarkEnd w:id="59"/>
      <w:bookmarkEnd w:id="60"/>
      <w:bookmarkEnd w:id="61"/>
    </w:p>
    <w:p>
      <w:pPr>
        <w:pStyle w:val="65"/>
        <w:spacing w:line="520" w:lineRule="exact"/>
        <w:ind w:firstLine="480"/>
        <w:rPr>
          <w:color w:val="auto"/>
          <w:highlight w:val="none"/>
        </w:rPr>
      </w:pPr>
      <w:r>
        <w:rPr>
          <w:rFonts w:hint="eastAsia"/>
          <w:color w:val="auto"/>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公告形式通知所有接收谈判文件的供应商，不足3个工作日的，应当顺延提交首次响应文件截止之日。</w:t>
      </w:r>
    </w:p>
    <w:p>
      <w:pPr>
        <w:pStyle w:val="65"/>
        <w:spacing w:line="520" w:lineRule="exact"/>
        <w:ind w:firstLine="480"/>
        <w:rPr>
          <w:color w:val="auto"/>
          <w:highlight w:val="none"/>
        </w:rPr>
      </w:pPr>
      <w:r>
        <w:rPr>
          <w:rFonts w:hint="eastAsia"/>
          <w:color w:val="auto"/>
          <w:highlight w:val="none"/>
        </w:rPr>
        <w:t>供应商应于递交响应文件截止前，在“中国招标投标公共服务平台”查询本项目的更正公告，以保证其对谈判文件做出正确的响应。供应商未及时关注更正公告的信息造成的不利后果，其责任由供应商自行负责。</w:t>
      </w:r>
    </w:p>
    <w:p>
      <w:pPr>
        <w:pStyle w:val="65"/>
        <w:spacing w:line="520" w:lineRule="exact"/>
        <w:ind w:firstLine="480"/>
        <w:rPr>
          <w:color w:val="auto"/>
          <w:highlight w:val="none"/>
        </w:rPr>
      </w:pPr>
      <w:r>
        <w:rPr>
          <w:rFonts w:hint="eastAsia"/>
          <w:color w:val="auto"/>
          <w:highlight w:val="none"/>
        </w:rPr>
        <w:t>评审委员会在评审过程中，需要供应商对响应文件中含义不明确、同类问题表述不一致或者有明显文字和计算错误的内容等作出必要的澄清、说明或者更正的，应当以书面形式(须由评审委员会全体成员签字)作出，并给予供应商必要的反馈时间，但不得超出响应文件的范围或者改变响应文件的实质性内容。</w:t>
      </w:r>
    </w:p>
    <w:p>
      <w:pPr>
        <w:pStyle w:val="65"/>
        <w:spacing w:line="520" w:lineRule="exact"/>
        <w:ind w:firstLine="480"/>
        <w:rPr>
          <w:color w:val="auto"/>
          <w:highlight w:val="none"/>
        </w:rPr>
      </w:pPr>
      <w:r>
        <w:rPr>
          <w:rFonts w:hint="eastAsia"/>
          <w:color w:val="auto"/>
          <w:highlight w:val="none"/>
        </w:rPr>
        <w:t>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pPr>
        <w:pStyle w:val="65"/>
        <w:spacing w:line="520" w:lineRule="exact"/>
        <w:ind w:firstLine="480"/>
        <w:rPr>
          <w:color w:val="auto"/>
          <w:highlight w:val="none"/>
        </w:rPr>
      </w:pPr>
      <w:r>
        <w:rPr>
          <w:rFonts w:hint="eastAsia"/>
          <w:color w:val="auto"/>
          <w:highlight w:val="none"/>
        </w:rPr>
        <w:t>评审委员会应当积极履行澄清、说明或者更正的职责，不得滥用权力。供应商的响应文件可以要求澄清、说明或者更正的，不得未经澄清、说明或者更正而直接作无效处理。</w:t>
      </w:r>
    </w:p>
    <w:p>
      <w:pPr>
        <w:pStyle w:val="65"/>
        <w:spacing w:line="520" w:lineRule="exact"/>
        <w:ind w:firstLine="480"/>
        <w:rPr>
          <w:color w:val="auto"/>
          <w:highlight w:val="none"/>
        </w:rPr>
      </w:pPr>
      <w:r>
        <w:rPr>
          <w:rFonts w:hint="eastAsia"/>
          <w:color w:val="auto"/>
          <w:highlight w:val="none"/>
        </w:rPr>
        <w:t>供应商认为采购代理机构需要对谈判文件进行澄清或者修改的，可以在响应文件递交的截止时间前以书面形式向采购代理机构提出申请，由采购代理机构决定是否采纳供应商的申请事项。</w:t>
      </w:r>
    </w:p>
    <w:p>
      <w:pPr>
        <w:pStyle w:val="51"/>
        <w:spacing w:line="520" w:lineRule="exact"/>
        <w:ind w:firstLine="482"/>
        <w:rPr>
          <w:color w:val="auto"/>
          <w:highlight w:val="none"/>
        </w:rPr>
      </w:pPr>
      <w:bookmarkStart w:id="62" w:name="_Toc13167"/>
      <w:bookmarkStart w:id="63" w:name="_Toc11297"/>
      <w:bookmarkStart w:id="64" w:name="_Toc26020"/>
      <w:bookmarkStart w:id="65" w:name="_Toc12282"/>
      <w:bookmarkStart w:id="66" w:name="_Toc13313"/>
      <w:bookmarkStart w:id="67" w:name="_Toc21968"/>
      <w:r>
        <w:rPr>
          <w:rFonts w:hint="eastAsia"/>
          <w:color w:val="auto"/>
          <w:highlight w:val="none"/>
        </w:rPr>
        <w:t>实质性变动</w:t>
      </w:r>
      <w:bookmarkEnd w:id="62"/>
      <w:bookmarkEnd w:id="63"/>
      <w:bookmarkEnd w:id="64"/>
      <w:bookmarkEnd w:id="65"/>
      <w:bookmarkEnd w:id="66"/>
      <w:bookmarkEnd w:id="67"/>
    </w:p>
    <w:p>
      <w:pPr>
        <w:pStyle w:val="65"/>
        <w:spacing w:line="520" w:lineRule="exact"/>
        <w:ind w:firstLine="480"/>
        <w:rPr>
          <w:color w:val="auto"/>
          <w:highlight w:val="none"/>
        </w:rPr>
      </w:pPr>
      <w:r>
        <w:rPr>
          <w:rFonts w:hint="eastAsia"/>
          <w:color w:val="auto"/>
          <w:highlight w:val="none"/>
        </w:rPr>
        <w:t>谈判小组根据与供应商谈判情况可能实质性变动的内容，包括采购需求中的技术、服务要求以及合同草案条款，但不得变动谈判文件中的其他内容。实质性变动的内容，须经采购人代表确认。</w:t>
      </w:r>
    </w:p>
    <w:p>
      <w:pPr>
        <w:pStyle w:val="65"/>
        <w:spacing w:line="520" w:lineRule="exact"/>
        <w:ind w:firstLine="480"/>
        <w:rPr>
          <w:color w:val="auto"/>
          <w:highlight w:val="none"/>
        </w:rPr>
      </w:pPr>
      <w:r>
        <w:rPr>
          <w:rFonts w:hint="eastAsia"/>
          <w:color w:val="auto"/>
          <w:highlight w:val="none"/>
        </w:rPr>
        <w:t>谈判小组对谈判文件作出的实质性变动是谈判文件的有效组成部分，谈判小组应当及时以书面形式同时通知所有参加谈判的供应商。</w:t>
      </w:r>
    </w:p>
    <w:p>
      <w:pPr>
        <w:pStyle w:val="51"/>
        <w:spacing w:line="520" w:lineRule="exact"/>
        <w:ind w:firstLine="482"/>
        <w:rPr>
          <w:color w:val="auto"/>
          <w:highlight w:val="none"/>
        </w:rPr>
      </w:pPr>
      <w:bookmarkStart w:id="68" w:name="_Toc1735"/>
      <w:bookmarkStart w:id="69" w:name="_Toc8493"/>
      <w:bookmarkStart w:id="70" w:name="_Toc21934"/>
      <w:bookmarkStart w:id="71" w:name="_Toc29084"/>
      <w:bookmarkStart w:id="72" w:name="_Toc25621"/>
      <w:bookmarkStart w:id="73" w:name="_Toc29268"/>
      <w:r>
        <w:rPr>
          <w:rFonts w:hint="eastAsia"/>
          <w:color w:val="auto"/>
          <w:highlight w:val="none"/>
        </w:rPr>
        <w:t>答疑会和现场考察</w:t>
      </w:r>
      <w:bookmarkEnd w:id="68"/>
      <w:bookmarkEnd w:id="69"/>
      <w:bookmarkEnd w:id="70"/>
      <w:bookmarkEnd w:id="71"/>
      <w:bookmarkEnd w:id="72"/>
      <w:bookmarkEnd w:id="73"/>
    </w:p>
    <w:p>
      <w:pPr>
        <w:pStyle w:val="65"/>
        <w:spacing w:line="520" w:lineRule="exact"/>
        <w:ind w:firstLine="480"/>
        <w:rPr>
          <w:color w:val="auto"/>
          <w:highlight w:val="none"/>
        </w:rPr>
      </w:pPr>
      <w:r>
        <w:rPr>
          <w:rFonts w:hint="eastAsia"/>
          <w:color w:val="auto"/>
          <w:highlight w:val="none"/>
        </w:rPr>
        <w:t>根据采购项目和具体情况，采购人、采购代理机构认为有必要，可以在谈判文件提供期限截止后响应文件提交截止前，组织已获取谈判文件的潜在供应商现场考察或者召开答疑会。</w:t>
      </w:r>
    </w:p>
    <w:p>
      <w:pPr>
        <w:pStyle w:val="65"/>
        <w:spacing w:line="520" w:lineRule="exact"/>
        <w:ind w:firstLine="480"/>
        <w:rPr>
          <w:color w:val="auto"/>
          <w:highlight w:val="none"/>
        </w:rPr>
      </w:pPr>
      <w:r>
        <w:rPr>
          <w:rFonts w:hint="eastAsia"/>
          <w:color w:val="auto"/>
          <w:highlight w:val="none"/>
        </w:rPr>
        <w:t>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作无效处理。</w:t>
      </w:r>
    </w:p>
    <w:p>
      <w:pPr>
        <w:pStyle w:val="65"/>
        <w:spacing w:line="520" w:lineRule="exact"/>
        <w:ind w:firstLine="480"/>
        <w:rPr>
          <w:color w:val="auto"/>
          <w:highlight w:val="none"/>
        </w:rPr>
      </w:pPr>
      <w:r>
        <w:rPr>
          <w:rFonts w:hint="eastAsia"/>
          <w:color w:val="auto"/>
          <w:highlight w:val="none"/>
        </w:rPr>
        <w:t>供应商自行承担参加答疑会和现场考察的一切费用。</w:t>
      </w:r>
    </w:p>
    <w:p>
      <w:pPr>
        <w:pStyle w:val="37"/>
        <w:spacing w:before="120" w:beforeLines="50" w:after="120" w:afterLines="50" w:line="520" w:lineRule="exact"/>
        <w:ind w:firstLine="0" w:firstLineChars="0"/>
        <w:jc w:val="center"/>
        <w:rPr>
          <w:color w:val="auto"/>
          <w:sz w:val="32"/>
          <w:szCs w:val="32"/>
          <w:highlight w:val="none"/>
        </w:rPr>
      </w:pPr>
      <w:bookmarkStart w:id="74" w:name="_Toc32436"/>
      <w:r>
        <w:rPr>
          <w:rFonts w:hint="eastAsia"/>
          <w:color w:val="auto"/>
          <w:sz w:val="32"/>
          <w:szCs w:val="32"/>
          <w:highlight w:val="none"/>
        </w:rPr>
        <w:t>响应文件</w:t>
      </w:r>
      <w:bookmarkEnd w:id="74"/>
    </w:p>
    <w:p>
      <w:pPr>
        <w:pStyle w:val="51"/>
        <w:spacing w:line="520" w:lineRule="exact"/>
        <w:ind w:firstLine="482"/>
        <w:rPr>
          <w:color w:val="auto"/>
          <w:highlight w:val="none"/>
        </w:rPr>
      </w:pPr>
      <w:bookmarkStart w:id="75" w:name="_Toc9698"/>
      <w:bookmarkStart w:id="76" w:name="_Toc11162"/>
      <w:bookmarkStart w:id="77" w:name="_Toc32601"/>
      <w:bookmarkStart w:id="78" w:name="_Toc1594"/>
      <w:bookmarkStart w:id="79" w:name="_Toc7367"/>
      <w:r>
        <w:rPr>
          <w:rFonts w:hint="eastAsia"/>
          <w:color w:val="auto"/>
          <w:highlight w:val="none"/>
        </w:rPr>
        <w:t>响应文件的语言(实质性要求)</w:t>
      </w:r>
      <w:bookmarkEnd w:id="75"/>
      <w:bookmarkEnd w:id="76"/>
    </w:p>
    <w:p>
      <w:pPr>
        <w:pStyle w:val="65"/>
        <w:spacing w:line="520" w:lineRule="exact"/>
        <w:ind w:firstLine="480"/>
        <w:rPr>
          <w:color w:val="auto"/>
          <w:highlight w:val="none"/>
        </w:rPr>
      </w:pPr>
      <w:r>
        <w:rPr>
          <w:rFonts w:hint="eastAsia"/>
          <w:color w:val="auto"/>
          <w:highlight w:val="none"/>
        </w:rPr>
        <w:t>供应商提交的响应文件以及供应商与招标采购单位就有关谈判的所有来往书面文件均须使用中文。响应文件中如附有外文资料，必须逐一对应翻译成中文并加盖供应商公章后附在相关外文资料后面，否则，视为未提供该资料。对于供应商的法定代表人为外籍人士的，法定代表人的签字和护照、行业标准、国家标准、国际标准或行业认证等需要以非中文表述且不宜翻译为中文的除外。</w:t>
      </w:r>
    </w:p>
    <w:p>
      <w:pPr>
        <w:pStyle w:val="65"/>
        <w:spacing w:line="520" w:lineRule="exact"/>
        <w:ind w:firstLine="480"/>
        <w:rPr>
          <w:rStyle w:val="71"/>
          <w:color w:val="auto"/>
          <w:highlight w:val="none"/>
        </w:rPr>
      </w:pPr>
      <w:r>
        <w:rPr>
          <w:rFonts w:hint="eastAsia"/>
          <w:color w:val="auto"/>
          <w:highlight w:val="none"/>
        </w:rPr>
        <w:t>翻译的中文资料与外文资料如果出现差异和矛盾时，以中文为准。但不能故意错误翻</w:t>
      </w:r>
      <w:r>
        <w:rPr>
          <w:rStyle w:val="71"/>
          <w:rFonts w:hint="eastAsia"/>
          <w:color w:val="auto"/>
          <w:highlight w:val="none"/>
        </w:rPr>
        <w:t>译，否则，供应商的响应文件将作为无效处理。</w:t>
      </w:r>
    </w:p>
    <w:p>
      <w:pPr>
        <w:pStyle w:val="51"/>
        <w:spacing w:line="520" w:lineRule="exact"/>
        <w:ind w:firstLine="482"/>
        <w:rPr>
          <w:color w:val="auto"/>
          <w:highlight w:val="none"/>
        </w:rPr>
      </w:pPr>
      <w:bookmarkStart w:id="80" w:name="_Toc2518"/>
      <w:bookmarkStart w:id="81" w:name="_Toc21182"/>
      <w:r>
        <w:rPr>
          <w:rFonts w:hint="eastAsia"/>
          <w:color w:val="auto"/>
          <w:highlight w:val="none"/>
        </w:rPr>
        <w:t>计量单位(实质性要求)</w:t>
      </w:r>
      <w:bookmarkEnd w:id="80"/>
      <w:bookmarkEnd w:id="81"/>
    </w:p>
    <w:p>
      <w:pPr>
        <w:pStyle w:val="48"/>
        <w:spacing w:line="520" w:lineRule="exact"/>
        <w:rPr>
          <w:color w:val="auto"/>
          <w:highlight w:val="none"/>
        </w:rPr>
      </w:pPr>
      <w:r>
        <w:rPr>
          <w:rFonts w:hint="eastAsia"/>
          <w:color w:val="auto"/>
          <w:highlight w:val="none"/>
        </w:rPr>
        <w:t>除采购需求中另有规定外，本采购项下的谈判均采用国家法定的计量单位。</w:t>
      </w:r>
    </w:p>
    <w:p>
      <w:pPr>
        <w:pStyle w:val="51"/>
        <w:spacing w:line="520" w:lineRule="exact"/>
        <w:ind w:firstLine="482"/>
        <w:rPr>
          <w:color w:val="auto"/>
          <w:highlight w:val="none"/>
        </w:rPr>
      </w:pPr>
      <w:bookmarkStart w:id="82" w:name="_Toc6029"/>
      <w:bookmarkStart w:id="83" w:name="_Toc9568"/>
      <w:r>
        <w:rPr>
          <w:rFonts w:hint="eastAsia"/>
          <w:color w:val="auto"/>
          <w:highlight w:val="none"/>
        </w:rPr>
        <w:t>报价货币(实质性要求)</w:t>
      </w:r>
      <w:bookmarkEnd w:id="82"/>
    </w:p>
    <w:p>
      <w:pPr>
        <w:pStyle w:val="48"/>
        <w:spacing w:line="520" w:lineRule="exact"/>
        <w:rPr>
          <w:color w:val="auto"/>
          <w:highlight w:val="none"/>
        </w:rPr>
      </w:pPr>
      <w:r>
        <w:rPr>
          <w:rFonts w:hint="eastAsia"/>
          <w:color w:val="auto"/>
          <w:highlight w:val="none"/>
        </w:rPr>
        <w:t>本次谈判项目的报价货币为人民币，报价以谈判文件约定为准。</w:t>
      </w:r>
    </w:p>
    <w:p>
      <w:pPr>
        <w:pStyle w:val="51"/>
        <w:spacing w:line="520" w:lineRule="exact"/>
        <w:ind w:firstLine="482"/>
        <w:rPr>
          <w:color w:val="auto"/>
          <w:highlight w:val="none"/>
        </w:rPr>
      </w:pPr>
      <w:bookmarkStart w:id="84" w:name="_Toc12179"/>
      <w:r>
        <w:rPr>
          <w:rFonts w:hint="eastAsia"/>
          <w:color w:val="auto"/>
          <w:highlight w:val="none"/>
        </w:rPr>
        <w:t>知识产权(实质性要求)</w:t>
      </w:r>
      <w:bookmarkEnd w:id="83"/>
      <w:bookmarkEnd w:id="84"/>
    </w:p>
    <w:p>
      <w:pPr>
        <w:pStyle w:val="65"/>
        <w:spacing w:line="520" w:lineRule="exact"/>
        <w:ind w:firstLine="480"/>
        <w:rPr>
          <w:color w:val="auto"/>
          <w:highlight w:val="none"/>
        </w:rPr>
      </w:pPr>
      <w:r>
        <w:rPr>
          <w:rFonts w:hint="eastAsia"/>
          <w:color w:val="auto"/>
          <w:highlight w:val="none"/>
        </w:rPr>
        <w:t>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65"/>
        <w:spacing w:line="520" w:lineRule="exact"/>
        <w:ind w:firstLine="480"/>
        <w:rPr>
          <w:color w:val="auto"/>
          <w:highlight w:val="none"/>
        </w:rPr>
      </w:pPr>
      <w:r>
        <w:rPr>
          <w:rFonts w:hint="eastAsia"/>
          <w:color w:val="auto"/>
          <w:highlight w:val="none"/>
        </w:rPr>
        <w:t>采购人享有本项目实施过程中产生的知识成果及知识产权。</w:t>
      </w:r>
    </w:p>
    <w:p>
      <w:pPr>
        <w:pStyle w:val="65"/>
        <w:spacing w:line="520" w:lineRule="exact"/>
        <w:ind w:firstLine="480"/>
        <w:rPr>
          <w:color w:val="auto"/>
          <w:highlight w:val="none"/>
        </w:rPr>
      </w:pPr>
      <w:r>
        <w:rPr>
          <w:rFonts w:hint="eastAsia"/>
          <w:color w:val="auto"/>
          <w:highlight w:val="none"/>
        </w:rPr>
        <w:t>供应商如欲在项目实施过程中采用自有知识成果，需在响应文件中声明，并提供相关知识产权证明文件。使用该知识成果后，供应商需提供相关技术文档，并承诺提供无限期技术支持，采购人享有永久使用权，</w:t>
      </w:r>
      <w:r>
        <w:rPr>
          <w:color w:val="auto"/>
          <w:highlight w:val="none"/>
        </w:rPr>
        <w:t>同时需在</w:t>
      </w:r>
      <w:r>
        <w:rPr>
          <w:rFonts w:hint="eastAsia"/>
          <w:color w:val="auto"/>
          <w:highlight w:val="none"/>
        </w:rPr>
        <w:t>响应</w:t>
      </w:r>
      <w:r>
        <w:rPr>
          <w:color w:val="auto"/>
          <w:highlight w:val="none"/>
        </w:rPr>
        <w:t>文件中提供声明，并提供相关知识产权证明文件，否则视为</w:t>
      </w:r>
      <w:r>
        <w:rPr>
          <w:rFonts w:hint="eastAsia"/>
          <w:color w:val="auto"/>
          <w:highlight w:val="none"/>
        </w:rPr>
        <w:t>供应商</w:t>
      </w:r>
      <w:r>
        <w:rPr>
          <w:color w:val="auto"/>
          <w:highlight w:val="none"/>
        </w:rPr>
        <w:t>未在本项目实施过程中采用自有知识成果，不影响有效性</w:t>
      </w:r>
      <w:r>
        <w:rPr>
          <w:rFonts w:hint="eastAsia"/>
          <w:color w:val="auto"/>
          <w:highlight w:val="none"/>
        </w:rPr>
        <w:t>。</w:t>
      </w:r>
    </w:p>
    <w:p>
      <w:pPr>
        <w:pStyle w:val="65"/>
        <w:spacing w:line="520" w:lineRule="exact"/>
        <w:ind w:firstLine="480"/>
        <w:rPr>
          <w:color w:val="auto"/>
          <w:highlight w:val="none"/>
        </w:rPr>
      </w:pPr>
      <w:r>
        <w:rPr>
          <w:rFonts w:hint="eastAsia"/>
          <w:color w:val="auto"/>
          <w:highlight w:val="none"/>
        </w:rPr>
        <w:t>如采用供应商所不拥有的知识产权，则在报价中必须包括合法获取该知识产权的相关费用。</w:t>
      </w:r>
    </w:p>
    <w:p>
      <w:pPr>
        <w:pStyle w:val="51"/>
        <w:spacing w:line="520" w:lineRule="exact"/>
        <w:ind w:firstLine="482"/>
        <w:rPr>
          <w:color w:val="auto"/>
          <w:highlight w:val="none"/>
        </w:rPr>
      </w:pPr>
      <w:bookmarkStart w:id="85" w:name="_Toc13485"/>
      <w:bookmarkStart w:id="86" w:name="_Toc23820"/>
      <w:r>
        <w:rPr>
          <w:rFonts w:hint="eastAsia"/>
          <w:color w:val="auto"/>
          <w:highlight w:val="none"/>
        </w:rPr>
        <w:t>响应文件格式要求</w:t>
      </w:r>
      <w:bookmarkEnd w:id="85"/>
      <w:bookmarkEnd w:id="86"/>
    </w:p>
    <w:p>
      <w:pPr>
        <w:pStyle w:val="65"/>
        <w:spacing w:line="520" w:lineRule="exact"/>
        <w:ind w:firstLine="480"/>
        <w:rPr>
          <w:color w:val="auto"/>
          <w:highlight w:val="none"/>
        </w:rPr>
      </w:pPr>
      <w:r>
        <w:rPr>
          <w:rFonts w:hint="eastAsia"/>
          <w:color w:val="auto"/>
          <w:highlight w:val="none"/>
        </w:rPr>
        <w:t>供应商应按照谈判文件第三章中提供的“响应文件格式”编制相关内容。</w:t>
      </w:r>
    </w:p>
    <w:p>
      <w:pPr>
        <w:pStyle w:val="65"/>
        <w:spacing w:line="520" w:lineRule="exact"/>
        <w:ind w:firstLine="480"/>
        <w:rPr>
          <w:color w:val="auto"/>
          <w:highlight w:val="none"/>
        </w:rPr>
      </w:pPr>
      <w:r>
        <w:rPr>
          <w:rFonts w:hint="eastAsia"/>
          <w:color w:val="auto"/>
          <w:highlight w:val="none"/>
        </w:rPr>
        <w:t>对于没有格式要求的响应文件由供应商自行编写。</w:t>
      </w:r>
    </w:p>
    <w:p>
      <w:pPr>
        <w:pStyle w:val="51"/>
        <w:spacing w:line="520" w:lineRule="exact"/>
        <w:ind w:firstLine="482"/>
        <w:rPr>
          <w:color w:val="auto"/>
          <w:highlight w:val="none"/>
        </w:rPr>
      </w:pPr>
      <w:bookmarkStart w:id="87" w:name="_Toc13765"/>
      <w:bookmarkStart w:id="88" w:name="_Toc19406"/>
      <w:r>
        <w:rPr>
          <w:rFonts w:hint="eastAsia"/>
          <w:color w:val="auto"/>
          <w:highlight w:val="none"/>
        </w:rPr>
        <w:t>谈判有效期(实质性要求)</w:t>
      </w:r>
      <w:bookmarkEnd w:id="87"/>
      <w:bookmarkEnd w:id="88"/>
    </w:p>
    <w:p>
      <w:pPr>
        <w:pStyle w:val="65"/>
        <w:spacing w:line="520" w:lineRule="exact"/>
        <w:ind w:firstLine="480"/>
        <w:rPr>
          <w:color w:val="auto"/>
          <w:highlight w:val="none"/>
        </w:rPr>
      </w:pPr>
      <w:r>
        <w:rPr>
          <w:rFonts w:hint="eastAsia"/>
          <w:color w:val="auto"/>
          <w:highlight w:val="none"/>
        </w:rPr>
        <w:t>谈判有效期为响应文件递交截止时间之日起90日。供应商响应文件中必须载明谈判有效期，响应文件中载明的谈判有效期可以长于谈判文件规定的期限，但不得短于谈判文件规定的期限。否则，其响应文件将作为无效响应处理。</w:t>
      </w:r>
    </w:p>
    <w:p>
      <w:pPr>
        <w:pStyle w:val="65"/>
        <w:spacing w:line="520" w:lineRule="exact"/>
        <w:ind w:firstLine="480"/>
        <w:rPr>
          <w:color w:val="auto"/>
          <w:highlight w:val="none"/>
        </w:rPr>
      </w:pPr>
      <w:r>
        <w:rPr>
          <w:rFonts w:hint="eastAsia"/>
          <w:color w:val="auto"/>
          <w:highlight w:val="none"/>
        </w:rPr>
        <w:t>因不可抗力事件，采购人可于谈判有效期届满之前与供应商协商延长谈判有效期。供应商拒绝延长谈判有效期的，不得再参与该项目后续采购活动，但由此给供应商造成的损失，采购人可以自主决定是否可以给予适当补偿。供应商同意延长谈判有效期的，不能修改响应文件。</w:t>
      </w:r>
    </w:p>
    <w:p>
      <w:pPr>
        <w:pStyle w:val="65"/>
        <w:spacing w:line="520" w:lineRule="exact"/>
        <w:ind w:firstLine="480"/>
        <w:rPr>
          <w:rStyle w:val="71"/>
          <w:color w:val="auto"/>
          <w:highlight w:val="none"/>
        </w:rPr>
      </w:pPr>
      <w:r>
        <w:rPr>
          <w:rFonts w:hint="eastAsia"/>
          <w:color w:val="auto"/>
          <w:highlight w:val="none"/>
        </w:rPr>
        <w:t>因采购人采购需求作出必要调整，采购人可于谈判有效期届满之前与供应商协商延长谈判有效期。供应商拒绝延长谈判有效期的，不得再参与该项目后续采购活动，但由此给供应商造成的损失，采购人可以自主决定是否可以给予适当补偿。供应商同意延长谈判有效期的，</w:t>
      </w:r>
      <w:r>
        <w:rPr>
          <w:rStyle w:val="71"/>
          <w:rFonts w:hint="eastAsia"/>
          <w:color w:val="auto"/>
          <w:highlight w:val="none"/>
        </w:rPr>
        <w:t>不能修改响应文件。</w:t>
      </w:r>
    </w:p>
    <w:p>
      <w:pPr>
        <w:pStyle w:val="51"/>
        <w:spacing w:line="520" w:lineRule="exact"/>
        <w:ind w:firstLine="482"/>
        <w:rPr>
          <w:color w:val="auto"/>
          <w:highlight w:val="none"/>
        </w:rPr>
      </w:pPr>
      <w:bookmarkStart w:id="89" w:name="_Toc16657"/>
      <w:bookmarkStart w:id="90" w:name="_Toc10573"/>
      <w:r>
        <w:rPr>
          <w:rFonts w:hint="eastAsia"/>
          <w:color w:val="auto"/>
          <w:highlight w:val="none"/>
        </w:rPr>
        <w:t>联合体谈判</w:t>
      </w:r>
      <w:bookmarkEnd w:id="89"/>
      <w:r>
        <w:rPr>
          <w:rFonts w:hint="eastAsia"/>
          <w:color w:val="auto"/>
          <w:highlight w:val="none"/>
        </w:rPr>
        <w:t>(实质性要求)</w:t>
      </w:r>
      <w:bookmarkEnd w:id="90"/>
    </w:p>
    <w:p>
      <w:pPr>
        <w:pStyle w:val="48"/>
        <w:spacing w:line="520" w:lineRule="exact"/>
        <w:rPr>
          <w:color w:val="auto"/>
          <w:highlight w:val="none"/>
        </w:rPr>
      </w:pPr>
      <w:r>
        <w:rPr>
          <w:rFonts w:hint="eastAsia"/>
          <w:color w:val="auto"/>
          <w:highlight w:val="none"/>
        </w:rPr>
        <w:t>本项目不接受联合体参加本次采购活动。</w:t>
      </w:r>
    </w:p>
    <w:p>
      <w:pPr>
        <w:pStyle w:val="51"/>
        <w:spacing w:line="520" w:lineRule="exact"/>
        <w:ind w:firstLine="482"/>
        <w:rPr>
          <w:color w:val="auto"/>
          <w:highlight w:val="none"/>
        </w:rPr>
      </w:pPr>
      <w:bookmarkStart w:id="91" w:name="_Toc9631"/>
      <w:bookmarkStart w:id="92" w:name="_Toc24757"/>
      <w:r>
        <w:rPr>
          <w:rFonts w:hint="eastAsia"/>
          <w:color w:val="auto"/>
          <w:highlight w:val="none"/>
        </w:rPr>
        <w:t>响应文件</w:t>
      </w:r>
      <w:bookmarkEnd w:id="77"/>
      <w:bookmarkEnd w:id="78"/>
      <w:bookmarkEnd w:id="79"/>
      <w:r>
        <w:rPr>
          <w:rFonts w:hint="eastAsia"/>
          <w:color w:val="auto"/>
          <w:highlight w:val="none"/>
        </w:rPr>
        <w:t>组成(实质性要求)</w:t>
      </w:r>
      <w:bookmarkEnd w:id="91"/>
      <w:bookmarkEnd w:id="92"/>
    </w:p>
    <w:p>
      <w:pPr>
        <w:pStyle w:val="65"/>
        <w:spacing w:line="520" w:lineRule="exact"/>
        <w:ind w:firstLine="480"/>
        <w:rPr>
          <w:color w:val="auto"/>
          <w:highlight w:val="none"/>
        </w:rPr>
      </w:pPr>
      <w:r>
        <w:rPr>
          <w:rFonts w:hint="eastAsia"/>
          <w:color w:val="auto"/>
          <w:highlight w:val="none"/>
        </w:rPr>
        <w:t>供应商须按竞争性谈判文件的要求编写响应文件，对竞争性谈判文件提出的要求和条件做出实质性响应。响应文件应包括但不限于下列内容：</w:t>
      </w:r>
    </w:p>
    <w:p>
      <w:pPr>
        <w:pStyle w:val="38"/>
        <w:numPr>
          <w:ilvl w:val="0"/>
          <w:numId w:val="23"/>
        </w:numPr>
        <w:spacing w:line="520" w:lineRule="exact"/>
        <w:ind w:left="480" w:leftChars="200" w:firstLine="0" w:firstLineChars="0"/>
        <w:rPr>
          <w:color w:val="auto"/>
          <w:highlight w:val="none"/>
        </w:rPr>
      </w:pPr>
      <w:r>
        <w:rPr>
          <w:rFonts w:hint="eastAsia"/>
          <w:color w:val="auto"/>
          <w:highlight w:val="none"/>
        </w:rPr>
        <w:t>文件一：资格、资质性及其他类似效力响应文件</w:t>
      </w:r>
    </w:p>
    <w:p>
      <w:pPr>
        <w:pStyle w:val="48"/>
        <w:spacing w:line="520" w:lineRule="exact"/>
        <w:rPr>
          <w:color w:val="auto"/>
          <w:highlight w:val="none"/>
        </w:rPr>
      </w:pPr>
      <w:r>
        <w:rPr>
          <w:rFonts w:hint="eastAsia"/>
          <w:color w:val="auto"/>
          <w:highlight w:val="none"/>
        </w:rPr>
        <w:t>包括但不限于竞争性谈判文件第四章规定的资格证明材料。</w:t>
      </w:r>
    </w:p>
    <w:p>
      <w:pPr>
        <w:pStyle w:val="38"/>
        <w:numPr>
          <w:ilvl w:val="0"/>
          <w:numId w:val="23"/>
        </w:numPr>
        <w:spacing w:line="520" w:lineRule="exact"/>
        <w:ind w:left="480" w:leftChars="200" w:firstLine="0" w:firstLineChars="0"/>
        <w:rPr>
          <w:color w:val="auto"/>
          <w:highlight w:val="none"/>
        </w:rPr>
      </w:pPr>
      <w:r>
        <w:rPr>
          <w:rFonts w:hint="eastAsia"/>
          <w:color w:val="auto"/>
          <w:highlight w:val="none"/>
        </w:rPr>
        <w:t>文件二：其他响应文件</w:t>
      </w:r>
    </w:p>
    <w:p>
      <w:pPr>
        <w:pStyle w:val="48"/>
        <w:spacing w:line="520" w:lineRule="exact"/>
        <w:rPr>
          <w:color w:val="auto"/>
          <w:highlight w:val="none"/>
        </w:rPr>
      </w:pPr>
      <w:r>
        <w:rPr>
          <w:rFonts w:hint="eastAsia"/>
          <w:color w:val="auto"/>
          <w:highlight w:val="none"/>
        </w:rPr>
        <w:t>包括但不限于竞争性谈判文件第三章格式要求的内容。</w:t>
      </w:r>
    </w:p>
    <w:p>
      <w:pPr>
        <w:pStyle w:val="65"/>
        <w:spacing w:line="520" w:lineRule="exact"/>
        <w:ind w:firstLine="480"/>
        <w:rPr>
          <w:color w:val="auto"/>
          <w:highlight w:val="none"/>
        </w:rPr>
      </w:pPr>
      <w:r>
        <w:rPr>
          <w:rFonts w:hint="eastAsia"/>
          <w:color w:val="auto"/>
          <w:highlight w:val="none"/>
        </w:rPr>
        <w:t>补充、修改的内容作为响应文件的组成部分。</w:t>
      </w:r>
    </w:p>
    <w:p>
      <w:pPr>
        <w:pStyle w:val="65"/>
        <w:spacing w:line="520" w:lineRule="exact"/>
        <w:ind w:firstLine="480"/>
        <w:rPr>
          <w:color w:val="auto"/>
          <w:highlight w:val="none"/>
        </w:rPr>
      </w:pPr>
      <w:r>
        <w:rPr>
          <w:rFonts w:hint="eastAsia"/>
          <w:color w:val="auto"/>
          <w:highlight w:val="none"/>
        </w:rPr>
        <w:t>最后报价是供应商响应文件的有效组成部分。</w:t>
      </w:r>
    </w:p>
    <w:p>
      <w:pPr>
        <w:pStyle w:val="51"/>
        <w:spacing w:line="520" w:lineRule="exact"/>
        <w:ind w:firstLine="482"/>
        <w:rPr>
          <w:color w:val="auto"/>
          <w:highlight w:val="none"/>
        </w:rPr>
      </w:pPr>
      <w:bookmarkStart w:id="93" w:name="_Toc4939"/>
      <w:bookmarkStart w:id="94" w:name="_Toc8102"/>
      <w:bookmarkStart w:id="95" w:name="_Toc2322"/>
      <w:bookmarkStart w:id="96" w:name="_Toc14830"/>
      <w:bookmarkStart w:id="97" w:name="_Toc30559"/>
      <w:r>
        <w:rPr>
          <w:rFonts w:hint="eastAsia"/>
          <w:color w:val="auto"/>
          <w:highlight w:val="none"/>
        </w:rPr>
        <w:t>报价</w:t>
      </w:r>
      <w:bookmarkEnd w:id="93"/>
      <w:bookmarkEnd w:id="94"/>
      <w:bookmarkEnd w:id="95"/>
      <w:r>
        <w:rPr>
          <w:rFonts w:hint="eastAsia"/>
          <w:color w:val="auto"/>
          <w:highlight w:val="none"/>
        </w:rPr>
        <w:t>要求(实质性要求)</w:t>
      </w:r>
      <w:bookmarkEnd w:id="96"/>
      <w:bookmarkEnd w:id="97"/>
    </w:p>
    <w:p>
      <w:pPr>
        <w:pStyle w:val="35"/>
        <w:numPr>
          <w:ilvl w:val="1"/>
          <w:numId w:val="0"/>
        </w:numPr>
        <w:spacing w:line="520" w:lineRule="exact"/>
        <w:ind w:firstLine="480" w:firstLineChars="200"/>
        <w:rPr>
          <w:rFonts w:cs="宋体"/>
          <w:color w:val="auto"/>
          <w:highlight w:val="none"/>
        </w:rPr>
      </w:pPr>
      <w:bookmarkStart w:id="98" w:name="_Toc25616"/>
      <w:r>
        <w:rPr>
          <w:rFonts w:hint="eastAsia" w:cs="宋体"/>
          <w:color w:val="auto"/>
          <w:highlight w:val="none"/>
        </w:rPr>
        <w:t>1.供应商应认真核实本项目的工程量清单。工程量清单以电子版为准。</w:t>
      </w:r>
    </w:p>
    <w:p>
      <w:pPr>
        <w:pStyle w:val="35"/>
        <w:numPr>
          <w:ilvl w:val="1"/>
          <w:numId w:val="0"/>
        </w:numPr>
        <w:spacing w:line="520" w:lineRule="exact"/>
        <w:ind w:firstLine="480" w:firstLineChars="200"/>
        <w:rPr>
          <w:rFonts w:cs="宋体"/>
          <w:color w:val="auto"/>
          <w:highlight w:val="none"/>
        </w:rPr>
      </w:pPr>
      <w:r>
        <w:rPr>
          <w:rFonts w:hint="eastAsia" w:cs="宋体"/>
          <w:color w:val="auto"/>
          <w:highlight w:val="none"/>
        </w:rPr>
        <w:t>2.所有报价一律以人民币报价。采购人不接受任何非人民币币种的报价。</w:t>
      </w:r>
    </w:p>
    <w:p>
      <w:pPr>
        <w:pStyle w:val="35"/>
        <w:numPr>
          <w:ilvl w:val="1"/>
          <w:numId w:val="0"/>
        </w:numPr>
        <w:spacing w:line="520" w:lineRule="exact"/>
        <w:ind w:firstLine="480" w:firstLineChars="200"/>
        <w:rPr>
          <w:rFonts w:cs="宋体"/>
          <w:color w:val="auto"/>
          <w:highlight w:val="none"/>
        </w:rPr>
      </w:pPr>
      <w:r>
        <w:rPr>
          <w:rFonts w:hint="eastAsia" w:cs="宋体"/>
          <w:color w:val="auto"/>
          <w:highlight w:val="none"/>
        </w:rPr>
        <w:t>3.供应商的报价是其响应本项目要求的全部工作内容的价格体现，包括供应商完成本项目所需的一切费用。</w:t>
      </w:r>
    </w:p>
    <w:p>
      <w:pPr>
        <w:pStyle w:val="35"/>
        <w:numPr>
          <w:ilvl w:val="1"/>
          <w:numId w:val="0"/>
        </w:numPr>
        <w:spacing w:line="520" w:lineRule="exact"/>
        <w:ind w:firstLine="480" w:firstLineChars="200"/>
        <w:rPr>
          <w:rFonts w:cs="宋体"/>
          <w:color w:val="auto"/>
          <w:highlight w:val="none"/>
        </w:rPr>
      </w:pPr>
      <w:r>
        <w:rPr>
          <w:rFonts w:hint="eastAsia" w:cs="宋体"/>
          <w:color w:val="auto"/>
          <w:highlight w:val="none"/>
        </w:rPr>
        <w:t>4.本项目合同价格形式为</w:t>
      </w:r>
      <w:r>
        <w:rPr>
          <w:rFonts w:hint="eastAsia" w:cs="宋体"/>
          <w:color w:val="auto"/>
          <w:highlight w:val="none"/>
        </w:rPr>
        <w:sym w:font="Wingdings 2" w:char="0052"/>
      </w:r>
      <w:r>
        <w:rPr>
          <w:rFonts w:hint="eastAsia" w:cs="宋体"/>
          <w:color w:val="auto"/>
          <w:highlight w:val="none"/>
        </w:rPr>
        <w:t>固定单价合同□固定总价合同。</w:t>
      </w:r>
    </w:p>
    <w:p>
      <w:pPr>
        <w:pStyle w:val="35"/>
        <w:numPr>
          <w:ilvl w:val="1"/>
          <w:numId w:val="0"/>
        </w:numPr>
        <w:spacing w:line="520" w:lineRule="exact"/>
        <w:ind w:firstLine="480" w:firstLineChars="200"/>
        <w:rPr>
          <w:rFonts w:cs="宋体"/>
          <w:color w:val="auto"/>
          <w:highlight w:val="none"/>
        </w:rPr>
      </w:pPr>
      <w:r>
        <w:rPr>
          <w:rFonts w:hint="eastAsia" w:cs="宋体"/>
          <w:color w:val="auto"/>
          <w:highlight w:val="none"/>
        </w:rPr>
        <w:t>5.本项目采用工程量清单报价，合同为固定单价合同。</w:t>
      </w:r>
    </w:p>
    <w:p>
      <w:pPr>
        <w:pStyle w:val="75"/>
        <w:spacing w:line="520" w:lineRule="exact"/>
        <w:ind w:firstLine="480"/>
        <w:rPr>
          <w:rFonts w:cs="宋体"/>
          <w:color w:val="auto"/>
          <w:highlight w:val="none"/>
        </w:rPr>
      </w:pPr>
      <w:r>
        <w:rPr>
          <w:rFonts w:hint="eastAsia" w:cs="宋体"/>
          <w:color w:val="auto"/>
          <w:highlight w:val="none"/>
        </w:rPr>
        <w:t>5.1已标价工程量清单的扉页(仅指总价扉页，下同)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pPr>
        <w:pStyle w:val="75"/>
        <w:spacing w:line="520" w:lineRule="exact"/>
        <w:ind w:firstLine="480"/>
        <w:rPr>
          <w:rFonts w:cs="宋体"/>
          <w:color w:val="auto"/>
          <w:highlight w:val="none"/>
        </w:rPr>
      </w:pPr>
      <w:r>
        <w:rPr>
          <w:rFonts w:hint="eastAsia" w:cs="宋体"/>
          <w:color w:val="auto"/>
          <w:highlight w:val="none"/>
        </w:rPr>
        <w:t>5.2供应商最后报价超过采购预算或控制价(金额详见“谈判须知前附表”)的, 其响应文件按无效处理。</w:t>
      </w:r>
    </w:p>
    <w:p>
      <w:pPr>
        <w:pStyle w:val="75"/>
        <w:spacing w:line="520" w:lineRule="exact"/>
        <w:ind w:firstLine="480"/>
        <w:rPr>
          <w:rFonts w:cs="宋体"/>
          <w:color w:val="auto"/>
          <w:highlight w:val="none"/>
        </w:rPr>
      </w:pPr>
      <w:r>
        <w:rPr>
          <w:rFonts w:hint="eastAsia" w:cs="宋体"/>
          <w:color w:val="auto"/>
          <w:highlight w:val="none"/>
        </w:rPr>
        <w:t>5.3供应商在首次提交的响应文件中的报价(即首次报价)应按谈判文件及工程量清单编制要求，列出报价的构成及明细，包括但不限于分部分项工程、措施项目、其他项目、规费及税金等。其中安全文明施工费、暂列金额、暂估价、规费及税金应按工程量清单(总说明)的要求计取。</w:t>
      </w:r>
    </w:p>
    <w:p>
      <w:pPr>
        <w:pStyle w:val="75"/>
        <w:spacing w:line="520" w:lineRule="exact"/>
        <w:ind w:firstLine="480"/>
        <w:rPr>
          <w:rFonts w:cs="宋体"/>
          <w:color w:val="auto"/>
          <w:highlight w:val="none"/>
        </w:rPr>
      </w:pPr>
      <w:r>
        <w:rPr>
          <w:rFonts w:hint="eastAsia" w:cs="宋体"/>
          <w:color w:val="auto"/>
          <w:highlight w:val="none"/>
        </w:rPr>
        <w:t>5.4供应商对工程量清单中的分部分项工程量清单项目的单价未填报或填报为零的，视为单价遗漏。出现单价遗漏情况，视为其费用已分摊在工程量清单其他相关子项目的单价(价格)之中。如成交，供应商应完成该项目，但该项目不得另行计价。</w:t>
      </w:r>
    </w:p>
    <w:p>
      <w:pPr>
        <w:pStyle w:val="75"/>
        <w:spacing w:line="520" w:lineRule="exact"/>
        <w:ind w:firstLine="480"/>
        <w:rPr>
          <w:rFonts w:cs="宋体"/>
          <w:color w:val="auto"/>
          <w:highlight w:val="none"/>
        </w:rPr>
      </w:pPr>
      <w:r>
        <w:rPr>
          <w:rFonts w:hint="eastAsia" w:cs="宋体"/>
          <w:color w:val="auto"/>
          <w:highlight w:val="none"/>
        </w:rPr>
        <w:t>5.5供应商提交的已标价工程量清单应符合本项目工程量清单以及清单说明的要求。当供应商的已标价工程量清单有下列情形之一的，</w:t>
      </w:r>
      <w:r>
        <w:rPr>
          <w:rFonts w:hint="eastAsia" w:cs="宋体"/>
          <w:b/>
          <w:bCs/>
          <w:color w:val="auto"/>
          <w:highlight w:val="none"/>
        </w:rPr>
        <w:t>应按照无效响应文件处理。</w:t>
      </w:r>
    </w:p>
    <w:p>
      <w:pPr>
        <w:pStyle w:val="75"/>
        <w:spacing w:line="520" w:lineRule="exact"/>
        <w:ind w:firstLine="480"/>
        <w:rPr>
          <w:rFonts w:cs="宋体"/>
          <w:color w:val="auto"/>
          <w:highlight w:val="none"/>
        </w:rPr>
      </w:pPr>
      <w:r>
        <w:rPr>
          <w:rFonts w:hint="eastAsia" w:cs="宋体"/>
          <w:color w:val="auto"/>
          <w:highlight w:val="none"/>
        </w:rPr>
        <w:t>(1)已标价工程量清单中的项目名称、项目特征描述(与谈判文件工程量清单中的项目特征描述的实质性内容一致的除外)、计量单位、工程量与谈判文件工程量清单不一致的；</w:t>
      </w:r>
    </w:p>
    <w:p>
      <w:pPr>
        <w:pStyle w:val="75"/>
        <w:spacing w:line="520" w:lineRule="exact"/>
        <w:ind w:firstLine="480"/>
        <w:rPr>
          <w:rFonts w:cs="宋体"/>
          <w:color w:val="auto"/>
          <w:highlight w:val="none"/>
        </w:rPr>
      </w:pPr>
      <w:r>
        <w:rPr>
          <w:rFonts w:hint="eastAsia" w:cs="宋体"/>
          <w:color w:val="auto"/>
          <w:highlight w:val="none"/>
        </w:rPr>
        <w:t>(2)供应商未按谈判文件或工程量清单总说明规定计取规费的或填报错误或未填报的；</w:t>
      </w:r>
    </w:p>
    <w:p>
      <w:pPr>
        <w:pStyle w:val="75"/>
        <w:spacing w:line="520" w:lineRule="exact"/>
        <w:ind w:firstLine="480"/>
        <w:rPr>
          <w:rFonts w:cs="宋体"/>
          <w:color w:val="auto"/>
          <w:highlight w:val="none"/>
        </w:rPr>
      </w:pPr>
      <w:r>
        <w:rPr>
          <w:rFonts w:hint="eastAsia" w:cs="宋体"/>
          <w:color w:val="auto"/>
          <w:highlight w:val="none"/>
        </w:rPr>
        <w:t>(3)供应商未按谈判文件或工程量清单总说明规定计取安全文明施工费的或填报错误或未填报的；</w:t>
      </w:r>
    </w:p>
    <w:p>
      <w:pPr>
        <w:pStyle w:val="75"/>
        <w:spacing w:line="520" w:lineRule="exact"/>
        <w:ind w:firstLine="480"/>
        <w:rPr>
          <w:rFonts w:cs="宋体"/>
          <w:color w:val="auto"/>
          <w:highlight w:val="none"/>
        </w:rPr>
      </w:pPr>
      <w:r>
        <w:rPr>
          <w:rFonts w:hint="eastAsia" w:cs="宋体"/>
          <w:color w:val="auto"/>
          <w:highlight w:val="none"/>
        </w:rPr>
        <w:t>(4)已标价工程量清单中暂列金、暂估价未按谈判文件工程量清单中列明的金额填报的；</w:t>
      </w:r>
    </w:p>
    <w:p>
      <w:pPr>
        <w:pStyle w:val="75"/>
        <w:spacing w:line="520" w:lineRule="exact"/>
        <w:ind w:firstLine="480"/>
        <w:rPr>
          <w:rFonts w:cs="宋体"/>
          <w:color w:val="auto"/>
          <w:highlight w:val="none"/>
        </w:rPr>
      </w:pPr>
      <w:r>
        <w:rPr>
          <w:rFonts w:hint="eastAsia" w:cs="宋体"/>
          <w:color w:val="auto"/>
          <w:highlight w:val="none"/>
        </w:rPr>
        <w:t>(5)当已标价工程量清单中的任何单价、合价或总价，出现两个及以上金额的。</w:t>
      </w:r>
    </w:p>
    <w:p>
      <w:pPr>
        <w:spacing w:line="520" w:lineRule="exact"/>
        <w:ind w:firstLine="480" w:firstLineChars="200"/>
        <w:rPr>
          <w:rFonts w:cs="宋体"/>
          <w:color w:val="auto"/>
          <w:highlight w:val="none"/>
        </w:rPr>
      </w:pPr>
      <w:r>
        <w:rPr>
          <w:rFonts w:hint="eastAsia" w:cs="宋体"/>
          <w:color w:val="auto"/>
          <w:highlight w:val="none"/>
        </w:rPr>
        <w:t>5.6若供应商的最后报价只有一个总价，且相对首次报价有调整(上调取“+”，下调取“-”)，则该调整金额将会以百分比(A)形式套用于首次报价中除暂列金额、专业暂估价以及包干费用以外的各项目单价，调整后的单价(B)作为工程变更及竣工结算的依据。百分比(A)计算如下(保留两位小数)：</w:t>
      </w:r>
    </w:p>
    <w:p>
      <w:pPr>
        <w:spacing w:line="520" w:lineRule="exact"/>
        <w:ind w:firstLine="480" w:firstLineChars="200"/>
        <w:rPr>
          <w:rFonts w:cs="宋体"/>
          <w:color w:val="auto"/>
          <w:highlight w:val="none"/>
        </w:rPr>
      </w:pPr>
      <w:r>
        <w:rPr>
          <w:rFonts w:hint="eastAsia" w:cs="宋体"/>
          <w:color w:val="auto"/>
          <w:highlight w:val="none"/>
        </w:rPr>
        <w:t>百分比(A)=</w:t>
      </w:r>
      <w:r>
        <w:rPr>
          <w:rFonts w:hint="eastAsia" w:cs="宋体"/>
          <w:color w:val="auto"/>
          <w:position w:val="-14"/>
          <w:highlight w:val="none"/>
        </w:rPr>
        <w:object>
          <v:shape id="_x0000_i1025" o:spt="75" type="#_x0000_t75" style="height:20pt;width:128pt;" o:ole="t" filled="f" o:preferrelative="t" stroked="f" coordsize="21600,21600">
            <v:path/>
            <v:fill on="f" focussize="0,0"/>
            <v:stroke on="f" joinstyle="miter"/>
            <v:imagedata r:id="rId20" o:title=""/>
            <o:lock v:ext="edit" aspectratio="t"/>
            <w10:wrap type="none"/>
            <w10:anchorlock/>
          </v:shape>
          <o:OLEObject Type="Embed" ProgID="Equation.KSEE3" ShapeID="_x0000_i1025" DrawAspect="Content" ObjectID="_1468075725" r:id="rId19">
            <o:LockedField>false</o:LockedField>
          </o:OLEObject>
        </w:object>
      </w:r>
    </w:p>
    <w:p>
      <w:pPr>
        <w:spacing w:line="520" w:lineRule="exact"/>
        <w:ind w:firstLine="480" w:firstLineChars="200"/>
        <w:rPr>
          <w:rFonts w:cs="宋体"/>
          <w:color w:val="auto"/>
          <w:highlight w:val="none"/>
        </w:rPr>
      </w:pPr>
      <w:r>
        <w:rPr>
          <w:rFonts w:hint="eastAsia" w:cs="宋体"/>
          <w:color w:val="auto"/>
          <w:highlight w:val="none"/>
        </w:rPr>
        <w:t>调整后的单价(B)=修正后的首次报价中的单价×(1+A)</w:t>
      </w:r>
    </w:p>
    <w:p>
      <w:pPr>
        <w:pStyle w:val="35"/>
        <w:numPr>
          <w:ilvl w:val="1"/>
          <w:numId w:val="0"/>
        </w:numPr>
        <w:spacing w:line="520" w:lineRule="exact"/>
        <w:ind w:firstLine="480" w:firstLineChars="200"/>
        <w:rPr>
          <w:rFonts w:cs="宋体"/>
          <w:color w:val="auto"/>
          <w:highlight w:val="none"/>
          <w:lang w:val="zh-CN"/>
        </w:rPr>
      </w:pPr>
      <w:r>
        <w:rPr>
          <w:rFonts w:hint="eastAsia" w:cs="宋体"/>
          <w:color w:val="auto"/>
          <w:highlight w:val="none"/>
        </w:rPr>
        <w:t>6.</w:t>
      </w:r>
      <w:r>
        <w:rPr>
          <w:rFonts w:hint="eastAsia" w:cs="宋体"/>
          <w:color w:val="auto"/>
          <w:highlight w:val="none"/>
          <w:lang w:val="zh-CN"/>
        </w:rPr>
        <w:t>本次</w:t>
      </w:r>
      <w:r>
        <w:rPr>
          <w:rFonts w:hint="eastAsia" w:cs="宋体"/>
          <w:color w:val="auto"/>
          <w:highlight w:val="none"/>
        </w:rPr>
        <w:t>谈判</w:t>
      </w:r>
      <w:r>
        <w:rPr>
          <w:rFonts w:hint="eastAsia" w:cs="宋体"/>
          <w:color w:val="auto"/>
          <w:highlight w:val="none"/>
          <w:lang w:val="zh-CN"/>
        </w:rPr>
        <w:t>采购最后报价采用现场报价，通过</w:t>
      </w:r>
      <w:r>
        <w:rPr>
          <w:rFonts w:hint="eastAsia" w:cs="宋体"/>
          <w:color w:val="auto"/>
          <w:highlight w:val="none"/>
        </w:rPr>
        <w:t>有效性、完整性、响应程度审查以</w:t>
      </w:r>
      <w:r>
        <w:rPr>
          <w:rFonts w:hint="eastAsia" w:cs="宋体"/>
          <w:color w:val="auto"/>
          <w:highlight w:val="none"/>
          <w:lang w:val="zh-CN"/>
        </w:rPr>
        <w:t>实质性审查的供应商按</w:t>
      </w:r>
      <w:r>
        <w:rPr>
          <w:rFonts w:hint="eastAsia" w:cs="宋体"/>
          <w:color w:val="auto"/>
          <w:highlight w:val="none"/>
        </w:rPr>
        <w:t>谈判</w:t>
      </w:r>
      <w:r>
        <w:rPr>
          <w:rFonts w:hint="eastAsia" w:cs="宋体"/>
          <w:color w:val="auto"/>
          <w:highlight w:val="none"/>
          <w:lang w:val="zh-CN"/>
        </w:rPr>
        <w:t>小组要求进行报价。</w:t>
      </w:r>
    </w:p>
    <w:p>
      <w:pPr>
        <w:pStyle w:val="35"/>
        <w:numPr>
          <w:ilvl w:val="1"/>
          <w:numId w:val="0"/>
        </w:numPr>
        <w:spacing w:line="520" w:lineRule="exact"/>
        <w:ind w:firstLine="480" w:firstLineChars="200"/>
        <w:rPr>
          <w:rFonts w:cs="宋体"/>
          <w:color w:val="auto"/>
          <w:highlight w:val="none"/>
          <w:lang w:val="zh-CN"/>
        </w:rPr>
      </w:pPr>
      <w:r>
        <w:rPr>
          <w:rFonts w:hint="eastAsia" w:cs="宋体"/>
          <w:color w:val="auto"/>
          <w:highlight w:val="none"/>
        </w:rPr>
        <w:t>7.</w:t>
      </w:r>
      <w:r>
        <w:rPr>
          <w:rFonts w:hint="eastAsia" w:cs="宋体"/>
          <w:color w:val="auto"/>
          <w:highlight w:val="none"/>
          <w:lang w:val="zh-CN"/>
        </w:rPr>
        <w:t>供应商报价(包括最后报价)应为完成本竞争性谈判文件中所要求的工程及相应服务所应包括内容的所有价格。</w:t>
      </w:r>
    </w:p>
    <w:p>
      <w:pPr>
        <w:pStyle w:val="65"/>
        <w:spacing w:line="520" w:lineRule="exact"/>
        <w:ind w:firstLine="480"/>
        <w:rPr>
          <w:color w:val="auto"/>
          <w:highlight w:val="none"/>
        </w:rPr>
      </w:pPr>
      <w:r>
        <w:rPr>
          <w:rFonts w:hint="eastAsia" w:cs="宋体"/>
          <w:color w:val="auto"/>
          <w:highlight w:val="none"/>
        </w:rPr>
        <w:t>8.</w:t>
      </w:r>
      <w:r>
        <w:rPr>
          <w:rFonts w:hint="eastAsia" w:cs="宋体"/>
          <w:color w:val="auto"/>
          <w:highlight w:val="none"/>
          <w:lang w:val="zh-CN"/>
        </w:rPr>
        <w:t>成交供应商的成交价是以最后报价表的报价为准(在</w:t>
      </w:r>
      <w:r>
        <w:rPr>
          <w:rFonts w:hint="eastAsia" w:cs="宋体"/>
          <w:color w:val="auto"/>
          <w:highlight w:val="none"/>
        </w:rPr>
        <w:t>谈判</w:t>
      </w:r>
      <w:r>
        <w:rPr>
          <w:rFonts w:hint="eastAsia" w:cs="宋体"/>
          <w:color w:val="auto"/>
          <w:highlight w:val="none"/>
          <w:lang w:val="zh-CN"/>
        </w:rPr>
        <w:t>现场由评审委员会通知现场报价，报价表格式由采购代理机构现场提供，格式详见第</w:t>
      </w:r>
      <w:r>
        <w:rPr>
          <w:rFonts w:hint="eastAsia" w:cs="宋体"/>
          <w:color w:val="auto"/>
          <w:highlight w:val="none"/>
          <w:u w:val="single"/>
        </w:rPr>
        <w:t>三</w:t>
      </w:r>
      <w:r>
        <w:rPr>
          <w:rFonts w:hint="eastAsia" w:cs="宋体"/>
          <w:color w:val="auto"/>
          <w:highlight w:val="none"/>
          <w:lang w:val="zh-CN"/>
        </w:rPr>
        <w:t>章)，并以此作为结算的依据。</w:t>
      </w:r>
    </w:p>
    <w:p>
      <w:pPr>
        <w:pStyle w:val="51"/>
        <w:spacing w:line="520" w:lineRule="exact"/>
        <w:ind w:firstLine="482"/>
        <w:rPr>
          <w:color w:val="auto"/>
          <w:highlight w:val="none"/>
        </w:rPr>
      </w:pPr>
      <w:bookmarkStart w:id="99" w:name="_Toc18977"/>
      <w:r>
        <w:rPr>
          <w:rFonts w:hint="eastAsia"/>
          <w:color w:val="auto"/>
          <w:highlight w:val="none"/>
        </w:rPr>
        <w:t>响应文件编制要求</w:t>
      </w:r>
      <w:bookmarkEnd w:id="98"/>
      <w:bookmarkEnd w:id="99"/>
    </w:p>
    <w:p>
      <w:pPr>
        <w:pStyle w:val="65"/>
        <w:spacing w:line="520" w:lineRule="exact"/>
        <w:ind w:firstLine="480"/>
        <w:rPr>
          <w:color w:val="auto"/>
          <w:highlight w:val="none"/>
        </w:rPr>
      </w:pPr>
      <w:r>
        <w:rPr>
          <w:rFonts w:hint="eastAsia"/>
          <w:color w:val="auto"/>
          <w:highlight w:val="none"/>
        </w:rPr>
        <w:t>响应文件分</w:t>
      </w:r>
      <w:r>
        <w:rPr>
          <w:rFonts w:hint="eastAsia"/>
          <w:b/>
          <w:bCs/>
          <w:color w:val="auto"/>
          <w:highlight w:val="none"/>
        </w:rPr>
        <w:t>《</w:t>
      </w:r>
      <w:r>
        <w:rPr>
          <w:rFonts w:hint="eastAsia"/>
          <w:b/>
          <w:bCs/>
          <w:color w:val="auto"/>
          <w:highlight w:val="none"/>
          <w:u w:val="single"/>
        </w:rPr>
        <w:t>资格、资质性及其他类似效力响应文件</w:t>
      </w:r>
      <w:r>
        <w:rPr>
          <w:rFonts w:hint="eastAsia"/>
          <w:b/>
          <w:bCs/>
          <w:color w:val="auto"/>
          <w:highlight w:val="none"/>
        </w:rPr>
        <w:t>》、《</w:t>
      </w:r>
      <w:r>
        <w:rPr>
          <w:rFonts w:hint="eastAsia"/>
          <w:b/>
          <w:bCs/>
          <w:color w:val="auto"/>
          <w:highlight w:val="none"/>
          <w:u w:val="single"/>
        </w:rPr>
        <w:t>其他响应文件</w:t>
      </w:r>
      <w:r>
        <w:rPr>
          <w:rFonts w:hint="eastAsia"/>
          <w:b/>
          <w:bCs/>
          <w:color w:val="auto"/>
          <w:highlight w:val="none"/>
        </w:rPr>
        <w:t>》</w:t>
      </w:r>
      <w:r>
        <w:rPr>
          <w:rFonts w:hint="eastAsia"/>
          <w:color w:val="auto"/>
          <w:highlight w:val="none"/>
        </w:rPr>
        <w:t>两部分，分册装订。</w:t>
      </w:r>
    </w:p>
    <w:p>
      <w:pPr>
        <w:pStyle w:val="65"/>
        <w:spacing w:line="520" w:lineRule="exact"/>
        <w:ind w:firstLine="480"/>
        <w:rPr>
          <w:color w:val="auto"/>
          <w:highlight w:val="none"/>
        </w:rPr>
      </w:pPr>
      <w:r>
        <w:rPr>
          <w:rFonts w:hint="eastAsia"/>
          <w:color w:val="auto"/>
          <w:highlight w:val="none"/>
        </w:rPr>
        <w:t>本项目供应商只提供纸质响应文件。</w:t>
      </w:r>
    </w:p>
    <w:p>
      <w:pPr>
        <w:pStyle w:val="65"/>
        <w:spacing w:line="520" w:lineRule="exact"/>
        <w:ind w:firstLine="480"/>
        <w:rPr>
          <w:color w:val="auto"/>
          <w:highlight w:val="none"/>
        </w:rPr>
      </w:pPr>
      <w:r>
        <w:rPr>
          <w:rFonts w:hint="eastAsia"/>
          <w:color w:val="auto"/>
          <w:highlight w:val="none"/>
        </w:rPr>
        <w:t>供应商递交的响应文件为一式叁份，其中正本壹份、副本贰份。</w:t>
      </w:r>
    </w:p>
    <w:p>
      <w:pPr>
        <w:pStyle w:val="65"/>
        <w:spacing w:line="520" w:lineRule="exact"/>
        <w:ind w:firstLine="480"/>
        <w:rPr>
          <w:color w:val="auto"/>
          <w:highlight w:val="none"/>
        </w:rPr>
      </w:pPr>
      <w:r>
        <w:rPr>
          <w:rFonts w:hint="eastAsia"/>
          <w:color w:val="auto"/>
          <w:highlight w:val="none"/>
        </w:rPr>
        <w:t>响应文件正本应用不褪色、不变质的墨水书写或打印，并装订成册。并在响应文件封面标明项目名称、项目编号、谈判日期、供应商名称以及 “正本”、“副本”字样。</w:t>
      </w:r>
    </w:p>
    <w:p>
      <w:pPr>
        <w:pStyle w:val="65"/>
        <w:spacing w:line="520" w:lineRule="exact"/>
        <w:ind w:firstLine="480"/>
        <w:rPr>
          <w:color w:val="auto"/>
          <w:highlight w:val="none"/>
        </w:rPr>
      </w:pPr>
      <w:r>
        <w:rPr>
          <w:rFonts w:hint="eastAsia"/>
          <w:color w:val="auto"/>
          <w:highlight w:val="none"/>
        </w:rPr>
        <w:t>响应文件正本和副本统一用A4幅面纸印制(图、表及证件可以除外)，逐页编码。响应文件副本可采用正本的复印件，若正本和副本有不一致的内容，以正本书面响应文件为准。</w:t>
      </w:r>
    </w:p>
    <w:p>
      <w:pPr>
        <w:pStyle w:val="65"/>
        <w:spacing w:line="520" w:lineRule="exact"/>
        <w:ind w:firstLine="480"/>
        <w:rPr>
          <w:color w:val="auto"/>
          <w:highlight w:val="none"/>
        </w:rPr>
      </w:pPr>
      <w:r>
        <w:rPr>
          <w:rFonts w:hint="eastAsia"/>
          <w:color w:val="auto"/>
          <w:highlight w:val="none"/>
        </w:rPr>
        <w:t>响应文件的正本和副本应采用左侧胶装，不得散装或不得采用活页夹等可随时拆换的方式装订，不得有零散页。</w:t>
      </w:r>
    </w:p>
    <w:p>
      <w:pPr>
        <w:pStyle w:val="65"/>
        <w:spacing w:line="520" w:lineRule="exact"/>
        <w:ind w:firstLine="480"/>
        <w:rPr>
          <w:color w:val="auto"/>
          <w:highlight w:val="none"/>
        </w:rPr>
      </w:pPr>
      <w:r>
        <w:rPr>
          <w:rFonts w:hint="eastAsia"/>
          <w:color w:val="auto"/>
          <w:highlight w:val="none"/>
        </w:rPr>
        <w:t>若同一册的内容较多，可装订成若干分册，并在封面标明次序及册数。</w:t>
      </w:r>
    </w:p>
    <w:p>
      <w:pPr>
        <w:pStyle w:val="65"/>
        <w:spacing w:line="520" w:lineRule="exact"/>
        <w:ind w:firstLine="480"/>
        <w:rPr>
          <w:color w:val="auto"/>
          <w:highlight w:val="none"/>
        </w:rPr>
      </w:pPr>
      <w:r>
        <w:rPr>
          <w:rFonts w:hint="eastAsia"/>
          <w:color w:val="auto"/>
          <w:highlight w:val="none"/>
        </w:rPr>
        <w:t>响应文件中的证明、证件及附件等复印件应集中紧附在相应正文内容后面，并尽量与前面正文部分的顺序相对应。</w:t>
      </w:r>
    </w:p>
    <w:p>
      <w:pPr>
        <w:pStyle w:val="65"/>
        <w:spacing w:line="520" w:lineRule="exact"/>
        <w:ind w:firstLine="480"/>
        <w:rPr>
          <w:color w:val="auto"/>
          <w:highlight w:val="none"/>
        </w:rPr>
      </w:pPr>
      <w:r>
        <w:rPr>
          <w:rFonts w:hint="eastAsia"/>
          <w:color w:val="auto"/>
          <w:highlight w:val="none"/>
        </w:rPr>
        <w:t>竞争性谈判文件要求响应文件签字的应按竞争性谈判文件的要求由供应商法定代表人或经正式授权的供应商代表签字(签字可用具有法定效力的个人印章代替)；竞争性谈判文件要求响应文件盖章的应加盖供应商单位公章，不得使用专用章(如经济合同章、投标专用章等)或下属单位印章代替；竞争性谈判文件未规定格式的可由供应商自拟格式并加盖供应商单位公章</w:t>
      </w:r>
      <w:r>
        <w:rPr>
          <w:rFonts w:hint="eastAsia"/>
          <w:b/>
          <w:bCs/>
          <w:color w:val="auto"/>
          <w:highlight w:val="none"/>
        </w:rPr>
        <w:t>(实质性要求)</w:t>
      </w:r>
      <w:r>
        <w:rPr>
          <w:rFonts w:hint="eastAsia"/>
          <w:color w:val="auto"/>
          <w:highlight w:val="none"/>
        </w:rPr>
        <w:t>。</w:t>
      </w:r>
    </w:p>
    <w:p>
      <w:pPr>
        <w:pStyle w:val="65"/>
        <w:spacing w:line="520" w:lineRule="exact"/>
        <w:ind w:firstLine="480"/>
        <w:rPr>
          <w:color w:val="auto"/>
          <w:highlight w:val="none"/>
        </w:rPr>
      </w:pPr>
      <w:r>
        <w:rPr>
          <w:rFonts w:hint="eastAsia"/>
          <w:color w:val="auto"/>
          <w:highlight w:val="none"/>
        </w:rPr>
        <w:t>本采购文件要求的复印件是指对图文进行复制后的文件，包括扫描、复印、影印等方式复制的材料。</w:t>
      </w:r>
    </w:p>
    <w:p>
      <w:pPr>
        <w:pStyle w:val="65"/>
        <w:spacing w:line="520" w:lineRule="exact"/>
        <w:ind w:firstLine="480"/>
        <w:rPr>
          <w:color w:val="auto"/>
          <w:highlight w:val="none"/>
        </w:rPr>
      </w:pPr>
      <w:r>
        <w:rPr>
          <w:rFonts w:hint="eastAsia"/>
          <w:color w:val="auto"/>
          <w:highlight w:val="none"/>
        </w:rPr>
        <w:t>为加强采购项目档案的数字化管理，便于采购人后期项目监督、审计及检查，倡导各供应商在递交本项目响应文件时一并递交项目的</w:t>
      </w:r>
      <w:r>
        <w:rPr>
          <w:rFonts w:hint="eastAsia"/>
          <w:b/>
          <w:bCs/>
          <w:color w:val="auto"/>
          <w:highlight w:val="none"/>
        </w:rPr>
        <w:t>电子文档一份</w:t>
      </w:r>
      <w:r>
        <w:rPr>
          <w:rFonts w:hint="eastAsia"/>
          <w:color w:val="auto"/>
          <w:highlight w:val="none"/>
        </w:rPr>
        <w:t>。电子文档为PDF格式版本，保存介质采用USB闪存盘(U盘)。制作要求为按竞争性谈判文件要求制作完成并加盖供应商公章及签名的响应文件的扫描件。电子文档单独密封递交，外层标注供应商名称、电子文档、加盖供应商公章。如电子文档与书面的响应文件有不一致的内容，以书面响应文件正本为准。</w:t>
      </w:r>
    </w:p>
    <w:p>
      <w:pPr>
        <w:pStyle w:val="65"/>
        <w:spacing w:line="520" w:lineRule="exact"/>
        <w:ind w:firstLine="480"/>
        <w:rPr>
          <w:color w:val="auto"/>
          <w:highlight w:val="none"/>
        </w:rPr>
      </w:pPr>
      <w:r>
        <w:rPr>
          <w:rFonts w:hint="eastAsia"/>
          <w:color w:val="auto"/>
          <w:highlight w:val="none"/>
        </w:rPr>
        <w:t>补充、修改的响应文件的装订也应按以上要求办理。</w:t>
      </w:r>
    </w:p>
    <w:p>
      <w:pPr>
        <w:pStyle w:val="51"/>
        <w:spacing w:line="520" w:lineRule="exact"/>
        <w:ind w:firstLine="482"/>
        <w:rPr>
          <w:color w:val="auto"/>
          <w:highlight w:val="none"/>
        </w:rPr>
      </w:pPr>
      <w:bookmarkStart w:id="100" w:name="_Toc14169"/>
      <w:r>
        <w:rPr>
          <w:rFonts w:hint="eastAsia"/>
          <w:color w:val="auto"/>
          <w:highlight w:val="none"/>
        </w:rPr>
        <w:t>响应文件的密封和标注</w:t>
      </w:r>
      <w:bookmarkEnd w:id="100"/>
    </w:p>
    <w:p>
      <w:pPr>
        <w:pStyle w:val="38"/>
        <w:numPr>
          <w:ilvl w:val="2"/>
          <w:numId w:val="0"/>
        </w:numPr>
        <w:spacing w:line="520" w:lineRule="exact"/>
        <w:ind w:firstLine="480" w:firstLineChars="200"/>
        <w:rPr>
          <w:color w:val="auto"/>
          <w:highlight w:val="none"/>
        </w:rPr>
      </w:pPr>
      <w:bookmarkStart w:id="101" w:name="_Toc27272"/>
      <w:bookmarkStart w:id="102" w:name="_Toc32589"/>
      <w:bookmarkStart w:id="103" w:name="_Toc27391"/>
      <w:bookmarkStart w:id="104" w:name="_Toc6048"/>
      <w:r>
        <w:rPr>
          <w:rFonts w:hint="eastAsia"/>
          <w:color w:val="auto"/>
          <w:highlight w:val="none"/>
        </w:rPr>
        <w:t>1.本项不属于本项目谈判小组评审范畴，由采购人、采购代理机构在接收响应文件时及时处理。</w:t>
      </w:r>
    </w:p>
    <w:p>
      <w:pPr>
        <w:pStyle w:val="38"/>
        <w:numPr>
          <w:ilvl w:val="2"/>
          <w:numId w:val="0"/>
        </w:numPr>
        <w:spacing w:line="520" w:lineRule="exact"/>
        <w:ind w:firstLine="480" w:firstLineChars="200"/>
        <w:rPr>
          <w:color w:val="auto"/>
          <w:highlight w:val="none"/>
        </w:rPr>
      </w:pPr>
      <w:r>
        <w:rPr>
          <w:rFonts w:hint="eastAsia"/>
          <w:color w:val="auto"/>
          <w:highlight w:val="none"/>
        </w:rPr>
        <w:t>2.响应文件可以单独密封包装，也可以将所有响应文件密封包装在一个密封袋内。</w:t>
      </w:r>
    </w:p>
    <w:p>
      <w:pPr>
        <w:pStyle w:val="38"/>
        <w:numPr>
          <w:ilvl w:val="2"/>
          <w:numId w:val="0"/>
        </w:numPr>
        <w:spacing w:line="520" w:lineRule="exact"/>
        <w:ind w:firstLine="480" w:firstLineChars="200"/>
        <w:rPr>
          <w:color w:val="auto"/>
          <w:highlight w:val="none"/>
        </w:rPr>
      </w:pPr>
      <w:r>
        <w:rPr>
          <w:rFonts w:hint="eastAsia"/>
          <w:color w:val="auto"/>
          <w:highlight w:val="none"/>
        </w:rPr>
        <w:t>3.响应文件密封袋的最外层应清楚地标明采购项目名称、项目编号、供应商名称、谈判日期。</w:t>
      </w:r>
    </w:p>
    <w:p>
      <w:pPr>
        <w:pStyle w:val="38"/>
        <w:numPr>
          <w:ilvl w:val="2"/>
          <w:numId w:val="0"/>
        </w:numPr>
        <w:spacing w:line="520" w:lineRule="exact"/>
        <w:ind w:firstLine="480" w:firstLineChars="200"/>
        <w:rPr>
          <w:color w:val="auto"/>
          <w:highlight w:val="none"/>
        </w:rPr>
      </w:pPr>
      <w:r>
        <w:rPr>
          <w:rFonts w:hint="eastAsia"/>
          <w:color w:val="auto"/>
          <w:highlight w:val="none"/>
        </w:rPr>
        <w:t>4.所有外层密封袋的封口处应粘贴牢固。</w:t>
      </w:r>
    </w:p>
    <w:p>
      <w:pPr>
        <w:pStyle w:val="38"/>
        <w:numPr>
          <w:ilvl w:val="2"/>
          <w:numId w:val="0"/>
        </w:numPr>
        <w:spacing w:line="520" w:lineRule="exact"/>
        <w:ind w:firstLine="480" w:firstLineChars="200"/>
        <w:rPr>
          <w:color w:val="auto"/>
          <w:highlight w:val="none"/>
        </w:rPr>
      </w:pPr>
      <w:r>
        <w:rPr>
          <w:rFonts w:hint="eastAsia"/>
          <w:color w:val="auto"/>
          <w:highlight w:val="none"/>
        </w:rPr>
        <w:t>5.未按以上要求进行密封和标注的响应文件，采购人、采购代理机构将拒收或者在响应文件递交截止时间前按照谈判文件要求修改完善后接收。</w:t>
      </w:r>
    </w:p>
    <w:p>
      <w:pPr>
        <w:pStyle w:val="51"/>
        <w:spacing w:line="520" w:lineRule="exact"/>
        <w:ind w:firstLine="482"/>
        <w:rPr>
          <w:color w:val="auto"/>
          <w:highlight w:val="none"/>
        </w:rPr>
      </w:pPr>
      <w:bookmarkStart w:id="105" w:name="_Toc18093"/>
      <w:r>
        <w:rPr>
          <w:rFonts w:hint="eastAsia"/>
          <w:color w:val="auto"/>
          <w:highlight w:val="none"/>
        </w:rPr>
        <w:t>响应文件的递交</w:t>
      </w:r>
      <w:bookmarkEnd w:id="101"/>
      <w:bookmarkEnd w:id="102"/>
      <w:bookmarkEnd w:id="103"/>
      <w:bookmarkEnd w:id="104"/>
      <w:bookmarkEnd w:id="105"/>
    </w:p>
    <w:p>
      <w:pPr>
        <w:pStyle w:val="65"/>
        <w:spacing w:line="520" w:lineRule="exact"/>
        <w:ind w:firstLine="480"/>
        <w:rPr>
          <w:color w:val="auto"/>
          <w:highlight w:val="none"/>
        </w:rPr>
      </w:pPr>
      <w:r>
        <w:rPr>
          <w:rFonts w:hint="eastAsia"/>
          <w:color w:val="auto"/>
          <w:highlight w:val="none"/>
        </w:rPr>
        <w:t>供应商应在竞争性谈判文件规定的响应文件递交截止时间前，将响应文件按谈判文件规定密封、签署、盖章后送达谈判地点。</w:t>
      </w:r>
      <w:r>
        <w:rPr>
          <w:rFonts w:hint="eastAsia"/>
          <w:b/>
          <w:bCs/>
          <w:color w:val="auto"/>
          <w:highlight w:val="none"/>
        </w:rPr>
        <w:t>逾期送达的响应文件为无效文件</w:t>
      </w:r>
      <w:r>
        <w:rPr>
          <w:rFonts w:hint="eastAsia"/>
          <w:color w:val="auto"/>
          <w:highlight w:val="none"/>
        </w:rPr>
        <w:t>，将被采购代理机构拒收。</w:t>
      </w:r>
    </w:p>
    <w:p>
      <w:pPr>
        <w:pStyle w:val="65"/>
        <w:spacing w:line="520" w:lineRule="exact"/>
        <w:ind w:firstLine="480"/>
        <w:rPr>
          <w:color w:val="auto"/>
          <w:highlight w:val="none"/>
        </w:rPr>
      </w:pPr>
      <w:r>
        <w:rPr>
          <w:rFonts w:hint="eastAsia"/>
          <w:color w:val="auto"/>
          <w:highlight w:val="none"/>
        </w:rPr>
        <w:t>递交响应文件时，供应商名称和响应文件的项目编号应当与报名供应商名称和谈判文件的项目编号一致。但是，响应文件实质内容与报名供应商名称和谈判文件的项目编号一致，只是封面文字错误的，可以在评审过程中当面予以澄清，以有效的澄清材料作为认定响应文件是否有效的依据。</w:t>
      </w:r>
    </w:p>
    <w:p>
      <w:pPr>
        <w:pStyle w:val="65"/>
        <w:spacing w:line="520" w:lineRule="exact"/>
        <w:ind w:firstLine="480"/>
        <w:rPr>
          <w:color w:val="auto"/>
          <w:highlight w:val="none"/>
        </w:rPr>
      </w:pPr>
      <w:r>
        <w:rPr>
          <w:rFonts w:hint="eastAsia"/>
          <w:color w:val="auto"/>
          <w:highlight w:val="none"/>
        </w:rPr>
        <w:t>本次竞争性谈判不接收邮寄的响应文件。</w:t>
      </w:r>
    </w:p>
    <w:p>
      <w:pPr>
        <w:pStyle w:val="65"/>
        <w:spacing w:line="520" w:lineRule="exact"/>
        <w:ind w:firstLine="480"/>
        <w:rPr>
          <w:color w:val="auto"/>
          <w:highlight w:val="none"/>
        </w:rPr>
      </w:pPr>
      <w:r>
        <w:rPr>
          <w:rFonts w:hint="eastAsia"/>
          <w:color w:val="auto"/>
          <w:highlight w:val="none"/>
        </w:rPr>
        <w:t>供应商对其提交的响应文件的真实性、合法性承担法律责任。</w:t>
      </w:r>
    </w:p>
    <w:p>
      <w:pPr>
        <w:pStyle w:val="51"/>
        <w:spacing w:line="520" w:lineRule="exact"/>
        <w:ind w:firstLine="482"/>
        <w:rPr>
          <w:color w:val="auto"/>
          <w:highlight w:val="none"/>
        </w:rPr>
      </w:pPr>
      <w:bookmarkStart w:id="106" w:name="_Toc17004"/>
      <w:bookmarkStart w:id="107" w:name="_Toc11511"/>
      <w:r>
        <w:rPr>
          <w:rFonts w:hint="eastAsia"/>
          <w:color w:val="auto"/>
          <w:highlight w:val="none"/>
        </w:rPr>
        <w:t>响应文件的修改和撤回</w:t>
      </w:r>
      <w:bookmarkEnd w:id="106"/>
      <w:bookmarkEnd w:id="107"/>
    </w:p>
    <w:p>
      <w:pPr>
        <w:pStyle w:val="65"/>
        <w:spacing w:line="520" w:lineRule="exact"/>
        <w:ind w:firstLine="480"/>
        <w:rPr>
          <w:color w:val="auto"/>
          <w:highlight w:val="none"/>
        </w:rPr>
      </w:pPr>
      <w:r>
        <w:rPr>
          <w:rFonts w:hint="eastAsia"/>
          <w:color w:val="auto"/>
          <w:highlight w:val="none"/>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补充、修改的内容应当按照谈判文件要求签署、盖章、密封后，作为响应文件的组成部分。</w:t>
      </w:r>
    </w:p>
    <w:p>
      <w:pPr>
        <w:pStyle w:val="65"/>
        <w:spacing w:line="520" w:lineRule="exact"/>
        <w:ind w:firstLine="480"/>
        <w:rPr>
          <w:color w:val="auto"/>
          <w:highlight w:val="none"/>
        </w:rPr>
      </w:pPr>
      <w:r>
        <w:rPr>
          <w:rFonts w:hint="eastAsia"/>
          <w:color w:val="auto"/>
          <w:highlight w:val="none"/>
        </w:rPr>
        <w:t>供应商的补充、修改或撤回申请书，应由其法定代表人/单位负责人或授权代表签署并盖单位公章。补充、修改应按谈判文件规定进行密封和标注，并在密封袋上标注“补充”、“修改”字样。</w:t>
      </w:r>
    </w:p>
    <w:p>
      <w:pPr>
        <w:pStyle w:val="65"/>
        <w:spacing w:line="520" w:lineRule="exact"/>
        <w:ind w:firstLine="480"/>
        <w:rPr>
          <w:color w:val="auto"/>
          <w:highlight w:val="none"/>
        </w:rPr>
      </w:pPr>
      <w:r>
        <w:rPr>
          <w:rFonts w:hint="eastAsia"/>
          <w:color w:val="auto"/>
          <w:highlight w:val="none"/>
        </w:rPr>
        <w:t>在响应文件递交截止时间之后，供应商不得对其递交的响应文件进行撤回。</w:t>
      </w:r>
    </w:p>
    <w:p>
      <w:pPr>
        <w:pStyle w:val="51"/>
        <w:spacing w:line="520" w:lineRule="exact"/>
        <w:ind w:firstLine="482"/>
        <w:rPr>
          <w:color w:val="auto"/>
          <w:highlight w:val="none"/>
        </w:rPr>
      </w:pPr>
      <w:bookmarkStart w:id="108" w:name="_Toc10698"/>
      <w:bookmarkStart w:id="109" w:name="_Toc1514"/>
      <w:r>
        <w:rPr>
          <w:rFonts w:hint="eastAsia"/>
          <w:color w:val="auto"/>
          <w:highlight w:val="none"/>
        </w:rPr>
        <w:t>谈判保证金</w:t>
      </w:r>
      <w:r>
        <w:rPr>
          <w:rFonts w:hint="eastAsia" w:cs="宋体"/>
          <w:color w:val="auto"/>
          <w:highlight w:val="none"/>
        </w:rPr>
        <w:t>(实质性要求)</w:t>
      </w:r>
      <w:bookmarkEnd w:id="108"/>
      <w:bookmarkEnd w:id="109"/>
    </w:p>
    <w:p>
      <w:pPr>
        <w:numPr>
          <w:ilvl w:val="3"/>
          <w:numId w:val="3"/>
        </w:numPr>
        <w:wordWrap w:val="0"/>
        <w:topLinePunct/>
        <w:spacing w:line="520" w:lineRule="exact"/>
        <w:ind w:firstLine="480" w:firstLineChars="200"/>
        <w:rPr>
          <w:rFonts w:cs="宋体"/>
          <w:color w:val="auto"/>
          <w:kern w:val="0"/>
          <w:highlight w:val="none"/>
        </w:rPr>
      </w:pPr>
      <w:r>
        <w:rPr>
          <w:rFonts w:hint="eastAsia" w:cs="宋体"/>
          <w:color w:val="auto"/>
          <w:kern w:val="0"/>
          <w:highlight w:val="none"/>
        </w:rPr>
        <w:t>供应商应按照竞争性谈判文件规定交纳谈判保证金。</w:t>
      </w:r>
    </w:p>
    <w:p>
      <w:pPr>
        <w:numPr>
          <w:ilvl w:val="3"/>
          <w:numId w:val="3"/>
        </w:numPr>
        <w:wordWrap w:val="0"/>
        <w:topLinePunct/>
        <w:spacing w:line="520" w:lineRule="exact"/>
        <w:ind w:firstLine="480" w:firstLineChars="200"/>
        <w:rPr>
          <w:rFonts w:cs="宋体"/>
          <w:color w:val="auto"/>
          <w:kern w:val="0"/>
          <w:highlight w:val="none"/>
        </w:rPr>
      </w:pPr>
      <w:r>
        <w:rPr>
          <w:rFonts w:hint="eastAsia" w:cs="宋体"/>
          <w:color w:val="auto"/>
          <w:kern w:val="0"/>
          <w:highlight w:val="none"/>
        </w:rPr>
        <w:t>供应商须将提交谈判保证金的银行回单复印件加盖供应商公章作为其谈判保证金有效凭证；若以保函方式提交谈判保证金的，提供加盖该供应商公章的保函原件作为有效凭证。</w:t>
      </w:r>
    </w:p>
    <w:p>
      <w:pPr>
        <w:numPr>
          <w:ilvl w:val="3"/>
          <w:numId w:val="3"/>
        </w:numPr>
        <w:wordWrap w:val="0"/>
        <w:topLinePunct/>
        <w:spacing w:line="520" w:lineRule="exact"/>
        <w:ind w:firstLine="480" w:firstLineChars="200"/>
        <w:rPr>
          <w:rFonts w:cs="宋体"/>
          <w:color w:val="auto"/>
          <w:kern w:val="0"/>
          <w:highlight w:val="none"/>
        </w:rPr>
      </w:pPr>
      <w:r>
        <w:rPr>
          <w:rFonts w:hint="eastAsia" w:cs="宋体"/>
          <w:color w:val="auto"/>
          <w:kern w:val="0"/>
          <w:highlight w:val="none"/>
        </w:rPr>
        <w:t>谈判保证金的交纳凭证应按谈判文件要求装订在响应文件中与响应文件同时递交。未按谈判文件要求在规定时间前交纳规定数额谈判保证金的响应文件无效。</w:t>
      </w:r>
    </w:p>
    <w:p>
      <w:pPr>
        <w:numPr>
          <w:ilvl w:val="3"/>
          <w:numId w:val="3"/>
        </w:numPr>
        <w:wordWrap w:val="0"/>
        <w:topLinePunct/>
        <w:spacing w:line="520" w:lineRule="exact"/>
        <w:ind w:firstLine="480" w:firstLineChars="200"/>
        <w:rPr>
          <w:rFonts w:cs="宋体"/>
          <w:color w:val="auto"/>
          <w:kern w:val="0"/>
          <w:highlight w:val="none"/>
        </w:rPr>
      </w:pPr>
      <w:r>
        <w:rPr>
          <w:rFonts w:hint="eastAsia" w:cs="宋体"/>
          <w:color w:val="auto"/>
          <w:kern w:val="0"/>
          <w:highlight w:val="none"/>
        </w:rPr>
        <w:t>供应商所交纳的谈判保证金不计利息。</w:t>
      </w:r>
    </w:p>
    <w:p>
      <w:pPr>
        <w:numPr>
          <w:ilvl w:val="3"/>
          <w:numId w:val="3"/>
        </w:numPr>
        <w:wordWrap w:val="0"/>
        <w:topLinePunct/>
        <w:spacing w:line="520" w:lineRule="exact"/>
        <w:ind w:firstLine="480" w:firstLineChars="200"/>
        <w:rPr>
          <w:rFonts w:cs="宋体"/>
          <w:color w:val="auto"/>
          <w:kern w:val="0"/>
          <w:highlight w:val="none"/>
        </w:rPr>
      </w:pPr>
      <w:r>
        <w:rPr>
          <w:rFonts w:hint="eastAsia" w:cs="宋体"/>
          <w:color w:val="auto"/>
          <w:kern w:val="0"/>
          <w:highlight w:val="none"/>
        </w:rPr>
        <w:t>未成交供应商的谈判保证金，将在成交通知书发出后五个工作日内全额退还。成交供应商的谈判保证金，在合同签订生效后五个工作日内全额退还，退还时请返还采购合同(原件)1份，到本采购代理机构财务部门办理。</w:t>
      </w:r>
    </w:p>
    <w:p>
      <w:pPr>
        <w:wordWrap w:val="0"/>
        <w:topLinePunct/>
        <w:spacing w:line="520" w:lineRule="exact"/>
        <w:ind w:firstLine="482" w:firstLineChars="200"/>
        <w:jc w:val="both"/>
        <w:rPr>
          <w:rFonts w:ascii="Times New Roman" w:hAnsi="Times New Roman" w:cs="Times New Roman"/>
          <w:b/>
          <w:color w:val="auto"/>
          <w:kern w:val="0"/>
          <w:highlight w:val="none"/>
        </w:rPr>
      </w:pPr>
      <w:r>
        <w:rPr>
          <w:rFonts w:hint="eastAsia" w:ascii="Times New Roman" w:hAnsi="Times New Roman" w:cs="Times New Roman"/>
          <w:b/>
          <w:color w:val="auto"/>
          <w:kern w:val="0"/>
          <w:highlight w:val="none"/>
        </w:rPr>
        <w:t>注：①因供应商自身原因造成的保证金延迟退还，采购代理机构不承担相应责任；②供应商因涉嫌违法违规，按照规定应当不予退还保证金的，有关部门处理认定违法违规行为期间不计入退还保证金期限内。</w:t>
      </w:r>
    </w:p>
    <w:p>
      <w:pPr>
        <w:numPr>
          <w:ilvl w:val="3"/>
          <w:numId w:val="3"/>
        </w:numPr>
        <w:wordWrap w:val="0"/>
        <w:topLinePunct/>
        <w:spacing w:line="520" w:lineRule="exact"/>
        <w:ind w:firstLine="480" w:firstLineChars="200"/>
        <w:rPr>
          <w:rFonts w:cs="宋体"/>
          <w:color w:val="auto"/>
          <w:kern w:val="0"/>
          <w:highlight w:val="none"/>
        </w:rPr>
      </w:pPr>
      <w:r>
        <w:rPr>
          <w:rFonts w:hint="eastAsia" w:cs="宋体"/>
          <w:color w:val="auto"/>
          <w:kern w:val="0"/>
          <w:highlight w:val="none"/>
        </w:rPr>
        <w:t>发生下列情形之一的，采购代理机构将不予退还谈判保证金：</w:t>
      </w:r>
    </w:p>
    <w:p>
      <w:pPr>
        <w:wordWrap w:val="0"/>
        <w:topLinePunct/>
        <w:spacing w:line="520" w:lineRule="exact"/>
        <w:ind w:firstLine="480" w:firstLineChars="200"/>
        <w:jc w:val="both"/>
        <w:rPr>
          <w:rFonts w:cs="宋体"/>
          <w:bCs/>
          <w:color w:val="auto"/>
          <w:kern w:val="0"/>
          <w:highlight w:val="none"/>
        </w:rPr>
      </w:pPr>
      <w:r>
        <w:rPr>
          <w:rFonts w:hint="eastAsia" w:cs="宋体"/>
          <w:bCs/>
          <w:color w:val="auto"/>
          <w:kern w:val="0"/>
          <w:highlight w:val="none"/>
        </w:rPr>
        <w:t>6.1供应商在提交响应文件截止时间后撤回响应文件的；</w:t>
      </w:r>
    </w:p>
    <w:p>
      <w:pPr>
        <w:wordWrap w:val="0"/>
        <w:topLinePunct/>
        <w:spacing w:line="520" w:lineRule="exact"/>
        <w:ind w:firstLine="480" w:firstLineChars="200"/>
        <w:jc w:val="both"/>
        <w:rPr>
          <w:rFonts w:cs="宋体"/>
          <w:bCs/>
          <w:color w:val="auto"/>
          <w:kern w:val="0"/>
          <w:highlight w:val="none"/>
        </w:rPr>
      </w:pPr>
      <w:r>
        <w:rPr>
          <w:rFonts w:hint="eastAsia" w:cs="宋体"/>
          <w:bCs/>
          <w:color w:val="auto"/>
          <w:kern w:val="0"/>
          <w:highlight w:val="none"/>
        </w:rPr>
        <w:t>6.2供应商在响应文件中提供虚假材料的；</w:t>
      </w:r>
    </w:p>
    <w:p>
      <w:pPr>
        <w:wordWrap w:val="0"/>
        <w:topLinePunct/>
        <w:spacing w:line="520" w:lineRule="exact"/>
        <w:ind w:firstLine="480" w:firstLineChars="200"/>
        <w:jc w:val="both"/>
        <w:rPr>
          <w:rFonts w:cs="宋体"/>
          <w:bCs/>
          <w:color w:val="auto"/>
          <w:kern w:val="0"/>
          <w:highlight w:val="none"/>
        </w:rPr>
      </w:pPr>
      <w:r>
        <w:rPr>
          <w:rFonts w:hint="eastAsia" w:cs="宋体"/>
          <w:bCs/>
          <w:color w:val="auto"/>
          <w:kern w:val="0"/>
          <w:highlight w:val="none"/>
        </w:rPr>
        <w:t>6.3除因不可抗力或谈判文件认可的情形以外，成交供应商不与采购人签订合同的；</w:t>
      </w:r>
    </w:p>
    <w:p>
      <w:pPr>
        <w:wordWrap w:val="0"/>
        <w:topLinePunct/>
        <w:spacing w:line="520" w:lineRule="exact"/>
        <w:ind w:firstLine="480" w:firstLineChars="200"/>
        <w:jc w:val="both"/>
        <w:rPr>
          <w:rFonts w:cs="宋体"/>
          <w:bCs/>
          <w:color w:val="auto"/>
          <w:kern w:val="0"/>
          <w:highlight w:val="none"/>
        </w:rPr>
      </w:pPr>
      <w:r>
        <w:rPr>
          <w:rFonts w:hint="eastAsia" w:cs="宋体"/>
          <w:bCs/>
          <w:color w:val="auto"/>
          <w:kern w:val="0"/>
          <w:highlight w:val="none"/>
        </w:rPr>
        <w:t>6.4供应商与采购人、其他供应商或者采购代理机构恶意串通的；</w:t>
      </w:r>
    </w:p>
    <w:p>
      <w:pPr>
        <w:wordWrap w:val="0"/>
        <w:topLinePunct/>
        <w:spacing w:line="520" w:lineRule="exact"/>
        <w:ind w:firstLine="480" w:firstLineChars="200"/>
        <w:jc w:val="both"/>
        <w:rPr>
          <w:color w:val="auto"/>
          <w:highlight w:val="none"/>
        </w:rPr>
      </w:pPr>
      <w:r>
        <w:rPr>
          <w:rFonts w:hint="eastAsia" w:cs="宋体"/>
          <w:bCs/>
          <w:color w:val="auto"/>
          <w:kern w:val="0"/>
          <w:highlight w:val="none"/>
        </w:rPr>
        <w:t>6.5谈判文件规定的其他情形。</w:t>
      </w:r>
    </w:p>
    <w:p>
      <w:pPr>
        <w:pStyle w:val="37"/>
        <w:spacing w:before="120" w:beforeLines="50" w:after="120" w:afterLines="50" w:line="520" w:lineRule="exact"/>
        <w:ind w:firstLine="0" w:firstLineChars="0"/>
        <w:jc w:val="center"/>
        <w:rPr>
          <w:color w:val="auto"/>
          <w:sz w:val="32"/>
          <w:szCs w:val="32"/>
          <w:highlight w:val="none"/>
        </w:rPr>
      </w:pPr>
      <w:bookmarkStart w:id="110" w:name="_Toc29699"/>
      <w:bookmarkStart w:id="111" w:name="_Toc15213"/>
      <w:bookmarkStart w:id="112" w:name="_Toc6947"/>
      <w:bookmarkStart w:id="113" w:name="_Toc5914"/>
      <w:bookmarkStart w:id="114" w:name="_Toc6138"/>
      <w:r>
        <w:rPr>
          <w:rFonts w:hint="eastAsia"/>
          <w:color w:val="auto"/>
          <w:sz w:val="32"/>
          <w:szCs w:val="32"/>
          <w:highlight w:val="none"/>
        </w:rPr>
        <w:t>谈判会</w:t>
      </w:r>
      <w:bookmarkEnd w:id="110"/>
      <w:bookmarkEnd w:id="111"/>
    </w:p>
    <w:p>
      <w:pPr>
        <w:pStyle w:val="35"/>
        <w:numPr>
          <w:ilvl w:val="0"/>
          <w:numId w:val="24"/>
        </w:numPr>
        <w:spacing w:line="520" w:lineRule="exact"/>
        <w:ind w:firstLineChars="0"/>
        <w:rPr>
          <w:b/>
          <w:bCs/>
          <w:color w:val="auto"/>
          <w:highlight w:val="none"/>
        </w:rPr>
      </w:pPr>
      <w:r>
        <w:rPr>
          <w:rFonts w:hint="eastAsia"/>
          <w:b/>
          <w:bCs/>
          <w:color w:val="auto"/>
          <w:highlight w:val="none"/>
        </w:rPr>
        <w:t>谈判会人员</w:t>
      </w:r>
    </w:p>
    <w:p>
      <w:pPr>
        <w:pStyle w:val="48"/>
        <w:spacing w:line="520" w:lineRule="exact"/>
        <w:rPr>
          <w:color w:val="auto"/>
          <w:highlight w:val="none"/>
        </w:rPr>
      </w:pPr>
      <w:r>
        <w:rPr>
          <w:rFonts w:hint="eastAsia"/>
          <w:color w:val="auto"/>
          <w:highlight w:val="none"/>
        </w:rPr>
        <w:t>采购代理机构在竞争性谈判文件规定的时间和地点组织谈判，采购人、供应商须派授权代表参加并签到以证明其出席，谈判会由采购代理机构主持。</w:t>
      </w:r>
    </w:p>
    <w:p>
      <w:pPr>
        <w:pStyle w:val="35"/>
        <w:numPr>
          <w:ilvl w:val="0"/>
          <w:numId w:val="24"/>
        </w:numPr>
        <w:spacing w:line="520" w:lineRule="exact"/>
        <w:ind w:firstLineChars="0"/>
        <w:rPr>
          <w:b/>
          <w:bCs/>
          <w:color w:val="auto"/>
          <w:highlight w:val="none"/>
        </w:rPr>
      </w:pPr>
      <w:r>
        <w:rPr>
          <w:rFonts w:hint="eastAsia"/>
          <w:b/>
          <w:bCs/>
          <w:color w:val="auto"/>
          <w:highlight w:val="none"/>
        </w:rPr>
        <w:t>谈判会内容</w:t>
      </w:r>
    </w:p>
    <w:p>
      <w:pPr>
        <w:pStyle w:val="48"/>
        <w:spacing w:line="520" w:lineRule="exact"/>
        <w:rPr>
          <w:color w:val="auto"/>
          <w:highlight w:val="none"/>
        </w:rPr>
      </w:pPr>
      <w:r>
        <w:rPr>
          <w:rFonts w:hint="eastAsia"/>
          <w:color w:val="auto"/>
          <w:highlight w:val="none"/>
        </w:rPr>
        <w:t>谈判会主持人按照谈判文件规定宣布响应文件递交截止时间，按照规定主持谈判会。将按以下程序进行：</w:t>
      </w:r>
    </w:p>
    <w:p>
      <w:pPr>
        <w:pStyle w:val="65"/>
        <w:spacing w:line="520" w:lineRule="exact"/>
        <w:ind w:firstLine="480"/>
        <w:rPr>
          <w:color w:val="auto"/>
          <w:highlight w:val="none"/>
        </w:rPr>
      </w:pPr>
      <w:r>
        <w:rPr>
          <w:rFonts w:hint="eastAsia"/>
          <w:color w:val="auto"/>
          <w:highlight w:val="none"/>
        </w:rPr>
        <w:t>宣布谈判会开始。响应文件递交截止时间已到，主持人宣布谈判会开始并致辞。</w:t>
      </w:r>
    </w:p>
    <w:p>
      <w:pPr>
        <w:pStyle w:val="65"/>
        <w:spacing w:line="520" w:lineRule="exact"/>
        <w:ind w:firstLine="480"/>
        <w:rPr>
          <w:color w:val="auto"/>
          <w:highlight w:val="none"/>
        </w:rPr>
      </w:pPr>
      <w:r>
        <w:rPr>
          <w:rFonts w:hint="eastAsia"/>
          <w:color w:val="auto"/>
          <w:highlight w:val="none"/>
        </w:rPr>
        <w:t>宣布会场纪律和有关注意事项。</w:t>
      </w:r>
    </w:p>
    <w:p>
      <w:pPr>
        <w:pStyle w:val="65"/>
        <w:spacing w:line="520" w:lineRule="exact"/>
        <w:ind w:firstLine="480"/>
        <w:rPr>
          <w:color w:val="auto"/>
          <w:highlight w:val="none"/>
        </w:rPr>
      </w:pPr>
      <w:r>
        <w:rPr>
          <w:rFonts w:hint="eastAsia"/>
          <w:color w:val="auto"/>
          <w:highlight w:val="none"/>
        </w:rPr>
        <w:t>确认响应文件的密封情况，是指供应商确认自己递交的响应文件的密封情况，不代表对其他供应商的响应文件的密封情况确认。供应商或者其推选的代表对其他供应商的响应文件密封情况有异议的，可以当场反映会议主持人或者现场监督人员，要求现场记录人员予以记录，但不得干扰、阻挠谈判会议工作的正常进行。</w:t>
      </w:r>
    </w:p>
    <w:p>
      <w:pPr>
        <w:pStyle w:val="65"/>
        <w:spacing w:line="520" w:lineRule="exact"/>
        <w:ind w:firstLine="480"/>
        <w:rPr>
          <w:color w:val="auto"/>
          <w:highlight w:val="none"/>
        </w:rPr>
      </w:pPr>
      <w:r>
        <w:rPr>
          <w:rFonts w:hint="eastAsia"/>
          <w:color w:val="auto"/>
          <w:highlight w:val="none"/>
        </w:rPr>
        <w:t>供应商或者其推选的代表需现场对谈判会议记录进行签字确认经确认无误后，由采购代理机构工作人员宣布谈判纪律，并由供应商签字确认。</w:t>
      </w:r>
    </w:p>
    <w:p>
      <w:pPr>
        <w:pStyle w:val="65"/>
        <w:spacing w:line="520" w:lineRule="exact"/>
        <w:ind w:firstLine="480"/>
        <w:rPr>
          <w:color w:val="auto"/>
          <w:highlight w:val="none"/>
        </w:rPr>
      </w:pPr>
      <w:r>
        <w:rPr>
          <w:rFonts w:hint="eastAsia"/>
          <w:color w:val="auto"/>
          <w:highlight w:val="none"/>
        </w:rPr>
        <w:t>供应商不足3家的，终止采购活动，并退回响应文件。</w:t>
      </w:r>
    </w:p>
    <w:p>
      <w:pPr>
        <w:pStyle w:val="65"/>
        <w:spacing w:line="520" w:lineRule="exact"/>
        <w:ind w:firstLine="480"/>
        <w:rPr>
          <w:color w:val="auto"/>
          <w:highlight w:val="none"/>
        </w:rPr>
      </w:pPr>
      <w:r>
        <w:rPr>
          <w:rFonts w:hint="eastAsia"/>
          <w:color w:val="auto"/>
          <w:highlight w:val="none"/>
        </w:rPr>
        <w:t>宣布谈判会结束。所有供应商代表应立即退场。同时所有供应商应保持通讯设备的畅通，以方便进行下一步的谈判活动和在评审过程中评审委员会要求供应商对响应文件的必要澄清、说明或者更正。评审结果供应商在“中国招标投标公共服务平台”查询。</w:t>
      </w:r>
    </w:p>
    <w:bookmarkEnd w:id="112"/>
    <w:bookmarkEnd w:id="113"/>
    <w:bookmarkEnd w:id="114"/>
    <w:p>
      <w:pPr>
        <w:pStyle w:val="35"/>
        <w:numPr>
          <w:ilvl w:val="0"/>
          <w:numId w:val="24"/>
        </w:numPr>
        <w:spacing w:line="520" w:lineRule="exact"/>
        <w:ind w:firstLineChars="0"/>
        <w:rPr>
          <w:b/>
          <w:bCs/>
          <w:color w:val="auto"/>
          <w:highlight w:val="none"/>
        </w:rPr>
      </w:pPr>
      <w:bookmarkStart w:id="115" w:name="_Toc15418"/>
      <w:bookmarkStart w:id="116" w:name="_Toc19462"/>
      <w:r>
        <w:rPr>
          <w:rFonts w:hint="eastAsia"/>
          <w:b/>
          <w:bCs/>
          <w:color w:val="auto"/>
          <w:highlight w:val="none"/>
        </w:rPr>
        <w:t>电子监控档案</w:t>
      </w:r>
      <w:bookmarkEnd w:id="115"/>
    </w:p>
    <w:p>
      <w:pPr>
        <w:pStyle w:val="35"/>
        <w:numPr>
          <w:ilvl w:val="1"/>
          <w:numId w:val="0"/>
        </w:numPr>
        <w:spacing w:line="520" w:lineRule="exact"/>
        <w:ind w:firstLine="480" w:firstLineChars="200"/>
        <w:rPr>
          <w:color w:val="auto"/>
          <w:highlight w:val="none"/>
        </w:rPr>
      </w:pPr>
      <w:r>
        <w:rPr>
          <w:rFonts w:hint="eastAsia"/>
          <w:color w:val="auto"/>
          <w:highlight w:val="none"/>
        </w:rPr>
        <w:t>本项目谈判会和评审过程进行全过程电子监控，并将电子监控资料存储介质留存归档。</w:t>
      </w:r>
    </w:p>
    <w:p>
      <w:pPr>
        <w:pStyle w:val="37"/>
        <w:spacing w:before="120" w:beforeLines="50" w:after="120" w:afterLines="50" w:line="520" w:lineRule="exact"/>
        <w:ind w:firstLine="0" w:firstLineChars="0"/>
        <w:jc w:val="center"/>
        <w:rPr>
          <w:color w:val="auto"/>
          <w:sz w:val="32"/>
          <w:szCs w:val="32"/>
          <w:highlight w:val="none"/>
        </w:rPr>
      </w:pPr>
      <w:bookmarkStart w:id="117" w:name="_Toc28165"/>
      <w:bookmarkStart w:id="118" w:name="_Toc28250"/>
      <w:r>
        <w:rPr>
          <w:rFonts w:hint="eastAsia"/>
          <w:color w:val="auto"/>
          <w:sz w:val="32"/>
          <w:szCs w:val="32"/>
          <w:highlight w:val="none"/>
        </w:rPr>
        <w:t>成交事项</w:t>
      </w:r>
      <w:bookmarkEnd w:id="117"/>
      <w:bookmarkEnd w:id="118"/>
    </w:p>
    <w:bookmarkEnd w:id="116"/>
    <w:p>
      <w:pPr>
        <w:pStyle w:val="51"/>
        <w:spacing w:line="520" w:lineRule="exact"/>
        <w:ind w:firstLine="482"/>
        <w:rPr>
          <w:color w:val="auto"/>
          <w:highlight w:val="none"/>
        </w:rPr>
      </w:pPr>
      <w:bookmarkStart w:id="119" w:name="_Toc6082"/>
      <w:bookmarkStart w:id="120" w:name="_Toc22509"/>
      <w:bookmarkStart w:id="121" w:name="_Toc8420"/>
      <w:r>
        <w:rPr>
          <w:rFonts w:hint="eastAsia"/>
          <w:color w:val="auto"/>
          <w:highlight w:val="none"/>
        </w:rPr>
        <w:t>确定成交</w:t>
      </w:r>
      <w:bookmarkEnd w:id="119"/>
      <w:bookmarkEnd w:id="120"/>
      <w:r>
        <w:rPr>
          <w:rFonts w:hint="eastAsia"/>
          <w:color w:val="auto"/>
          <w:highlight w:val="none"/>
        </w:rPr>
        <w:t>供应商</w:t>
      </w:r>
      <w:bookmarkEnd w:id="121"/>
    </w:p>
    <w:p>
      <w:pPr>
        <w:pStyle w:val="65"/>
        <w:spacing w:line="520" w:lineRule="exact"/>
        <w:ind w:firstLine="480"/>
        <w:rPr>
          <w:color w:val="auto"/>
          <w:highlight w:val="none"/>
        </w:rPr>
      </w:pPr>
      <w:bookmarkStart w:id="122" w:name="_Toc7131"/>
      <w:bookmarkStart w:id="123" w:name="_Toc20650"/>
      <w:r>
        <w:rPr>
          <w:rFonts w:hint="eastAsia"/>
          <w:color w:val="auto"/>
          <w:highlight w:val="none"/>
        </w:rPr>
        <w:t>采购代理机构应当在评审结束后2个工作日内将评审报告送采购人确认。</w:t>
      </w:r>
    </w:p>
    <w:p>
      <w:pPr>
        <w:pStyle w:val="65"/>
        <w:spacing w:line="520" w:lineRule="exact"/>
        <w:ind w:firstLine="480"/>
        <w:rPr>
          <w:color w:val="auto"/>
          <w:highlight w:val="none"/>
        </w:rPr>
      </w:pPr>
      <w:r>
        <w:rPr>
          <w:rFonts w:hint="eastAsia"/>
          <w:color w:val="auto"/>
          <w:highlight w:val="none"/>
        </w:rPr>
        <w:t>本项目采购人根据谈判小组推荐的成交候选人名单，按顺序确定成交供应商。如果成交候选人及其现任法定代表人、主要负责人存在行贿犯罪记录，采购人将不确定其为成交供应商。采购人在确认成交供应商前，应到中国裁判文书网(https://wenshu.court.gov.cn)查询成交候选供应商及其现任法定代表人、主要负责人是否存在行贿犯罪记录。</w:t>
      </w:r>
    </w:p>
    <w:p>
      <w:pPr>
        <w:pStyle w:val="65"/>
        <w:spacing w:line="520" w:lineRule="exact"/>
        <w:ind w:firstLine="480"/>
        <w:rPr>
          <w:color w:val="auto"/>
          <w:highlight w:val="none"/>
        </w:rPr>
      </w:pPr>
      <w:r>
        <w:rPr>
          <w:rFonts w:hint="eastAsia"/>
          <w:color w:val="auto"/>
          <w:highlight w:val="none"/>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pStyle w:val="65"/>
        <w:spacing w:line="520" w:lineRule="exact"/>
        <w:ind w:firstLine="480"/>
        <w:rPr>
          <w:color w:val="auto"/>
          <w:highlight w:val="none"/>
        </w:rPr>
      </w:pPr>
      <w:r>
        <w:rPr>
          <w:rFonts w:hint="eastAsia"/>
          <w:color w:val="auto"/>
          <w:highlight w:val="none"/>
        </w:rPr>
        <w:t>采购人不确定排序前一位成交候选供应商为成交供应商的，应当将不确定的理由书面告知该成交候选供应商，并在“中国招标投标公共服务平台”公告。</w:t>
      </w:r>
    </w:p>
    <w:p>
      <w:pPr>
        <w:pStyle w:val="65"/>
        <w:spacing w:line="520" w:lineRule="exact"/>
        <w:ind w:firstLine="480"/>
        <w:rPr>
          <w:color w:val="auto"/>
          <w:highlight w:val="none"/>
        </w:rPr>
      </w:pPr>
      <w:r>
        <w:rPr>
          <w:rFonts w:hint="eastAsia"/>
          <w:color w:val="auto"/>
          <w:highlight w:val="none"/>
        </w:rPr>
        <w:t>采购人依法确定不出成交供应商的，应当重新组织采购，书面告知成交候选供应商，说明理由，并在“中国招标投标公共服务平台”公告。</w:t>
      </w:r>
    </w:p>
    <w:p>
      <w:pPr>
        <w:pStyle w:val="65"/>
        <w:spacing w:line="520" w:lineRule="exact"/>
        <w:ind w:firstLine="480"/>
        <w:rPr>
          <w:color w:val="auto"/>
          <w:highlight w:val="none"/>
        </w:rPr>
      </w:pPr>
      <w:r>
        <w:rPr>
          <w:rFonts w:hint="eastAsia"/>
          <w:color w:val="auto"/>
          <w:highlight w:val="none"/>
        </w:rPr>
        <w:t>采购人确定成交供应商过程中，发现成交候选供应商有下列情形之一的，不予确定其为成交供应商：</w:t>
      </w:r>
    </w:p>
    <w:p>
      <w:pPr>
        <w:pStyle w:val="65"/>
        <w:numPr>
          <w:ilvl w:val="3"/>
          <w:numId w:val="0"/>
        </w:numPr>
        <w:spacing w:line="520" w:lineRule="exact"/>
        <w:ind w:left="480" w:leftChars="200"/>
        <w:rPr>
          <w:color w:val="auto"/>
          <w:highlight w:val="none"/>
        </w:rPr>
      </w:pPr>
      <w:r>
        <w:rPr>
          <w:rFonts w:hint="eastAsia"/>
          <w:color w:val="auto"/>
          <w:highlight w:val="none"/>
        </w:rPr>
        <w:t>6.1成交候选供应商属于禁止参加本项目采购活动的；</w:t>
      </w:r>
    </w:p>
    <w:p>
      <w:pPr>
        <w:pStyle w:val="65"/>
        <w:numPr>
          <w:ilvl w:val="3"/>
          <w:numId w:val="0"/>
        </w:numPr>
        <w:spacing w:line="520" w:lineRule="exact"/>
        <w:ind w:left="480" w:leftChars="200"/>
        <w:rPr>
          <w:color w:val="auto"/>
          <w:highlight w:val="none"/>
        </w:rPr>
      </w:pPr>
      <w:r>
        <w:rPr>
          <w:rFonts w:hint="eastAsia"/>
          <w:color w:val="auto"/>
          <w:highlight w:val="none"/>
        </w:rPr>
        <w:t>6.2成交候选供应商因不可抗力，不能继续参加采购活动；</w:t>
      </w:r>
    </w:p>
    <w:p>
      <w:pPr>
        <w:pStyle w:val="65"/>
        <w:numPr>
          <w:ilvl w:val="3"/>
          <w:numId w:val="0"/>
        </w:numPr>
        <w:spacing w:line="520" w:lineRule="exact"/>
        <w:ind w:left="480" w:leftChars="200"/>
        <w:rPr>
          <w:color w:val="auto"/>
          <w:highlight w:val="none"/>
        </w:rPr>
      </w:pPr>
      <w:r>
        <w:rPr>
          <w:rFonts w:hint="eastAsia"/>
          <w:color w:val="auto"/>
          <w:highlight w:val="none"/>
        </w:rPr>
        <w:t>6.3成交候选供应商无偿赠与或者低于成本价竞争；</w:t>
      </w:r>
    </w:p>
    <w:p>
      <w:pPr>
        <w:pStyle w:val="65"/>
        <w:numPr>
          <w:ilvl w:val="3"/>
          <w:numId w:val="0"/>
        </w:numPr>
        <w:spacing w:line="520" w:lineRule="exact"/>
        <w:ind w:left="480" w:leftChars="200"/>
        <w:rPr>
          <w:color w:val="auto"/>
          <w:highlight w:val="none"/>
        </w:rPr>
      </w:pPr>
      <w:r>
        <w:rPr>
          <w:rFonts w:hint="eastAsia"/>
          <w:color w:val="auto"/>
          <w:highlight w:val="none"/>
        </w:rPr>
        <w:t>6.4成交候选供应商提供虚假材料；</w:t>
      </w:r>
    </w:p>
    <w:p>
      <w:pPr>
        <w:pStyle w:val="65"/>
        <w:numPr>
          <w:ilvl w:val="3"/>
          <w:numId w:val="0"/>
        </w:numPr>
        <w:spacing w:line="520" w:lineRule="exact"/>
        <w:ind w:left="480" w:leftChars="200"/>
        <w:rPr>
          <w:color w:val="auto"/>
          <w:highlight w:val="none"/>
        </w:rPr>
      </w:pPr>
      <w:r>
        <w:rPr>
          <w:rFonts w:hint="eastAsia"/>
          <w:color w:val="auto"/>
          <w:highlight w:val="none"/>
        </w:rPr>
        <w:t>6.5成交候选供应商恶意串通。</w:t>
      </w:r>
    </w:p>
    <w:p>
      <w:pPr>
        <w:pStyle w:val="51"/>
        <w:spacing w:line="520" w:lineRule="exact"/>
        <w:ind w:firstLine="482"/>
        <w:rPr>
          <w:color w:val="auto"/>
          <w:highlight w:val="none"/>
        </w:rPr>
      </w:pPr>
      <w:bookmarkStart w:id="124" w:name="_Toc5704"/>
      <w:r>
        <w:rPr>
          <w:rFonts w:hint="eastAsia"/>
          <w:color w:val="auto"/>
          <w:highlight w:val="none"/>
        </w:rPr>
        <w:t>成交结果</w:t>
      </w:r>
      <w:bookmarkEnd w:id="122"/>
      <w:bookmarkEnd w:id="123"/>
      <w:bookmarkEnd w:id="124"/>
    </w:p>
    <w:p>
      <w:pPr>
        <w:pStyle w:val="65"/>
        <w:numPr>
          <w:ilvl w:val="0"/>
          <w:numId w:val="25"/>
        </w:numPr>
        <w:tabs>
          <w:tab w:val="clear" w:pos="312"/>
        </w:tabs>
        <w:spacing w:line="520" w:lineRule="exact"/>
        <w:ind w:firstLine="480"/>
        <w:rPr>
          <w:color w:val="auto"/>
          <w:highlight w:val="none"/>
        </w:rPr>
      </w:pPr>
      <w:bookmarkStart w:id="125" w:name="_Toc3985"/>
      <w:r>
        <w:rPr>
          <w:rFonts w:hint="eastAsia"/>
          <w:color w:val="auto"/>
          <w:highlight w:val="none"/>
        </w:rPr>
        <w:t>采购代理机构在采购代理机构在成交供应商确定后2个工作日内，在“中国招标投标公共服务平台”发布成交公告，同时采购代理机构将成交通知书快递至成交供应商。</w:t>
      </w:r>
    </w:p>
    <w:p>
      <w:pPr>
        <w:pStyle w:val="65"/>
        <w:numPr>
          <w:ilvl w:val="3"/>
          <w:numId w:val="0"/>
        </w:numPr>
        <w:spacing w:line="520" w:lineRule="exact"/>
        <w:ind w:firstLine="480" w:firstLineChars="200"/>
        <w:rPr>
          <w:color w:val="auto"/>
          <w:highlight w:val="none"/>
        </w:rPr>
      </w:pPr>
      <w:r>
        <w:rPr>
          <w:rFonts w:hint="eastAsia"/>
          <w:color w:val="auto"/>
          <w:highlight w:val="none"/>
        </w:rPr>
        <w:t>2.采购项目需要交纳履约保证金的，成交供应商应当按照规定和要求及时向采购人交纳。</w:t>
      </w:r>
    </w:p>
    <w:p>
      <w:pPr>
        <w:pStyle w:val="51"/>
        <w:spacing w:line="520" w:lineRule="exact"/>
        <w:ind w:firstLine="482"/>
        <w:rPr>
          <w:color w:val="auto"/>
          <w:highlight w:val="none"/>
        </w:rPr>
      </w:pPr>
      <w:bookmarkStart w:id="126" w:name="_Toc579"/>
      <w:r>
        <w:rPr>
          <w:rFonts w:hint="eastAsia"/>
          <w:color w:val="auto"/>
          <w:highlight w:val="none"/>
        </w:rPr>
        <w:t>成交通知书</w:t>
      </w:r>
      <w:bookmarkEnd w:id="125"/>
      <w:bookmarkEnd w:id="126"/>
    </w:p>
    <w:p>
      <w:pPr>
        <w:pStyle w:val="65"/>
        <w:spacing w:line="520" w:lineRule="exact"/>
        <w:ind w:firstLine="480"/>
        <w:rPr>
          <w:color w:val="auto"/>
          <w:highlight w:val="none"/>
        </w:rPr>
      </w:pPr>
      <w:r>
        <w:rPr>
          <w:rFonts w:hint="eastAsia"/>
          <w:color w:val="auto"/>
          <w:highlight w:val="none"/>
        </w:rPr>
        <w:t>成交通知书为签订采购合同的依据之一，是合同的有效组成部分。</w:t>
      </w:r>
    </w:p>
    <w:p>
      <w:pPr>
        <w:pStyle w:val="65"/>
        <w:spacing w:line="520" w:lineRule="exact"/>
        <w:ind w:firstLine="480"/>
        <w:rPr>
          <w:color w:val="auto"/>
          <w:highlight w:val="none"/>
        </w:rPr>
      </w:pPr>
      <w:r>
        <w:rPr>
          <w:rFonts w:hint="eastAsia"/>
          <w:color w:val="auto"/>
          <w:highlight w:val="none"/>
        </w:rPr>
        <w:t>成交通知书对采购人和成交供应商均具有法律效力。成交通知书发出后，采购人改变成交结果，或者成交供应商无正当理由放弃成交的，应当承担相应的法律责任。</w:t>
      </w:r>
    </w:p>
    <w:p>
      <w:pPr>
        <w:pStyle w:val="65"/>
        <w:spacing w:line="520" w:lineRule="exact"/>
        <w:ind w:firstLine="480"/>
        <w:rPr>
          <w:color w:val="auto"/>
          <w:highlight w:val="none"/>
        </w:rPr>
      </w:pPr>
      <w:r>
        <w:rPr>
          <w:rFonts w:hint="eastAsia"/>
          <w:color w:val="auto"/>
          <w:highlight w:val="none"/>
        </w:rPr>
        <w:t>成交供应商的响应文件本应作为无效响应处理或者有法律法规规章制度规定的成交无效情形的，采购人和采购代理机构在取得有权主体的认定以后，将宣布发出的成交通知书无效，并收回发出的成交通知书(成交供应商也应当缴回)，依法重新确定成交供应商或者重新开展采购活动。</w:t>
      </w:r>
    </w:p>
    <w:p>
      <w:pPr>
        <w:pStyle w:val="65"/>
        <w:spacing w:line="520" w:lineRule="exact"/>
        <w:ind w:firstLine="480"/>
        <w:rPr>
          <w:color w:val="auto"/>
          <w:highlight w:val="none"/>
        </w:rPr>
      </w:pPr>
      <w:r>
        <w:rPr>
          <w:rFonts w:hint="eastAsia" w:cs="宋体"/>
          <w:color w:val="auto"/>
          <w:highlight w:val="none"/>
        </w:rPr>
        <w:t>供应商应主动关注中国政府采购网公告信息</w:t>
      </w:r>
      <w:r>
        <w:rPr>
          <w:rFonts w:hint="eastAsia" w:cs="宋体"/>
          <w:color w:val="auto"/>
          <w:highlight w:val="none"/>
          <w:lang w:val="zh-CN"/>
        </w:rPr>
        <w:t>、</w:t>
      </w:r>
      <w:r>
        <w:rPr>
          <w:rFonts w:hint="eastAsia" w:cs="宋体"/>
          <w:color w:val="auto"/>
          <w:highlight w:val="none"/>
        </w:rPr>
        <w:t>并积极配合代理机构办理成交通知书事宜。</w:t>
      </w:r>
      <w:r>
        <w:rPr>
          <w:rFonts w:hint="eastAsia"/>
          <w:color w:val="auto"/>
          <w:highlight w:val="none"/>
        </w:rPr>
        <w:t>逾期未主动领取</w:t>
      </w:r>
      <w:r>
        <w:rPr>
          <w:rFonts w:hint="eastAsia" w:cs="宋体"/>
          <w:color w:val="auto"/>
          <w:highlight w:val="none"/>
        </w:rPr>
        <w:t>成交</w:t>
      </w:r>
      <w:r>
        <w:rPr>
          <w:rFonts w:hint="eastAsia" w:cs="宋体"/>
          <w:color w:val="auto"/>
          <w:highlight w:val="none"/>
          <w:lang w:val="zh-CN"/>
        </w:rPr>
        <w:t>通知书</w:t>
      </w:r>
      <w:r>
        <w:rPr>
          <w:rFonts w:hint="eastAsia" w:cs="宋体"/>
          <w:color w:val="auto"/>
          <w:highlight w:val="none"/>
        </w:rPr>
        <w:t>或不配合代理机构发出成交通知书</w:t>
      </w:r>
      <w:r>
        <w:rPr>
          <w:rFonts w:hint="eastAsia" w:cs="宋体"/>
          <w:color w:val="auto"/>
          <w:highlight w:val="none"/>
          <w:lang w:val="zh-CN"/>
        </w:rPr>
        <w:t>的</w:t>
      </w:r>
      <w:r>
        <w:rPr>
          <w:rFonts w:hint="eastAsia" w:cs="宋体"/>
          <w:color w:val="auto"/>
          <w:highlight w:val="none"/>
        </w:rPr>
        <w:t>一切不利后果由成交供应商自行承担。</w:t>
      </w:r>
    </w:p>
    <w:p>
      <w:pPr>
        <w:pStyle w:val="37"/>
        <w:spacing w:before="120" w:beforeLines="50" w:after="120" w:afterLines="50" w:line="520" w:lineRule="exact"/>
        <w:ind w:firstLine="0" w:firstLineChars="0"/>
        <w:jc w:val="center"/>
        <w:rPr>
          <w:color w:val="auto"/>
          <w:sz w:val="32"/>
          <w:szCs w:val="32"/>
          <w:highlight w:val="none"/>
        </w:rPr>
      </w:pPr>
      <w:bookmarkStart w:id="127" w:name="_Toc3312"/>
      <w:bookmarkStart w:id="128" w:name="_Toc26785"/>
      <w:r>
        <w:rPr>
          <w:rFonts w:hint="eastAsia"/>
          <w:color w:val="auto"/>
          <w:sz w:val="32"/>
          <w:szCs w:val="32"/>
          <w:highlight w:val="none"/>
        </w:rPr>
        <w:t>合同事项</w:t>
      </w:r>
      <w:bookmarkEnd w:id="127"/>
      <w:bookmarkEnd w:id="128"/>
    </w:p>
    <w:p>
      <w:pPr>
        <w:pStyle w:val="35"/>
        <w:numPr>
          <w:ilvl w:val="1"/>
          <w:numId w:val="26"/>
        </w:numPr>
        <w:spacing w:line="520" w:lineRule="exact"/>
        <w:ind w:firstLine="482"/>
        <w:outlineLvl w:val="2"/>
        <w:rPr>
          <w:b/>
          <w:bCs/>
          <w:color w:val="auto"/>
          <w:highlight w:val="none"/>
        </w:rPr>
      </w:pPr>
      <w:bookmarkStart w:id="129" w:name="_Toc25673"/>
      <w:bookmarkStart w:id="130" w:name="_Toc11452"/>
      <w:r>
        <w:rPr>
          <w:rFonts w:hint="eastAsia"/>
          <w:b/>
          <w:bCs/>
          <w:color w:val="auto"/>
          <w:highlight w:val="none"/>
        </w:rPr>
        <w:t>签订合同</w:t>
      </w:r>
      <w:bookmarkEnd w:id="129"/>
      <w:bookmarkEnd w:id="130"/>
    </w:p>
    <w:p>
      <w:pPr>
        <w:pStyle w:val="38"/>
        <w:spacing w:line="520" w:lineRule="exact"/>
        <w:ind w:firstLine="480"/>
        <w:rPr>
          <w:color w:val="auto"/>
          <w:highlight w:val="none"/>
        </w:rPr>
      </w:pPr>
      <w:r>
        <w:rPr>
          <w:rFonts w:hint="eastAsia"/>
          <w:color w:val="auto"/>
          <w:highlight w:val="none"/>
        </w:rPr>
        <w:t>成交供应商应在成交通知书发出后，按照谈判文件第五章相关要求与采购人签订采购合同。由于成交供应商的原因逾期未与采购人签订采购合同的，将视为放弃成交，取消其成交资格并将按相关规定进行处理。</w:t>
      </w:r>
      <w:r>
        <w:rPr>
          <w:rFonts w:hint="eastAsia"/>
          <w:color w:val="auto"/>
          <w:highlight w:val="none"/>
          <w:lang w:eastAsia="zh-Hans"/>
        </w:rPr>
        <w:t>若因采购人的原因未与</w:t>
      </w:r>
      <w:r>
        <w:rPr>
          <w:rFonts w:hint="eastAsia"/>
          <w:color w:val="auto"/>
          <w:highlight w:val="none"/>
        </w:rPr>
        <w:t>成交供应商</w:t>
      </w:r>
      <w:r>
        <w:rPr>
          <w:rFonts w:hint="eastAsia"/>
          <w:color w:val="auto"/>
          <w:highlight w:val="none"/>
          <w:lang w:eastAsia="zh-Hans"/>
        </w:rPr>
        <w:t>签订合同</w:t>
      </w:r>
      <w:r>
        <w:rPr>
          <w:color w:val="auto"/>
          <w:highlight w:val="none"/>
          <w:lang w:eastAsia="zh-Hans"/>
        </w:rPr>
        <w:t>，</w:t>
      </w:r>
      <w:r>
        <w:rPr>
          <w:rFonts w:hint="eastAsia"/>
          <w:color w:val="auto"/>
          <w:highlight w:val="none"/>
          <w:lang w:eastAsia="zh-Hans"/>
        </w:rPr>
        <w:t>采购人将向</w:t>
      </w:r>
      <w:r>
        <w:rPr>
          <w:rFonts w:hint="eastAsia"/>
          <w:color w:val="auto"/>
          <w:highlight w:val="none"/>
        </w:rPr>
        <w:t>成交供应商</w:t>
      </w:r>
      <w:r>
        <w:rPr>
          <w:rFonts w:hint="eastAsia"/>
          <w:color w:val="auto"/>
          <w:highlight w:val="none"/>
          <w:lang w:eastAsia="zh-Hans"/>
        </w:rPr>
        <w:t>支付</w:t>
      </w:r>
      <w:r>
        <w:rPr>
          <w:rFonts w:hint="eastAsia"/>
          <w:color w:val="auto"/>
          <w:highlight w:val="none"/>
        </w:rPr>
        <w:t>成交供应商</w:t>
      </w:r>
      <w:r>
        <w:rPr>
          <w:rFonts w:hint="eastAsia"/>
          <w:color w:val="auto"/>
          <w:highlight w:val="none"/>
          <w:lang w:eastAsia="zh-Hans"/>
        </w:rPr>
        <w:t>因本次采购事宜产生的标书制作等直接费用</w:t>
      </w:r>
      <w:r>
        <w:rPr>
          <w:color w:val="auto"/>
          <w:highlight w:val="none"/>
          <w:lang w:eastAsia="zh-Hans"/>
        </w:rPr>
        <w:t>。</w:t>
      </w:r>
    </w:p>
    <w:p>
      <w:pPr>
        <w:pStyle w:val="38"/>
        <w:spacing w:line="520" w:lineRule="exact"/>
        <w:ind w:firstLine="480"/>
        <w:rPr>
          <w:color w:val="auto"/>
          <w:highlight w:val="none"/>
        </w:rPr>
      </w:pPr>
      <w:r>
        <w:rPr>
          <w:rFonts w:hint="eastAsia"/>
          <w:color w:val="auto"/>
          <w:highlight w:val="none"/>
        </w:rPr>
        <w:t>采购合同应当包括采购人与成交供应商的名称和住所、标的、数量、质量、价款或者报酬、履行期限及地点和方式、验收要求、违约责任、解决争议的方法等内容。</w:t>
      </w:r>
    </w:p>
    <w:p>
      <w:pPr>
        <w:pStyle w:val="38"/>
        <w:spacing w:line="520" w:lineRule="exact"/>
        <w:ind w:firstLine="480"/>
        <w:rPr>
          <w:color w:val="auto"/>
          <w:highlight w:val="none"/>
        </w:rPr>
      </w:pPr>
      <w:r>
        <w:rPr>
          <w:rFonts w:hint="eastAsia"/>
          <w:color w:val="auto"/>
          <w:highlight w:val="none"/>
        </w:rPr>
        <w:t>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pStyle w:val="38"/>
        <w:spacing w:line="520" w:lineRule="exact"/>
        <w:ind w:firstLine="480"/>
        <w:rPr>
          <w:color w:val="auto"/>
          <w:highlight w:val="none"/>
        </w:rPr>
      </w:pPr>
      <w:r>
        <w:rPr>
          <w:rFonts w:hint="eastAsia"/>
          <w:color w:val="auto"/>
          <w:highlight w:val="none"/>
        </w:rPr>
        <w:t>成交供应商拒绝与采购人签订合同的，采购人可以按照评审报告推荐的成交候选人名单排序，确定下一候选人为成交供应商，也可以重新开展采购活动。拒绝签订采购合同的成交供应商不得参加对该项目重新开展的采购活动。</w:t>
      </w:r>
    </w:p>
    <w:p>
      <w:pPr>
        <w:pStyle w:val="38"/>
        <w:spacing w:line="520" w:lineRule="exact"/>
        <w:ind w:firstLine="480"/>
        <w:rPr>
          <w:color w:val="auto"/>
          <w:highlight w:val="none"/>
        </w:rPr>
      </w:pPr>
      <w:r>
        <w:rPr>
          <w:rFonts w:hint="eastAsia"/>
          <w:color w:val="auto"/>
          <w:highlight w:val="none"/>
        </w:rPr>
        <w:t>本项目的竞争性谈判文件、资格预审申请文件、成交供应商提交的响应文件、谈判中的最后报价、成交供应商承诺书、成交通知书等文件均具有法律约束力，属于合同组成部分。</w:t>
      </w:r>
    </w:p>
    <w:p>
      <w:pPr>
        <w:pStyle w:val="38"/>
        <w:spacing w:line="520" w:lineRule="exact"/>
        <w:ind w:firstLine="480"/>
        <w:rPr>
          <w:color w:val="auto"/>
          <w:highlight w:val="none"/>
        </w:rPr>
      </w:pPr>
      <w:r>
        <w:rPr>
          <w:rFonts w:hint="eastAsia"/>
          <w:color w:val="auto"/>
          <w:highlight w:val="none"/>
        </w:rPr>
        <w:t>成交供应商在采购合同签订之后2个工作日内，将签订的采购合同</w:t>
      </w:r>
      <w:r>
        <w:rPr>
          <w:rFonts w:hint="eastAsia"/>
          <w:b/>
          <w:bCs/>
          <w:color w:val="auto"/>
          <w:highlight w:val="none"/>
        </w:rPr>
        <w:t>(1份)</w:t>
      </w:r>
      <w:r>
        <w:rPr>
          <w:rFonts w:hint="eastAsia"/>
          <w:color w:val="auto"/>
          <w:highlight w:val="none"/>
        </w:rPr>
        <w:t>送采购代理机构进行归档留存(也可将签订的采购合同扫描成PDF格式版本发送至</w:t>
      </w:r>
      <w:r>
        <w:rPr>
          <w:color w:val="auto"/>
          <w:highlight w:val="none"/>
        </w:rPr>
        <w:fldChar w:fldCharType="begin"/>
      </w:r>
      <w:r>
        <w:rPr>
          <w:color w:val="auto"/>
          <w:highlight w:val="none"/>
        </w:rPr>
        <w:instrText xml:space="preserve"> HYPERLINK "mailto:scqxzb@163.com" </w:instrText>
      </w:r>
      <w:r>
        <w:rPr>
          <w:color w:val="auto"/>
          <w:highlight w:val="none"/>
        </w:rPr>
        <w:fldChar w:fldCharType="separate"/>
      </w:r>
      <w:r>
        <w:rPr>
          <w:rFonts w:hint="eastAsia"/>
          <w:color w:val="auto"/>
          <w:highlight w:val="none"/>
        </w:rPr>
        <w:t>scqxzb@163.com</w:t>
      </w:r>
      <w:r>
        <w:rPr>
          <w:rFonts w:hint="eastAsia"/>
          <w:color w:val="auto"/>
          <w:highlight w:val="none"/>
        </w:rPr>
        <w:fldChar w:fldCharType="end"/>
      </w:r>
      <w:r>
        <w:rPr>
          <w:rFonts w:hint="eastAsia"/>
          <w:color w:val="auto"/>
          <w:highlight w:val="none"/>
        </w:rPr>
        <w:t>，邮件命名为“采购合同-项目名称-供应商名称”)。</w:t>
      </w:r>
    </w:p>
    <w:p>
      <w:pPr>
        <w:pStyle w:val="35"/>
        <w:numPr>
          <w:ilvl w:val="1"/>
          <w:numId w:val="26"/>
        </w:numPr>
        <w:spacing w:line="520" w:lineRule="exact"/>
        <w:ind w:firstLine="480"/>
        <w:outlineLvl w:val="2"/>
        <w:rPr>
          <w:b/>
          <w:bCs/>
          <w:color w:val="auto"/>
          <w:highlight w:val="none"/>
        </w:rPr>
      </w:pPr>
      <w:bookmarkStart w:id="131" w:name="_Toc12917"/>
      <w:bookmarkStart w:id="132" w:name="_Toc11875"/>
      <w:r>
        <w:rPr>
          <w:rFonts w:hint="eastAsia"/>
          <w:color w:val="auto"/>
          <w:highlight w:val="none"/>
        </w:rPr>
        <w:t>合同分包</w:t>
      </w:r>
      <w:r>
        <w:rPr>
          <w:rFonts w:hint="eastAsia"/>
          <w:b/>
          <w:bCs/>
          <w:color w:val="auto"/>
          <w:highlight w:val="none"/>
        </w:rPr>
        <w:t>(实质性要求)</w:t>
      </w:r>
      <w:bookmarkEnd w:id="131"/>
      <w:bookmarkEnd w:id="132"/>
    </w:p>
    <w:p>
      <w:pPr>
        <w:pStyle w:val="38"/>
        <w:numPr>
          <w:ilvl w:val="2"/>
          <w:numId w:val="0"/>
        </w:numPr>
        <w:spacing w:line="520" w:lineRule="exact"/>
        <w:ind w:left="480" w:leftChars="200"/>
        <w:rPr>
          <w:color w:val="auto"/>
          <w:highlight w:val="none"/>
        </w:rPr>
      </w:pPr>
      <w:bookmarkStart w:id="133" w:name="_Toc17272"/>
      <w:r>
        <w:rPr>
          <w:rFonts w:hint="eastAsia"/>
          <w:color w:val="auto"/>
          <w:highlight w:val="none"/>
        </w:rPr>
        <w:t>本项目不允许供应商以合同分包形式进行谈判。</w:t>
      </w:r>
    </w:p>
    <w:p>
      <w:pPr>
        <w:pStyle w:val="35"/>
        <w:numPr>
          <w:ilvl w:val="1"/>
          <w:numId w:val="26"/>
        </w:numPr>
        <w:spacing w:line="520" w:lineRule="exact"/>
        <w:ind w:firstLine="480"/>
        <w:outlineLvl w:val="2"/>
        <w:rPr>
          <w:b/>
          <w:bCs/>
          <w:color w:val="auto"/>
          <w:highlight w:val="none"/>
        </w:rPr>
      </w:pPr>
      <w:bookmarkStart w:id="134" w:name="_Toc28603"/>
      <w:r>
        <w:rPr>
          <w:rFonts w:hint="eastAsia"/>
          <w:color w:val="auto"/>
          <w:highlight w:val="none"/>
        </w:rPr>
        <w:t>合同转包</w:t>
      </w:r>
      <w:r>
        <w:rPr>
          <w:rFonts w:hint="eastAsia"/>
          <w:b/>
          <w:bCs/>
          <w:color w:val="auto"/>
          <w:highlight w:val="none"/>
        </w:rPr>
        <w:t>(实质性要求)</w:t>
      </w:r>
      <w:bookmarkEnd w:id="133"/>
      <w:bookmarkEnd w:id="134"/>
    </w:p>
    <w:p>
      <w:pPr>
        <w:pStyle w:val="38"/>
        <w:spacing w:line="520" w:lineRule="exact"/>
        <w:ind w:firstLine="480"/>
        <w:rPr>
          <w:color w:val="auto"/>
          <w:highlight w:val="none"/>
        </w:rPr>
      </w:pPr>
      <w:r>
        <w:rPr>
          <w:rFonts w:hint="eastAsia"/>
          <w:color w:val="auto"/>
          <w:highlight w:val="none"/>
        </w:rPr>
        <w:t>本项目禁止成交供应商将任何采购合同义务转包。本项目所称转包，是指成交供应商将采购合同义务转让给第三人，并退出现有采购合同当事人双方的权利义务关系，受让人(即第三人)成为采购合同的另一方当事人的行为。</w:t>
      </w:r>
    </w:p>
    <w:p>
      <w:pPr>
        <w:pStyle w:val="38"/>
        <w:spacing w:line="520" w:lineRule="exact"/>
        <w:ind w:firstLine="480"/>
        <w:rPr>
          <w:color w:val="auto"/>
          <w:highlight w:val="none"/>
        </w:rPr>
      </w:pPr>
      <w:r>
        <w:rPr>
          <w:rFonts w:hint="eastAsia"/>
          <w:color w:val="auto"/>
          <w:highlight w:val="none"/>
        </w:rPr>
        <w:t>成交供应商转包的，视同拒绝履行采购合同义务，将依法追究法律责任。</w:t>
      </w:r>
    </w:p>
    <w:p>
      <w:pPr>
        <w:pStyle w:val="35"/>
        <w:numPr>
          <w:ilvl w:val="1"/>
          <w:numId w:val="26"/>
        </w:numPr>
        <w:spacing w:line="520" w:lineRule="exact"/>
        <w:ind w:firstLine="482"/>
        <w:outlineLvl w:val="2"/>
        <w:rPr>
          <w:b/>
          <w:bCs/>
          <w:color w:val="auto"/>
          <w:highlight w:val="none"/>
        </w:rPr>
      </w:pPr>
      <w:bookmarkStart w:id="135" w:name="_Toc23675"/>
      <w:bookmarkStart w:id="136" w:name="_Toc8459"/>
      <w:r>
        <w:rPr>
          <w:rFonts w:hint="eastAsia"/>
          <w:b/>
          <w:bCs/>
          <w:color w:val="auto"/>
          <w:highlight w:val="none"/>
        </w:rPr>
        <w:t>补充合同</w:t>
      </w:r>
      <w:bookmarkEnd w:id="135"/>
      <w:bookmarkEnd w:id="136"/>
    </w:p>
    <w:p>
      <w:pPr>
        <w:pStyle w:val="48"/>
        <w:spacing w:line="520" w:lineRule="exact"/>
        <w:rPr>
          <w:color w:val="auto"/>
          <w:highlight w:val="none"/>
        </w:rPr>
      </w:pPr>
      <w:r>
        <w:rPr>
          <w:rFonts w:hint="eastAsia"/>
          <w:color w:val="auto"/>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35"/>
        <w:numPr>
          <w:ilvl w:val="1"/>
          <w:numId w:val="26"/>
        </w:numPr>
        <w:spacing w:line="520" w:lineRule="exact"/>
        <w:ind w:firstLine="482"/>
        <w:outlineLvl w:val="2"/>
        <w:rPr>
          <w:b/>
          <w:bCs/>
          <w:color w:val="auto"/>
          <w:highlight w:val="none"/>
        </w:rPr>
      </w:pPr>
      <w:bookmarkStart w:id="137" w:name="_Toc14546"/>
      <w:bookmarkStart w:id="138" w:name="_Toc22550"/>
      <w:r>
        <w:rPr>
          <w:rFonts w:hint="eastAsia"/>
          <w:b/>
          <w:bCs/>
          <w:color w:val="auto"/>
          <w:highlight w:val="none"/>
        </w:rPr>
        <w:t>履行合同</w:t>
      </w:r>
      <w:bookmarkEnd w:id="137"/>
      <w:bookmarkEnd w:id="138"/>
    </w:p>
    <w:p>
      <w:pPr>
        <w:pStyle w:val="38"/>
        <w:spacing w:line="520" w:lineRule="exact"/>
        <w:ind w:firstLine="480"/>
        <w:rPr>
          <w:color w:val="auto"/>
          <w:highlight w:val="none"/>
        </w:rPr>
      </w:pPr>
      <w:r>
        <w:rPr>
          <w:rFonts w:hint="eastAsia"/>
          <w:color w:val="auto"/>
          <w:highlight w:val="none"/>
        </w:rPr>
        <w:t>采购人与成交供应商应当根据合同的约定依法履行合同义务，保证合同顺利完成。</w:t>
      </w:r>
    </w:p>
    <w:p>
      <w:pPr>
        <w:pStyle w:val="38"/>
        <w:spacing w:line="520" w:lineRule="exact"/>
        <w:ind w:firstLine="480"/>
        <w:rPr>
          <w:color w:val="auto"/>
          <w:highlight w:val="none"/>
        </w:rPr>
      </w:pPr>
      <w:r>
        <w:rPr>
          <w:rFonts w:hint="eastAsia"/>
          <w:color w:val="auto"/>
          <w:highlight w:val="none"/>
        </w:rPr>
        <w:t>采购合同的履行、违约责任和解决争议的方法等适用《中华人民共和国民法典》。</w:t>
      </w:r>
    </w:p>
    <w:p>
      <w:pPr>
        <w:pStyle w:val="35"/>
        <w:numPr>
          <w:ilvl w:val="1"/>
          <w:numId w:val="26"/>
        </w:numPr>
        <w:spacing w:line="520" w:lineRule="exact"/>
        <w:ind w:firstLine="482"/>
        <w:outlineLvl w:val="2"/>
        <w:rPr>
          <w:b/>
          <w:bCs/>
          <w:color w:val="auto"/>
          <w:highlight w:val="none"/>
        </w:rPr>
      </w:pPr>
      <w:bookmarkStart w:id="139" w:name="_Toc8615"/>
      <w:bookmarkStart w:id="140" w:name="_Toc19475"/>
      <w:bookmarkStart w:id="141" w:name="_Toc23865"/>
      <w:bookmarkStart w:id="142" w:name="_Toc13341"/>
      <w:bookmarkStart w:id="143" w:name="_Toc26311"/>
      <w:r>
        <w:rPr>
          <w:rFonts w:hint="eastAsia"/>
          <w:b/>
          <w:bCs/>
          <w:color w:val="auto"/>
          <w:highlight w:val="none"/>
        </w:rPr>
        <w:t>付款方式及履约验收</w:t>
      </w:r>
      <w:bookmarkEnd w:id="139"/>
      <w:bookmarkEnd w:id="140"/>
      <w:bookmarkEnd w:id="141"/>
      <w:bookmarkEnd w:id="142"/>
      <w:bookmarkEnd w:id="143"/>
    </w:p>
    <w:p>
      <w:pPr>
        <w:pStyle w:val="66"/>
        <w:numPr>
          <w:ilvl w:val="4"/>
          <w:numId w:val="0"/>
        </w:numPr>
        <w:spacing w:line="520" w:lineRule="exact"/>
        <w:ind w:left="480" w:leftChars="200"/>
        <w:rPr>
          <w:color w:val="auto"/>
          <w:highlight w:val="none"/>
        </w:rPr>
      </w:pPr>
      <w:bookmarkStart w:id="144" w:name="_Toc27080"/>
      <w:r>
        <w:rPr>
          <w:rFonts w:hint="eastAsia"/>
          <w:color w:val="auto"/>
          <w:highlight w:val="none"/>
        </w:rPr>
        <w:t>详见第五章。</w:t>
      </w:r>
    </w:p>
    <w:p>
      <w:pPr>
        <w:pStyle w:val="37"/>
        <w:spacing w:before="120" w:beforeLines="50" w:after="120" w:afterLines="50" w:line="520" w:lineRule="exact"/>
        <w:ind w:firstLine="0" w:firstLineChars="0"/>
        <w:jc w:val="center"/>
        <w:rPr>
          <w:color w:val="auto"/>
          <w:sz w:val="32"/>
          <w:szCs w:val="32"/>
          <w:highlight w:val="none"/>
        </w:rPr>
      </w:pPr>
      <w:bookmarkStart w:id="145" w:name="_Toc8240"/>
      <w:r>
        <w:rPr>
          <w:rFonts w:hint="eastAsia"/>
          <w:color w:val="auto"/>
          <w:sz w:val="32"/>
          <w:szCs w:val="32"/>
          <w:highlight w:val="none"/>
        </w:rPr>
        <w:t>谈判纪律要求</w:t>
      </w:r>
      <w:bookmarkEnd w:id="144"/>
      <w:bookmarkEnd w:id="145"/>
    </w:p>
    <w:p>
      <w:pPr>
        <w:pStyle w:val="35"/>
        <w:numPr>
          <w:ilvl w:val="0"/>
          <w:numId w:val="27"/>
        </w:numPr>
        <w:spacing w:line="520" w:lineRule="exact"/>
        <w:ind w:firstLine="480"/>
        <w:outlineLvl w:val="2"/>
        <w:rPr>
          <w:color w:val="auto"/>
          <w:highlight w:val="none"/>
        </w:rPr>
      </w:pPr>
      <w:bookmarkStart w:id="146" w:name="_Toc9464"/>
      <w:bookmarkStart w:id="147" w:name="_Toc29048"/>
      <w:r>
        <w:rPr>
          <w:rFonts w:hint="eastAsia"/>
          <w:color w:val="auto"/>
          <w:highlight w:val="none"/>
        </w:rPr>
        <w:t>供应商参加本项目采购活动不得具有的情形</w:t>
      </w:r>
      <w:bookmarkEnd w:id="146"/>
      <w:bookmarkEnd w:id="147"/>
    </w:p>
    <w:p>
      <w:pPr>
        <w:pStyle w:val="35"/>
        <w:numPr>
          <w:ilvl w:val="1"/>
          <w:numId w:val="0"/>
        </w:numPr>
        <w:spacing w:line="520" w:lineRule="exact"/>
        <w:ind w:left="480" w:leftChars="200"/>
        <w:rPr>
          <w:color w:val="auto"/>
          <w:highlight w:val="none"/>
        </w:rPr>
      </w:pPr>
      <w:r>
        <w:rPr>
          <w:rFonts w:hint="eastAsia"/>
          <w:color w:val="auto"/>
          <w:highlight w:val="none"/>
        </w:rPr>
        <w:t>1.提供虚假材料谋取成交；</w:t>
      </w:r>
    </w:p>
    <w:p>
      <w:pPr>
        <w:pStyle w:val="35"/>
        <w:numPr>
          <w:ilvl w:val="1"/>
          <w:numId w:val="0"/>
        </w:numPr>
        <w:spacing w:line="520" w:lineRule="exact"/>
        <w:ind w:left="480" w:leftChars="200"/>
        <w:rPr>
          <w:color w:val="auto"/>
          <w:highlight w:val="none"/>
        </w:rPr>
      </w:pPr>
      <w:r>
        <w:rPr>
          <w:rFonts w:hint="eastAsia"/>
          <w:color w:val="auto"/>
          <w:highlight w:val="none"/>
        </w:rPr>
        <w:t>2.采取不正当手段诋毁、排挤其他供应商；</w:t>
      </w:r>
    </w:p>
    <w:p>
      <w:pPr>
        <w:pStyle w:val="35"/>
        <w:numPr>
          <w:ilvl w:val="1"/>
          <w:numId w:val="0"/>
        </w:numPr>
        <w:spacing w:line="520" w:lineRule="exact"/>
        <w:ind w:left="480" w:leftChars="200"/>
        <w:rPr>
          <w:color w:val="auto"/>
          <w:highlight w:val="none"/>
        </w:rPr>
      </w:pPr>
      <w:r>
        <w:rPr>
          <w:rFonts w:hint="eastAsia"/>
          <w:color w:val="auto"/>
          <w:highlight w:val="none"/>
        </w:rPr>
        <w:t>3.与采购人、采购代理机构或其他供应商恶意串通；</w:t>
      </w:r>
    </w:p>
    <w:p>
      <w:pPr>
        <w:pStyle w:val="35"/>
        <w:numPr>
          <w:ilvl w:val="1"/>
          <w:numId w:val="0"/>
        </w:numPr>
        <w:spacing w:line="520" w:lineRule="exact"/>
        <w:ind w:left="480" w:leftChars="200"/>
        <w:rPr>
          <w:color w:val="auto"/>
          <w:highlight w:val="none"/>
        </w:rPr>
      </w:pPr>
      <w:r>
        <w:rPr>
          <w:rFonts w:hint="eastAsia"/>
          <w:color w:val="auto"/>
          <w:highlight w:val="none"/>
        </w:rPr>
        <w:t>4.向采购人、采购代理机构、谈判小组成员行贿或者提供其他不正当利益；</w:t>
      </w:r>
    </w:p>
    <w:p>
      <w:pPr>
        <w:pStyle w:val="35"/>
        <w:numPr>
          <w:ilvl w:val="1"/>
          <w:numId w:val="0"/>
        </w:numPr>
        <w:spacing w:line="520" w:lineRule="exact"/>
        <w:ind w:left="480" w:leftChars="200"/>
        <w:rPr>
          <w:color w:val="auto"/>
          <w:highlight w:val="none"/>
        </w:rPr>
      </w:pPr>
      <w:r>
        <w:rPr>
          <w:rFonts w:hint="eastAsia"/>
          <w:color w:val="auto"/>
          <w:highlight w:val="none"/>
        </w:rPr>
        <w:t>5.在谈判过程中与采购人、采购代理机构进行协商；</w:t>
      </w:r>
    </w:p>
    <w:p>
      <w:pPr>
        <w:pStyle w:val="35"/>
        <w:numPr>
          <w:ilvl w:val="1"/>
          <w:numId w:val="0"/>
        </w:numPr>
        <w:spacing w:line="520" w:lineRule="exact"/>
        <w:ind w:left="480" w:leftChars="200"/>
        <w:rPr>
          <w:color w:val="auto"/>
          <w:highlight w:val="none"/>
        </w:rPr>
      </w:pPr>
      <w:r>
        <w:rPr>
          <w:rFonts w:hint="eastAsia"/>
          <w:color w:val="auto"/>
          <w:highlight w:val="none"/>
        </w:rPr>
        <w:t>6.成交后无正当理由拒不与采购人签订采购合同；</w:t>
      </w:r>
    </w:p>
    <w:p>
      <w:pPr>
        <w:pStyle w:val="35"/>
        <w:numPr>
          <w:ilvl w:val="1"/>
          <w:numId w:val="0"/>
        </w:numPr>
        <w:spacing w:line="520" w:lineRule="exact"/>
        <w:ind w:left="480" w:leftChars="200"/>
        <w:rPr>
          <w:color w:val="auto"/>
          <w:highlight w:val="none"/>
        </w:rPr>
      </w:pPr>
      <w:r>
        <w:rPr>
          <w:rFonts w:hint="eastAsia"/>
          <w:color w:val="auto"/>
          <w:highlight w:val="none"/>
        </w:rPr>
        <w:t>7.未按照谈判文件确定的事项签订采购合同；</w:t>
      </w:r>
    </w:p>
    <w:p>
      <w:pPr>
        <w:pStyle w:val="35"/>
        <w:numPr>
          <w:ilvl w:val="1"/>
          <w:numId w:val="0"/>
        </w:numPr>
        <w:spacing w:line="520" w:lineRule="exact"/>
        <w:ind w:left="480" w:leftChars="200"/>
        <w:rPr>
          <w:color w:val="auto"/>
          <w:highlight w:val="none"/>
        </w:rPr>
      </w:pPr>
      <w:r>
        <w:rPr>
          <w:rFonts w:hint="eastAsia"/>
          <w:color w:val="auto"/>
          <w:highlight w:val="none"/>
        </w:rPr>
        <w:t>8.将采购合同转包或者违规分包；</w:t>
      </w:r>
    </w:p>
    <w:p>
      <w:pPr>
        <w:pStyle w:val="35"/>
        <w:numPr>
          <w:ilvl w:val="1"/>
          <w:numId w:val="0"/>
        </w:numPr>
        <w:spacing w:line="520" w:lineRule="exact"/>
        <w:ind w:left="480" w:leftChars="200"/>
        <w:rPr>
          <w:color w:val="auto"/>
          <w:highlight w:val="none"/>
        </w:rPr>
      </w:pPr>
      <w:r>
        <w:rPr>
          <w:rFonts w:hint="eastAsia"/>
          <w:color w:val="auto"/>
          <w:highlight w:val="none"/>
        </w:rPr>
        <w:t>9.提供假冒伪劣产品；</w:t>
      </w:r>
    </w:p>
    <w:p>
      <w:pPr>
        <w:pStyle w:val="35"/>
        <w:numPr>
          <w:ilvl w:val="1"/>
          <w:numId w:val="0"/>
        </w:numPr>
        <w:spacing w:line="520" w:lineRule="exact"/>
        <w:ind w:left="480" w:leftChars="200"/>
        <w:rPr>
          <w:color w:val="auto"/>
          <w:highlight w:val="none"/>
        </w:rPr>
      </w:pPr>
      <w:r>
        <w:rPr>
          <w:rFonts w:hint="eastAsia"/>
          <w:color w:val="auto"/>
          <w:highlight w:val="none"/>
        </w:rPr>
        <w:t>10.擅自变更、中止或者终止采购合同；</w:t>
      </w:r>
    </w:p>
    <w:p>
      <w:pPr>
        <w:pStyle w:val="35"/>
        <w:numPr>
          <w:ilvl w:val="1"/>
          <w:numId w:val="0"/>
        </w:numPr>
        <w:spacing w:line="520" w:lineRule="exact"/>
        <w:ind w:left="480" w:leftChars="200"/>
        <w:rPr>
          <w:color w:val="auto"/>
          <w:highlight w:val="none"/>
        </w:rPr>
      </w:pPr>
      <w:r>
        <w:rPr>
          <w:rFonts w:hint="eastAsia"/>
          <w:color w:val="auto"/>
          <w:highlight w:val="none"/>
        </w:rPr>
        <w:t>11.拒绝有关部门的监督检查或者向监督检查部门提供虚假情况；</w:t>
      </w:r>
    </w:p>
    <w:p>
      <w:pPr>
        <w:pStyle w:val="35"/>
        <w:numPr>
          <w:ilvl w:val="1"/>
          <w:numId w:val="0"/>
        </w:numPr>
        <w:spacing w:line="520" w:lineRule="exact"/>
        <w:ind w:left="480" w:leftChars="200"/>
        <w:rPr>
          <w:color w:val="auto"/>
          <w:highlight w:val="none"/>
        </w:rPr>
      </w:pPr>
      <w:r>
        <w:rPr>
          <w:rFonts w:hint="eastAsia"/>
          <w:color w:val="auto"/>
          <w:highlight w:val="none"/>
        </w:rPr>
        <w:t>12.法律法规规定的其他情形。</w:t>
      </w:r>
    </w:p>
    <w:p>
      <w:pPr>
        <w:pStyle w:val="48"/>
        <w:spacing w:line="520" w:lineRule="exact"/>
        <w:rPr>
          <w:color w:val="auto"/>
          <w:highlight w:val="none"/>
        </w:rPr>
      </w:pPr>
      <w:bookmarkStart w:id="148" w:name="_Toc28656"/>
      <w:bookmarkStart w:id="149" w:name="_Toc12708"/>
      <w:bookmarkStart w:id="150" w:name="_Toc31594"/>
      <w:bookmarkStart w:id="151" w:name="_Toc29848"/>
      <w:bookmarkStart w:id="152" w:name="_Toc11007"/>
      <w:bookmarkStart w:id="153" w:name="_Toc19578"/>
      <w:bookmarkStart w:id="154" w:name="_Toc1683"/>
      <w:bookmarkStart w:id="155" w:name="_Toc17041"/>
      <w:r>
        <w:rPr>
          <w:rFonts w:hint="eastAsia"/>
          <w:color w:val="auto"/>
          <w:highlight w:val="none"/>
        </w:rPr>
        <w:t>供应商有上述情形的，按照规定追究法律责任，具备1～10条情形之一的，同时将取消成交资格或者认定成交无效。</w:t>
      </w:r>
    </w:p>
    <w:p>
      <w:pPr>
        <w:pStyle w:val="35"/>
        <w:numPr>
          <w:ilvl w:val="0"/>
          <w:numId w:val="27"/>
        </w:numPr>
        <w:spacing w:line="520" w:lineRule="exact"/>
        <w:ind w:firstLine="480"/>
        <w:outlineLvl w:val="2"/>
        <w:rPr>
          <w:color w:val="auto"/>
          <w:highlight w:val="none"/>
        </w:rPr>
      </w:pPr>
      <w:bookmarkStart w:id="156" w:name="_Toc29317"/>
      <w:bookmarkStart w:id="157" w:name="_Toc28420"/>
      <w:r>
        <w:rPr>
          <w:rFonts w:hint="eastAsia"/>
          <w:color w:val="auto"/>
          <w:highlight w:val="none"/>
        </w:rPr>
        <w:t>谈判现场纪律要求</w:t>
      </w:r>
      <w:bookmarkEnd w:id="156"/>
      <w:bookmarkEnd w:id="157"/>
    </w:p>
    <w:p>
      <w:pPr>
        <w:pStyle w:val="48"/>
        <w:spacing w:line="520" w:lineRule="exact"/>
        <w:rPr>
          <w:color w:val="auto"/>
          <w:highlight w:val="none"/>
        </w:rPr>
      </w:pPr>
      <w:r>
        <w:rPr>
          <w:rFonts w:hint="eastAsia"/>
          <w:color w:val="auto"/>
          <w:highlight w:val="none"/>
        </w:rPr>
        <w:t>供应商在谈判现场须听从采购代理机构的安排，自觉遵守秩序，不得起哄，大声喧哗；不得现场与其他供应商协商报价；不得干预谈判评审，否则由此造成的一切不利后果由供应商自行独立承担，同时采购代理机构向同级财政监督管理部门报告。</w:t>
      </w:r>
    </w:p>
    <w:bookmarkEnd w:id="148"/>
    <w:bookmarkEnd w:id="149"/>
    <w:bookmarkEnd w:id="150"/>
    <w:bookmarkEnd w:id="151"/>
    <w:bookmarkEnd w:id="152"/>
    <w:bookmarkEnd w:id="153"/>
    <w:bookmarkEnd w:id="154"/>
    <w:p>
      <w:pPr>
        <w:pStyle w:val="37"/>
        <w:spacing w:before="120" w:beforeLines="50" w:after="120" w:afterLines="50" w:line="520" w:lineRule="exact"/>
        <w:ind w:firstLine="0" w:firstLineChars="0"/>
        <w:jc w:val="center"/>
        <w:rPr>
          <w:color w:val="auto"/>
          <w:sz w:val="32"/>
          <w:szCs w:val="32"/>
          <w:highlight w:val="none"/>
        </w:rPr>
      </w:pPr>
      <w:bookmarkStart w:id="158" w:name="_Toc4472"/>
      <w:bookmarkStart w:id="159" w:name="_Toc8809"/>
      <w:r>
        <w:rPr>
          <w:rFonts w:hint="eastAsia"/>
          <w:color w:val="auto"/>
          <w:sz w:val="32"/>
          <w:szCs w:val="32"/>
          <w:highlight w:val="none"/>
        </w:rPr>
        <w:t>其他</w:t>
      </w:r>
      <w:bookmarkEnd w:id="158"/>
      <w:bookmarkEnd w:id="159"/>
    </w:p>
    <w:bookmarkEnd w:id="155"/>
    <w:p>
      <w:pPr>
        <w:pStyle w:val="51"/>
        <w:spacing w:line="520" w:lineRule="exact"/>
        <w:ind w:firstLine="482"/>
        <w:rPr>
          <w:color w:val="auto"/>
          <w:highlight w:val="none"/>
        </w:rPr>
      </w:pPr>
      <w:bookmarkStart w:id="160" w:name="_Toc18446"/>
      <w:bookmarkStart w:id="161" w:name="_Toc8370"/>
      <w:bookmarkStart w:id="162" w:name="_Toc17293"/>
      <w:r>
        <w:rPr>
          <w:rFonts w:hint="eastAsia"/>
          <w:color w:val="auto"/>
          <w:highlight w:val="none"/>
        </w:rPr>
        <w:t>询问</w:t>
      </w:r>
      <w:bookmarkEnd w:id="160"/>
      <w:bookmarkEnd w:id="161"/>
      <w:r>
        <w:rPr>
          <w:rFonts w:hint="eastAsia"/>
          <w:color w:val="auto"/>
          <w:highlight w:val="none"/>
        </w:rPr>
        <w:t>、质疑、投诉</w:t>
      </w:r>
      <w:bookmarkEnd w:id="162"/>
    </w:p>
    <w:p>
      <w:pPr>
        <w:pStyle w:val="35"/>
        <w:numPr>
          <w:ilvl w:val="1"/>
          <w:numId w:val="0"/>
        </w:numPr>
        <w:spacing w:line="520" w:lineRule="exact"/>
        <w:ind w:firstLine="480" w:firstLineChars="200"/>
        <w:rPr>
          <w:color w:val="auto"/>
          <w:highlight w:val="none"/>
        </w:rPr>
      </w:pPr>
      <w:r>
        <w:rPr>
          <w:rFonts w:hint="eastAsia"/>
          <w:color w:val="auto"/>
          <w:highlight w:val="none"/>
        </w:rPr>
        <w:t>具体详见谈判须知前附表。</w:t>
      </w:r>
    </w:p>
    <w:p>
      <w:pPr>
        <w:pStyle w:val="51"/>
        <w:spacing w:line="520" w:lineRule="exact"/>
        <w:ind w:firstLine="482"/>
        <w:rPr>
          <w:color w:val="auto"/>
          <w:highlight w:val="none"/>
        </w:rPr>
      </w:pPr>
      <w:bookmarkStart w:id="163" w:name="_Toc18625"/>
      <w:bookmarkStart w:id="164" w:name="_Toc26947"/>
      <w:bookmarkStart w:id="165" w:name="_Toc12243"/>
      <w:bookmarkStart w:id="166" w:name="_Toc2794"/>
      <w:bookmarkStart w:id="167" w:name="_Toc31084"/>
      <w:bookmarkStart w:id="168" w:name="_Toc28512"/>
      <w:bookmarkStart w:id="169" w:name="_Toc16406"/>
      <w:bookmarkStart w:id="170" w:name="_Toc24803"/>
      <w:bookmarkStart w:id="171" w:name="_Toc1748"/>
      <w:r>
        <w:rPr>
          <w:rFonts w:hint="eastAsia"/>
          <w:color w:val="auto"/>
          <w:highlight w:val="none"/>
        </w:rPr>
        <w:t>关于行贿犯罪档案查询工作的规定</w:t>
      </w:r>
      <w:bookmarkEnd w:id="163"/>
      <w:bookmarkEnd w:id="164"/>
      <w:bookmarkEnd w:id="165"/>
      <w:bookmarkEnd w:id="166"/>
      <w:bookmarkEnd w:id="167"/>
      <w:bookmarkEnd w:id="168"/>
      <w:bookmarkEnd w:id="169"/>
      <w:bookmarkEnd w:id="170"/>
      <w:bookmarkEnd w:id="171"/>
    </w:p>
    <w:p>
      <w:pPr>
        <w:pStyle w:val="35"/>
        <w:numPr>
          <w:ilvl w:val="1"/>
          <w:numId w:val="0"/>
        </w:numPr>
        <w:spacing w:line="520" w:lineRule="exact"/>
        <w:ind w:firstLine="480" w:firstLineChars="200"/>
        <w:rPr>
          <w:color w:val="auto"/>
          <w:highlight w:val="none"/>
        </w:rPr>
      </w:pPr>
      <w:bookmarkStart w:id="172" w:name="_Toc10320"/>
      <w:bookmarkStart w:id="173" w:name="_Toc29401"/>
      <w:bookmarkStart w:id="174" w:name="_Toc4110"/>
      <w:r>
        <w:rPr>
          <w:rFonts w:hint="eastAsia"/>
          <w:color w:val="auto"/>
          <w:highlight w:val="none"/>
        </w:rPr>
        <w:t>因国家检察机关职务犯罪侦查部门转隶工作已经完成，供应商参与采购活动时须按照谈判文件要求提供承诺函或由采购代理机构通过“中国裁判文书网”查询，并将查询记录存档。</w:t>
      </w:r>
      <w:bookmarkEnd w:id="172"/>
      <w:bookmarkEnd w:id="173"/>
    </w:p>
    <w:p>
      <w:pPr>
        <w:pStyle w:val="51"/>
        <w:spacing w:line="520" w:lineRule="exact"/>
        <w:ind w:firstLine="482"/>
        <w:rPr>
          <w:color w:val="auto"/>
          <w:highlight w:val="none"/>
        </w:rPr>
      </w:pPr>
      <w:bookmarkStart w:id="175" w:name="_Toc17419"/>
      <w:bookmarkStart w:id="176" w:name="_Toc14043"/>
      <w:r>
        <w:rPr>
          <w:rFonts w:hint="eastAsia"/>
          <w:color w:val="auto"/>
          <w:highlight w:val="none"/>
        </w:rPr>
        <w:t>供应商信用信息查询</w:t>
      </w:r>
      <w:bookmarkEnd w:id="174"/>
      <w:bookmarkEnd w:id="175"/>
      <w:bookmarkEnd w:id="176"/>
    </w:p>
    <w:p>
      <w:pPr>
        <w:pStyle w:val="35"/>
        <w:numPr>
          <w:ilvl w:val="1"/>
          <w:numId w:val="0"/>
        </w:numPr>
        <w:spacing w:line="520" w:lineRule="exact"/>
        <w:ind w:firstLine="480" w:firstLineChars="200"/>
        <w:rPr>
          <w:color w:val="auto"/>
          <w:highlight w:val="none"/>
        </w:rPr>
      </w:pPr>
      <w:r>
        <w:rPr>
          <w:rFonts w:hint="eastAsia"/>
          <w:color w:val="auto"/>
          <w:highlight w:val="none"/>
        </w:rPr>
        <w:t>1.供应商信用信息查询渠道</w:t>
      </w:r>
    </w:p>
    <w:p>
      <w:pPr>
        <w:pStyle w:val="48"/>
        <w:spacing w:line="520" w:lineRule="exact"/>
        <w:rPr>
          <w:color w:val="auto"/>
          <w:highlight w:val="none"/>
        </w:rPr>
      </w:pPr>
      <w:r>
        <w:rPr>
          <w:rFonts w:hint="eastAsia"/>
          <w:color w:val="auto"/>
          <w:highlight w:val="none"/>
        </w:rPr>
        <w:t>“信用中国”网站(www.creditchina.gov.cn)、“中国政府采购网”(www.ccgp.gov.cn)等。</w:t>
      </w:r>
    </w:p>
    <w:p>
      <w:pPr>
        <w:pStyle w:val="35"/>
        <w:numPr>
          <w:ilvl w:val="1"/>
          <w:numId w:val="0"/>
        </w:numPr>
        <w:spacing w:line="520" w:lineRule="exact"/>
        <w:ind w:firstLine="480" w:firstLineChars="200"/>
        <w:rPr>
          <w:color w:val="auto"/>
          <w:highlight w:val="none"/>
        </w:rPr>
      </w:pPr>
      <w:r>
        <w:rPr>
          <w:rFonts w:hint="eastAsia"/>
          <w:color w:val="auto"/>
          <w:highlight w:val="none"/>
        </w:rPr>
        <w:t>2.供应商信用信息查询截止时点</w:t>
      </w:r>
    </w:p>
    <w:p>
      <w:pPr>
        <w:pStyle w:val="48"/>
        <w:spacing w:line="520" w:lineRule="exact"/>
        <w:rPr>
          <w:color w:val="auto"/>
          <w:highlight w:val="none"/>
        </w:rPr>
      </w:pPr>
      <w:r>
        <w:rPr>
          <w:rFonts w:hint="eastAsia"/>
          <w:color w:val="auto"/>
          <w:highlight w:val="none"/>
        </w:rPr>
        <w:t>信用信息查询在资格审查阶段进行。</w:t>
      </w:r>
    </w:p>
    <w:p>
      <w:pPr>
        <w:pStyle w:val="35"/>
        <w:numPr>
          <w:ilvl w:val="1"/>
          <w:numId w:val="0"/>
        </w:numPr>
        <w:spacing w:line="520" w:lineRule="exact"/>
        <w:ind w:firstLine="480" w:firstLineChars="200"/>
        <w:rPr>
          <w:color w:val="auto"/>
          <w:highlight w:val="none"/>
        </w:rPr>
      </w:pPr>
      <w:r>
        <w:rPr>
          <w:rFonts w:hint="eastAsia"/>
          <w:color w:val="auto"/>
          <w:highlight w:val="none"/>
        </w:rPr>
        <w:t>3.供应商信用信息查询记录和证据留存的具体方式</w:t>
      </w:r>
    </w:p>
    <w:p>
      <w:pPr>
        <w:pStyle w:val="48"/>
        <w:spacing w:line="520" w:lineRule="exact"/>
        <w:rPr>
          <w:color w:val="auto"/>
          <w:highlight w:val="none"/>
        </w:rPr>
      </w:pPr>
      <w:r>
        <w:rPr>
          <w:rFonts w:hint="eastAsia"/>
          <w:color w:val="auto"/>
          <w:highlight w:val="none"/>
        </w:rPr>
        <w:t>采购代理机构通过“信用中国”网站、“中国政府采购网”等渠道对供应商进行信用记录查询，并将查询记录存档。</w:t>
      </w:r>
    </w:p>
    <w:p>
      <w:pPr>
        <w:pStyle w:val="38"/>
        <w:numPr>
          <w:ilvl w:val="255"/>
          <w:numId w:val="0"/>
        </w:numPr>
        <w:spacing w:line="520" w:lineRule="exact"/>
        <w:ind w:firstLine="480" w:firstLineChars="200"/>
        <w:rPr>
          <w:color w:val="auto"/>
          <w:highlight w:val="none"/>
        </w:rPr>
      </w:pPr>
      <w:r>
        <w:rPr>
          <w:rFonts w:hint="eastAsia"/>
          <w:color w:val="auto"/>
          <w:highlight w:val="none"/>
        </w:rPr>
        <w:t>4.供应商信用信息的使用：凡被列入失信被执行人、重大税收违法案件当事人名单、政府采购严重违法失信行为记录名单的，视为存在不良信用记录，参与本项目的将被拒绝。</w:t>
      </w:r>
    </w:p>
    <w:p>
      <w:pPr>
        <w:pStyle w:val="51"/>
        <w:spacing w:line="520" w:lineRule="exact"/>
        <w:ind w:firstLine="482"/>
        <w:rPr>
          <w:color w:val="auto"/>
          <w:highlight w:val="none"/>
        </w:rPr>
      </w:pPr>
      <w:bookmarkStart w:id="177" w:name="_Toc5438"/>
      <w:bookmarkStart w:id="178" w:name="_Toc19815"/>
      <w:r>
        <w:rPr>
          <w:rFonts w:hint="eastAsia"/>
          <w:color w:val="auto"/>
          <w:highlight w:val="none"/>
        </w:rPr>
        <w:t>保密</w:t>
      </w:r>
      <w:bookmarkEnd w:id="177"/>
      <w:bookmarkEnd w:id="178"/>
    </w:p>
    <w:p>
      <w:pPr>
        <w:pStyle w:val="11"/>
        <w:tabs>
          <w:tab w:val="left" w:pos="1134"/>
          <w:tab w:val="clear" w:pos="0"/>
        </w:tabs>
        <w:spacing w:line="520" w:lineRule="exact"/>
        <w:ind w:firstLine="480"/>
        <w:rPr>
          <w:color w:val="auto"/>
          <w:highlight w:val="none"/>
        </w:rPr>
      </w:pPr>
      <w:r>
        <w:rPr>
          <w:rFonts w:hint="eastAsia"/>
          <w:color w:val="auto"/>
          <w:highlight w:val="none"/>
        </w:rPr>
        <w:t>1.各采购当事人不得透露有关成功获取采购文件的潜在供应商的任何情况。</w:t>
      </w:r>
    </w:p>
    <w:p>
      <w:pPr>
        <w:pStyle w:val="11"/>
        <w:tabs>
          <w:tab w:val="left" w:pos="1134"/>
          <w:tab w:val="clear" w:pos="0"/>
        </w:tabs>
        <w:spacing w:line="520" w:lineRule="exact"/>
        <w:ind w:firstLine="480"/>
        <w:rPr>
          <w:color w:val="auto"/>
          <w:highlight w:val="none"/>
        </w:rPr>
      </w:pPr>
      <w:r>
        <w:rPr>
          <w:rFonts w:hint="eastAsia"/>
          <w:color w:val="auto"/>
          <w:highlight w:val="none"/>
        </w:rPr>
        <w:t>2.供应商有关响应文件的审查、澄清、评估和比较以及合同授予意向等情况均不得对外透露。</w:t>
      </w:r>
    </w:p>
    <w:p>
      <w:pPr>
        <w:pStyle w:val="51"/>
        <w:spacing w:line="520" w:lineRule="exact"/>
        <w:ind w:firstLine="482"/>
        <w:rPr>
          <w:color w:val="auto"/>
          <w:highlight w:val="none"/>
        </w:rPr>
      </w:pPr>
      <w:bookmarkStart w:id="179" w:name="_Toc4008"/>
      <w:bookmarkStart w:id="180" w:name="_Toc9400"/>
      <w:r>
        <w:rPr>
          <w:rFonts w:hint="eastAsia"/>
          <w:color w:val="auto"/>
          <w:highlight w:val="none"/>
        </w:rPr>
        <w:t>回避</w:t>
      </w:r>
      <w:bookmarkEnd w:id="179"/>
      <w:bookmarkEnd w:id="180"/>
    </w:p>
    <w:p>
      <w:pPr>
        <w:pStyle w:val="22"/>
        <w:shd w:val="clear" w:color="auto" w:fill="FFFFFF"/>
        <w:spacing w:beforeAutospacing="0" w:afterAutospacing="0" w:line="520" w:lineRule="exact"/>
        <w:ind w:firstLine="480" w:firstLineChars="200"/>
        <w:jc w:val="both"/>
        <w:textAlignment w:val="center"/>
        <w:rPr>
          <w:rFonts w:cstheme="minorBidi"/>
          <w:color w:val="auto"/>
          <w:kern w:val="2"/>
          <w:highlight w:val="none"/>
        </w:rPr>
      </w:pPr>
      <w:r>
        <w:rPr>
          <w:rFonts w:hint="eastAsia" w:cstheme="minorBidi"/>
          <w:color w:val="auto"/>
          <w:kern w:val="2"/>
          <w:highlight w:val="none"/>
        </w:rPr>
        <w:t>在采购活动中，采购人员及相关人员与供应商有下列利害关系之一的，应当回避：</w:t>
      </w:r>
    </w:p>
    <w:p>
      <w:pPr>
        <w:pStyle w:val="22"/>
        <w:shd w:val="clear" w:color="auto" w:fill="FFFFFF"/>
        <w:spacing w:beforeAutospacing="0" w:afterAutospacing="0" w:line="520" w:lineRule="exact"/>
        <w:ind w:firstLine="480" w:firstLineChars="200"/>
        <w:jc w:val="both"/>
        <w:textAlignment w:val="center"/>
        <w:rPr>
          <w:rFonts w:cstheme="minorBidi"/>
          <w:color w:val="auto"/>
          <w:kern w:val="2"/>
          <w:highlight w:val="none"/>
        </w:rPr>
      </w:pPr>
      <w:r>
        <w:rPr>
          <w:rFonts w:hint="eastAsia" w:cstheme="minorBidi"/>
          <w:color w:val="auto"/>
          <w:kern w:val="2"/>
          <w:highlight w:val="none"/>
        </w:rPr>
        <w:t>1.参加采购活动前3年内与供应商存在劳动关系；</w:t>
      </w:r>
    </w:p>
    <w:p>
      <w:pPr>
        <w:pStyle w:val="22"/>
        <w:shd w:val="clear" w:color="auto" w:fill="FFFFFF"/>
        <w:spacing w:beforeAutospacing="0" w:afterAutospacing="0" w:line="520" w:lineRule="exact"/>
        <w:ind w:firstLine="480" w:firstLineChars="200"/>
        <w:jc w:val="both"/>
        <w:textAlignment w:val="center"/>
        <w:rPr>
          <w:rFonts w:cstheme="minorBidi"/>
          <w:color w:val="auto"/>
          <w:kern w:val="2"/>
          <w:highlight w:val="none"/>
        </w:rPr>
      </w:pPr>
      <w:r>
        <w:rPr>
          <w:rFonts w:hint="eastAsia" w:cstheme="minorBidi"/>
          <w:color w:val="auto"/>
          <w:kern w:val="2"/>
          <w:highlight w:val="none"/>
        </w:rPr>
        <w:t>2.参加采购活动前3年内担任供应商的董事、监事；</w:t>
      </w:r>
    </w:p>
    <w:p>
      <w:pPr>
        <w:pStyle w:val="22"/>
        <w:shd w:val="clear" w:color="auto" w:fill="FFFFFF"/>
        <w:spacing w:beforeAutospacing="0" w:afterAutospacing="0" w:line="520" w:lineRule="exact"/>
        <w:ind w:firstLine="480" w:firstLineChars="200"/>
        <w:jc w:val="both"/>
        <w:textAlignment w:val="center"/>
        <w:rPr>
          <w:rFonts w:cstheme="minorBidi"/>
          <w:color w:val="auto"/>
          <w:kern w:val="2"/>
          <w:highlight w:val="none"/>
        </w:rPr>
      </w:pPr>
      <w:r>
        <w:rPr>
          <w:rFonts w:hint="eastAsia" w:cstheme="minorBidi"/>
          <w:color w:val="auto"/>
          <w:kern w:val="2"/>
          <w:highlight w:val="none"/>
        </w:rPr>
        <w:t>3.参加采购活动前3年内是供应商的控股股东或者实际控制人；</w:t>
      </w:r>
    </w:p>
    <w:p>
      <w:pPr>
        <w:pStyle w:val="22"/>
        <w:shd w:val="clear" w:color="auto" w:fill="FFFFFF"/>
        <w:spacing w:beforeAutospacing="0" w:afterAutospacing="0" w:line="520" w:lineRule="exact"/>
        <w:ind w:firstLine="480" w:firstLineChars="200"/>
        <w:jc w:val="both"/>
        <w:textAlignment w:val="center"/>
        <w:rPr>
          <w:rFonts w:cstheme="minorBidi"/>
          <w:color w:val="auto"/>
          <w:kern w:val="2"/>
          <w:highlight w:val="none"/>
        </w:rPr>
      </w:pPr>
      <w:r>
        <w:rPr>
          <w:rFonts w:hint="eastAsia" w:cstheme="minorBidi"/>
          <w:color w:val="auto"/>
          <w:kern w:val="2"/>
          <w:highlight w:val="none"/>
        </w:rPr>
        <w:t>4.与供应商的法定代表人或者负责人有夫妻、直系血亲、三代以内旁系血亲或者近姻亲关系；</w:t>
      </w:r>
    </w:p>
    <w:p>
      <w:pPr>
        <w:pStyle w:val="22"/>
        <w:shd w:val="clear" w:color="auto" w:fill="FFFFFF"/>
        <w:spacing w:beforeAutospacing="0" w:afterAutospacing="0" w:line="520" w:lineRule="exact"/>
        <w:ind w:firstLine="480" w:firstLineChars="200"/>
        <w:jc w:val="both"/>
        <w:textAlignment w:val="center"/>
        <w:rPr>
          <w:rFonts w:cstheme="minorBidi"/>
          <w:color w:val="auto"/>
          <w:kern w:val="2"/>
          <w:highlight w:val="none"/>
        </w:rPr>
      </w:pPr>
      <w:r>
        <w:rPr>
          <w:rFonts w:hint="eastAsia" w:cstheme="minorBidi"/>
          <w:color w:val="auto"/>
          <w:kern w:val="2"/>
          <w:highlight w:val="none"/>
        </w:rPr>
        <w:t>5.与供应商有其他可能影响采购活动公平、公正进行的关系。</w:t>
      </w:r>
    </w:p>
    <w:p>
      <w:pPr>
        <w:pStyle w:val="11"/>
        <w:tabs>
          <w:tab w:val="left" w:pos="1134"/>
          <w:tab w:val="clear" w:pos="0"/>
        </w:tabs>
        <w:spacing w:line="520" w:lineRule="exact"/>
        <w:ind w:firstLine="480"/>
        <w:rPr>
          <w:color w:val="auto"/>
          <w:highlight w:val="none"/>
        </w:rPr>
      </w:pPr>
      <w:r>
        <w:rPr>
          <w:rFonts w:hint="eastAsia"/>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51"/>
        <w:spacing w:line="520" w:lineRule="exact"/>
        <w:ind w:firstLine="482"/>
        <w:rPr>
          <w:color w:val="auto"/>
          <w:highlight w:val="none"/>
        </w:rPr>
      </w:pPr>
      <w:bookmarkStart w:id="181" w:name="_Toc9680"/>
      <w:bookmarkStart w:id="182" w:name="_Toc17495"/>
      <w:bookmarkStart w:id="183" w:name="_Toc30517"/>
      <w:r>
        <w:rPr>
          <w:rFonts w:hint="eastAsia"/>
          <w:color w:val="auto"/>
          <w:highlight w:val="none"/>
        </w:rPr>
        <w:t>解释说明</w:t>
      </w:r>
      <w:bookmarkEnd w:id="181"/>
      <w:bookmarkEnd w:id="182"/>
      <w:bookmarkEnd w:id="183"/>
    </w:p>
    <w:p>
      <w:pPr>
        <w:pStyle w:val="35"/>
        <w:numPr>
          <w:ilvl w:val="1"/>
          <w:numId w:val="0"/>
        </w:numPr>
        <w:spacing w:line="520" w:lineRule="exact"/>
        <w:ind w:firstLine="480" w:firstLineChars="200"/>
        <w:rPr>
          <w:color w:val="auto"/>
          <w:highlight w:val="none"/>
        </w:rPr>
      </w:pPr>
      <w:r>
        <w:rPr>
          <w:rFonts w:hint="eastAsia"/>
          <w:color w:val="auto"/>
          <w:highlight w:val="none"/>
        </w:rPr>
        <w:t>1.本谈判文件中作为实质性要求的内容，除明确要求需在响应文件中提供承诺函等证明材料的外，评审委员会在评审时，仅对响应文件是否违背实质性要求进行审查。</w:t>
      </w:r>
    </w:p>
    <w:p>
      <w:pPr>
        <w:pStyle w:val="35"/>
        <w:numPr>
          <w:ilvl w:val="1"/>
          <w:numId w:val="0"/>
        </w:numPr>
        <w:spacing w:line="520" w:lineRule="exact"/>
        <w:ind w:firstLine="480" w:firstLineChars="200"/>
        <w:rPr>
          <w:color w:val="auto"/>
          <w:highlight w:val="none"/>
        </w:rPr>
      </w:pPr>
      <w:r>
        <w:rPr>
          <w:rFonts w:hint="eastAsia"/>
          <w:color w:val="auto"/>
          <w:highlight w:val="none"/>
        </w:rPr>
        <w:t>2.本谈判文件中所引用的相关法律法规规定，在采购中有调整的，按照调整后的相关法律法规规定执行。在本项目响应文件递交截止时间届满后，因相关法律法规规定的调整导致不符合相关法律法规规定的，按照调整后的相关法律法规规定执行，本谈判文件不再做调整。</w:t>
      </w:r>
    </w:p>
    <w:p>
      <w:pPr>
        <w:pStyle w:val="35"/>
        <w:numPr>
          <w:ilvl w:val="1"/>
          <w:numId w:val="0"/>
        </w:numPr>
        <w:spacing w:line="520" w:lineRule="exact"/>
        <w:ind w:firstLine="480" w:firstLineChars="200"/>
        <w:rPr>
          <w:color w:val="auto"/>
          <w:highlight w:val="none"/>
        </w:rPr>
      </w:pPr>
      <w:r>
        <w:rPr>
          <w:rFonts w:hint="eastAsia"/>
          <w:color w:val="auto"/>
          <w:highlight w:val="none"/>
        </w:rPr>
        <w:t>3.国家或行业主管部门对供应商和采购产品的技术标准、质量标准和资格资质条件等有强制性规定的，必须符合其要求</w:t>
      </w:r>
      <w:r>
        <w:rPr>
          <w:rFonts w:hint="eastAsia"/>
          <w:b/>
          <w:bCs/>
          <w:color w:val="auto"/>
          <w:highlight w:val="none"/>
        </w:rPr>
        <w:t>(实质性要求)</w:t>
      </w:r>
      <w:r>
        <w:rPr>
          <w:rFonts w:hint="eastAsia"/>
          <w:color w:val="auto"/>
          <w:highlight w:val="none"/>
        </w:rPr>
        <w:t>。</w:t>
      </w:r>
    </w:p>
    <w:p>
      <w:pPr>
        <w:pStyle w:val="35"/>
        <w:numPr>
          <w:ilvl w:val="1"/>
          <w:numId w:val="0"/>
        </w:numPr>
        <w:spacing w:line="520" w:lineRule="exact"/>
        <w:ind w:firstLine="480" w:firstLineChars="200"/>
        <w:rPr>
          <w:color w:val="auto"/>
          <w:highlight w:val="none"/>
        </w:rPr>
      </w:pPr>
      <w:r>
        <w:rPr>
          <w:rFonts w:hint="eastAsia"/>
          <w:color w:val="auto"/>
          <w:highlight w:val="none"/>
        </w:rPr>
        <w:t>4.</w:t>
      </w:r>
      <w:r>
        <w:rPr>
          <w:rFonts w:hint="eastAsia" w:cs="宋体"/>
          <w:color w:val="auto"/>
          <w:highlight w:val="none"/>
        </w:rPr>
        <w:t>本项目涉及企业资质、产品认证、人员执业资格等描述与国家最新要求不一致时以最新要求为准。</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Pr>
        <w:pStyle w:val="50"/>
        <w:spacing w:before="120" w:after="120"/>
        <w:rPr>
          <w:color w:val="auto"/>
          <w:highlight w:val="none"/>
        </w:rPr>
      </w:pPr>
      <w:bookmarkStart w:id="184" w:name="_Toc5589"/>
      <w:r>
        <w:rPr>
          <w:rFonts w:hint="eastAsia"/>
          <w:color w:val="auto"/>
          <w:highlight w:val="none"/>
        </w:rPr>
        <w:br w:type="page"/>
      </w:r>
      <w:bookmarkEnd w:id="184"/>
      <w:bookmarkStart w:id="185" w:name="_Toc31402"/>
      <w:bookmarkStart w:id="186" w:name="_Toc25961"/>
      <w:bookmarkStart w:id="187" w:name="_Toc11586"/>
      <w:bookmarkStart w:id="188" w:name="_Toc4206"/>
      <w:bookmarkStart w:id="189" w:name="_Toc29575"/>
      <w:r>
        <w:rPr>
          <w:rFonts w:hint="eastAsia"/>
          <w:color w:val="auto"/>
          <w:highlight w:val="none"/>
        </w:rPr>
        <w:t>响应文件格式</w:t>
      </w:r>
      <w:bookmarkEnd w:id="185"/>
      <w:bookmarkEnd w:id="186"/>
      <w:bookmarkEnd w:id="187"/>
      <w:bookmarkEnd w:id="188"/>
      <w:bookmarkEnd w:id="189"/>
    </w:p>
    <w:p>
      <w:pPr>
        <w:pStyle w:val="48"/>
        <w:spacing w:line="520" w:lineRule="exact"/>
        <w:rPr>
          <w:color w:val="auto"/>
          <w:highlight w:val="none"/>
        </w:rPr>
      </w:pPr>
      <w:bookmarkStart w:id="190" w:name="_Toc294688711"/>
      <w:bookmarkStart w:id="191" w:name="_Toc294701519"/>
      <w:bookmarkStart w:id="192" w:name="_Toc287367101"/>
      <w:bookmarkStart w:id="193" w:name="_Toc16460"/>
      <w:bookmarkStart w:id="194" w:name="_Toc316462354"/>
      <w:bookmarkStart w:id="195" w:name="_Toc182629023"/>
      <w:bookmarkStart w:id="196" w:name="_Toc211218954"/>
      <w:bookmarkStart w:id="197" w:name="_Toc295978802"/>
      <w:bookmarkStart w:id="198" w:name="_Toc439161746"/>
      <w:bookmarkStart w:id="199" w:name="_Toc182759327"/>
      <w:r>
        <w:rPr>
          <w:rFonts w:hint="eastAsia"/>
          <w:color w:val="auto"/>
          <w:highlight w:val="none"/>
        </w:rPr>
        <w:t>一、本章所制响应文件格式，除格式中明确将该格式作为实质性要求的，一律不具有强制性，供应商不涉及的格式可不提供。</w:t>
      </w:r>
    </w:p>
    <w:p>
      <w:pPr>
        <w:pStyle w:val="48"/>
        <w:spacing w:line="520" w:lineRule="exact"/>
        <w:rPr>
          <w:color w:val="auto"/>
          <w:highlight w:val="none"/>
        </w:rPr>
      </w:pPr>
      <w:r>
        <w:rPr>
          <w:rFonts w:hint="eastAsia"/>
          <w:color w:val="auto"/>
          <w:highlight w:val="none"/>
        </w:rPr>
        <w:t>二、本章所制响应文件格式有关表格中的备注栏，由供应商根据自身响应情况作解释性说明，不作为必填项。</w:t>
      </w:r>
    </w:p>
    <w:p>
      <w:pPr>
        <w:pStyle w:val="48"/>
        <w:spacing w:line="520" w:lineRule="exact"/>
        <w:rPr>
          <w:color w:val="auto"/>
          <w:highlight w:val="none"/>
        </w:rPr>
      </w:pPr>
      <w:r>
        <w:rPr>
          <w:rFonts w:hint="eastAsia"/>
          <w:color w:val="auto"/>
          <w:highlight w:val="none"/>
        </w:rPr>
        <w:t>三、本章格式中“注”的内容，供应商可自行决定是否保留在响应文件中，未保留的视为供应商默认接受“注”的内容。</w:t>
      </w:r>
    </w:p>
    <w:p>
      <w:pPr>
        <w:pStyle w:val="48"/>
        <w:spacing w:line="520" w:lineRule="exact"/>
        <w:rPr>
          <w:color w:val="auto"/>
          <w:highlight w:val="none"/>
        </w:rPr>
      </w:pPr>
      <w:r>
        <w:rPr>
          <w:rFonts w:hint="eastAsia"/>
          <w:color w:val="auto"/>
          <w:highlight w:val="none"/>
        </w:rPr>
        <w:t>四、本章所制响应文件格式中需要填写的相关内容事项，可能会与本采购项目无关，在不改变响应文件原义、不影响本项目采购需求的情况下，供应商可以不予填写，但应当注明。</w:t>
      </w:r>
    </w:p>
    <w:p>
      <w:pPr>
        <w:pStyle w:val="45"/>
        <w:rPr>
          <w:color w:val="auto"/>
          <w:highlight w:val="none"/>
        </w:rPr>
      </w:pPr>
      <w:r>
        <w:rPr>
          <w:rFonts w:hint="eastAsia"/>
          <w:color w:val="auto"/>
          <w:highlight w:val="none"/>
        </w:rPr>
        <w:br w:type="page"/>
      </w:r>
    </w:p>
    <w:p>
      <w:pPr>
        <w:pStyle w:val="36"/>
        <w:rPr>
          <w:color w:val="auto"/>
          <w:highlight w:val="none"/>
        </w:rPr>
      </w:pPr>
      <w:r>
        <w:rPr>
          <w:rFonts w:hint="eastAsia"/>
          <w:color w:val="auto"/>
          <w:highlight w:val="none"/>
        </w:rPr>
        <w:t>附件：密封袋的格式</w:t>
      </w:r>
    </w:p>
    <w:p>
      <w:pPr>
        <w:pStyle w:val="36"/>
        <w:rPr>
          <w:color w:val="auto"/>
          <w:highlight w:val="none"/>
        </w:rPr>
      </w:pPr>
    </w:p>
    <w:p>
      <w:pPr>
        <w:pStyle w:val="36"/>
        <w:rPr>
          <w:color w:val="auto"/>
          <w:highlight w:val="none"/>
        </w:rPr>
      </w:pPr>
    </w:p>
    <w:p>
      <w:pPr>
        <w:pStyle w:val="36"/>
        <w:rPr>
          <w:color w:val="auto"/>
          <w:highlight w:val="none"/>
        </w:rPr>
      </w:pPr>
    </w:p>
    <w:tbl>
      <w:tblPr>
        <w:tblStyle w:val="24"/>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tcPr>
          <w:p>
            <w:pPr>
              <w:pStyle w:val="36"/>
              <w:rPr>
                <w:color w:val="auto"/>
                <w:highlight w:val="none"/>
              </w:rPr>
            </w:pPr>
          </w:p>
          <w:p>
            <w:pPr>
              <w:tabs>
                <w:tab w:val="left" w:pos="7665"/>
                <w:tab w:val="clear" w:pos="0"/>
              </w:tabs>
              <w:spacing w:line="400" w:lineRule="exact"/>
              <w:ind w:firstLine="2280" w:firstLineChars="95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xml:space="preserve">                   </w:t>
            </w:r>
          </w:p>
          <w:p>
            <w:pPr>
              <w:tabs>
                <w:tab w:val="left" w:pos="7665"/>
                <w:tab w:val="clear" w:pos="0"/>
              </w:tabs>
              <w:spacing w:line="400" w:lineRule="exact"/>
              <w:ind w:firstLine="2280" w:firstLineChars="95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u w:val="single"/>
              </w:rPr>
              <w:t xml:space="preserve">                   </w:t>
            </w:r>
          </w:p>
          <w:p>
            <w:pPr>
              <w:tabs>
                <w:tab w:val="left" w:pos="7665"/>
                <w:tab w:val="clear" w:pos="0"/>
              </w:tabs>
              <w:spacing w:line="400" w:lineRule="exact"/>
              <w:jc w:val="center"/>
              <w:rPr>
                <w:rFonts w:asciiTheme="minorEastAsia" w:hAnsiTheme="minorEastAsia" w:eastAsiaTheme="minorEastAsia" w:cstheme="minorEastAsia"/>
                <w:b/>
                <w:color w:val="auto"/>
                <w:sz w:val="32"/>
                <w:szCs w:val="32"/>
                <w:highlight w:val="none"/>
              </w:rPr>
            </w:pPr>
          </w:p>
          <w:p>
            <w:pPr>
              <w:pStyle w:val="36"/>
              <w:jc w:val="center"/>
              <w:rPr>
                <w:b/>
                <w:bCs/>
                <w:color w:val="auto"/>
                <w:sz w:val="32"/>
                <w:szCs w:val="32"/>
                <w:highlight w:val="none"/>
              </w:rPr>
            </w:pPr>
            <w:r>
              <w:rPr>
                <w:rFonts w:hint="eastAsia"/>
                <w:b/>
                <w:bCs/>
                <w:color w:val="auto"/>
                <w:sz w:val="32"/>
                <w:szCs w:val="32"/>
                <w:highlight w:val="none"/>
              </w:rPr>
              <w:t>资格、资质性及其他类似效力响应文件</w:t>
            </w:r>
          </w:p>
          <w:p>
            <w:pPr>
              <w:pStyle w:val="36"/>
              <w:jc w:val="center"/>
              <w:rPr>
                <w:b/>
                <w:bCs/>
                <w:color w:val="auto"/>
                <w:sz w:val="32"/>
                <w:szCs w:val="32"/>
                <w:highlight w:val="none"/>
              </w:rPr>
            </w:pPr>
            <w:r>
              <w:rPr>
                <w:rFonts w:hint="eastAsia"/>
                <w:b/>
                <w:bCs/>
                <w:color w:val="auto"/>
                <w:sz w:val="32"/>
                <w:szCs w:val="32"/>
                <w:highlight w:val="none"/>
              </w:rPr>
              <w:t>/其他响应文件/电子文档</w:t>
            </w:r>
          </w:p>
          <w:p>
            <w:pPr>
              <w:tabs>
                <w:tab w:val="left" w:pos="7665"/>
                <w:tab w:val="clear" w:pos="0"/>
              </w:tabs>
              <w:spacing w:line="400" w:lineRule="exact"/>
              <w:jc w:val="center"/>
              <w:rPr>
                <w:rFonts w:asciiTheme="minorEastAsia" w:hAnsiTheme="minorEastAsia" w:eastAsiaTheme="minorEastAsia" w:cstheme="minorEastAsia"/>
                <w:color w:val="auto"/>
                <w:highlight w:val="none"/>
              </w:rPr>
            </w:pPr>
          </w:p>
          <w:p>
            <w:pPr>
              <w:tabs>
                <w:tab w:val="left" w:pos="7665"/>
                <w:tab w:val="clear" w:pos="0"/>
              </w:tabs>
              <w:spacing w:line="400" w:lineRule="exact"/>
              <w:ind w:firstLine="2280" w:firstLineChars="95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xml:space="preserve">                 </w:t>
            </w:r>
          </w:p>
          <w:p>
            <w:pPr>
              <w:pStyle w:val="36"/>
              <w:ind w:firstLine="2280" w:firstLineChars="950"/>
              <w:rPr>
                <w:color w:val="auto"/>
                <w:highlight w:val="none"/>
              </w:rPr>
            </w:pPr>
            <w:r>
              <w:rPr>
                <w:rFonts w:hint="eastAsia" w:asciiTheme="minorEastAsia" w:hAnsiTheme="minorEastAsia" w:eastAsiaTheme="minorEastAsia" w:cstheme="minorEastAsia"/>
                <w:color w:val="auto"/>
                <w:highlight w:val="none"/>
              </w:rPr>
              <w:t>谈判日期：</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 xml:space="preserve">                   </w:t>
            </w:r>
          </w:p>
          <w:p>
            <w:pPr>
              <w:pStyle w:val="36"/>
              <w:rPr>
                <w:color w:val="auto"/>
                <w:highlight w:val="none"/>
              </w:rPr>
            </w:pPr>
          </w:p>
        </w:tc>
      </w:tr>
    </w:tbl>
    <w:p>
      <w:pPr>
        <w:pStyle w:val="36"/>
        <w:rPr>
          <w:color w:val="auto"/>
          <w:highlight w:val="none"/>
        </w:rPr>
      </w:pPr>
      <w:bookmarkStart w:id="200" w:name="_Toc11581"/>
      <w:bookmarkStart w:id="201" w:name="_Toc6994"/>
      <w:r>
        <w:rPr>
          <w:rFonts w:hint="eastAsia"/>
          <w:color w:val="auto"/>
          <w:highlight w:val="none"/>
        </w:rPr>
        <w:br w:type="page"/>
      </w:r>
    </w:p>
    <w:p>
      <w:pPr>
        <w:pStyle w:val="36"/>
        <w:rPr>
          <w:color w:val="auto"/>
          <w:highlight w:val="none"/>
        </w:rPr>
      </w:pPr>
      <w:r>
        <w:rPr>
          <w:rFonts w:hint="eastAsia"/>
          <w:color w:val="auto"/>
          <w:highlight w:val="none"/>
        </w:rPr>
        <w:t>响应文件封面格式</w:t>
      </w:r>
      <w:bookmarkEnd w:id="190"/>
      <w:bookmarkEnd w:id="191"/>
      <w:bookmarkEnd w:id="192"/>
      <w:bookmarkEnd w:id="193"/>
      <w:bookmarkEnd w:id="194"/>
      <w:bookmarkEnd w:id="195"/>
      <w:bookmarkEnd w:id="196"/>
      <w:bookmarkEnd w:id="197"/>
      <w:bookmarkEnd w:id="198"/>
      <w:bookmarkEnd w:id="199"/>
      <w:bookmarkEnd w:id="200"/>
      <w:bookmarkEnd w:id="201"/>
    </w:p>
    <w:p>
      <w:pPr>
        <w:pStyle w:val="36"/>
        <w:rPr>
          <w:color w:val="auto"/>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b/>
                                <w:sz w:val="28"/>
                                <w:szCs w:val="28"/>
                              </w:rPr>
                            </w:pPr>
                            <w:r>
                              <w:rPr>
                                <w:rFonts w:hint="eastAsia"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60288;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fill on="t" focussize="0,0"/>
                <v:stroke color="#000000" joinstyle="miter"/>
                <v:imagedata o:title=""/>
                <o:lock v:ext="edit" aspectratio="f"/>
                <v:textbox style="mso-fit-shape-to-text:t;">
                  <w:txbxContent>
                    <w:p>
                      <w:pPr>
                        <w:rPr>
                          <w:rFonts w:cs="宋体"/>
                          <w:b/>
                          <w:sz w:val="28"/>
                          <w:szCs w:val="28"/>
                        </w:rPr>
                      </w:pPr>
                      <w:r>
                        <w:rPr>
                          <w:rFonts w:hint="eastAsia" w:cs="宋体"/>
                          <w:b/>
                          <w:sz w:val="28"/>
                          <w:szCs w:val="28"/>
                        </w:rPr>
                        <w:t>正本或副本</w:t>
                      </w:r>
                    </w:p>
                  </w:txbxContent>
                </v:textbox>
              </v:rect>
            </w:pict>
          </mc:Fallback>
        </mc:AlternateContent>
      </w:r>
    </w:p>
    <w:p>
      <w:pPr>
        <w:pStyle w:val="36"/>
        <w:rPr>
          <w:color w:val="auto"/>
          <w:highlight w:val="none"/>
        </w:rPr>
      </w:pPr>
    </w:p>
    <w:p>
      <w:pPr>
        <w:pStyle w:val="36"/>
        <w:rPr>
          <w:color w:val="auto"/>
          <w:highlight w:val="none"/>
        </w:rPr>
      </w:pPr>
    </w:p>
    <w:p>
      <w:pPr>
        <w:pStyle w:val="36"/>
        <w:rPr>
          <w:color w:val="auto"/>
          <w:highlight w:val="none"/>
        </w:rPr>
      </w:pPr>
    </w:p>
    <w:p>
      <w:pPr>
        <w:pStyle w:val="36"/>
        <w:spacing w:line="360" w:lineRule="auto"/>
        <w:jc w:val="center"/>
        <w:rPr>
          <w:b/>
          <w:bCs/>
          <w:color w:val="auto"/>
          <w:sz w:val="48"/>
          <w:szCs w:val="48"/>
          <w:highlight w:val="none"/>
        </w:rPr>
      </w:pPr>
    </w:p>
    <w:p>
      <w:pPr>
        <w:pStyle w:val="36"/>
        <w:spacing w:line="360" w:lineRule="auto"/>
        <w:jc w:val="center"/>
        <w:rPr>
          <w:b/>
          <w:bCs/>
          <w:color w:val="auto"/>
          <w:sz w:val="48"/>
          <w:szCs w:val="48"/>
          <w:highlight w:val="none"/>
        </w:rPr>
      </w:pPr>
      <w:r>
        <w:rPr>
          <w:rFonts w:hint="eastAsia"/>
          <w:b/>
          <w:bCs/>
          <w:color w:val="auto"/>
          <w:sz w:val="48"/>
          <w:szCs w:val="48"/>
          <w:highlight w:val="none"/>
        </w:rPr>
        <w:t>资格、资质性及其他类似效力响应文件</w:t>
      </w:r>
    </w:p>
    <w:p>
      <w:pPr>
        <w:pStyle w:val="36"/>
        <w:spacing w:line="360" w:lineRule="auto"/>
        <w:jc w:val="center"/>
        <w:rPr>
          <w:b/>
          <w:bCs/>
          <w:color w:val="auto"/>
          <w:sz w:val="48"/>
          <w:szCs w:val="48"/>
          <w:highlight w:val="none"/>
        </w:rPr>
      </w:pPr>
      <w:r>
        <w:rPr>
          <w:rFonts w:hint="eastAsia"/>
          <w:b/>
          <w:bCs/>
          <w:color w:val="auto"/>
          <w:sz w:val="48"/>
          <w:szCs w:val="48"/>
          <w:highlight w:val="none"/>
        </w:rPr>
        <w:t>/其他响应文件</w:t>
      </w:r>
    </w:p>
    <w:p>
      <w:pPr>
        <w:pStyle w:val="36"/>
        <w:rPr>
          <w:color w:val="auto"/>
          <w:highlight w:val="none"/>
        </w:rPr>
      </w:pPr>
    </w:p>
    <w:p>
      <w:pPr>
        <w:pStyle w:val="36"/>
        <w:spacing w:line="480" w:lineRule="auto"/>
        <w:ind w:left="2400" w:leftChars="1000"/>
        <w:rPr>
          <w:b/>
          <w:bCs/>
          <w:color w:val="auto"/>
          <w:sz w:val="32"/>
          <w:szCs w:val="32"/>
          <w:highlight w:val="none"/>
        </w:rPr>
      </w:pPr>
    </w:p>
    <w:p>
      <w:pPr>
        <w:pStyle w:val="36"/>
        <w:spacing w:line="480" w:lineRule="auto"/>
        <w:ind w:left="2400" w:leftChars="1000"/>
        <w:rPr>
          <w:b/>
          <w:bCs/>
          <w:color w:val="auto"/>
          <w:sz w:val="32"/>
          <w:szCs w:val="32"/>
          <w:highlight w:val="none"/>
        </w:rPr>
      </w:pPr>
    </w:p>
    <w:p>
      <w:pPr>
        <w:pStyle w:val="36"/>
        <w:spacing w:line="480" w:lineRule="auto"/>
        <w:ind w:left="2400" w:leftChars="1000"/>
        <w:rPr>
          <w:b/>
          <w:bCs/>
          <w:color w:val="auto"/>
          <w:sz w:val="32"/>
          <w:szCs w:val="32"/>
          <w:highlight w:val="none"/>
        </w:rPr>
      </w:pPr>
    </w:p>
    <w:p>
      <w:pPr>
        <w:pStyle w:val="36"/>
        <w:spacing w:line="480" w:lineRule="auto"/>
        <w:ind w:left="2400" w:leftChars="1000"/>
        <w:rPr>
          <w:b/>
          <w:bCs/>
          <w:color w:val="auto"/>
          <w:sz w:val="32"/>
          <w:szCs w:val="32"/>
          <w:highlight w:val="none"/>
        </w:rPr>
      </w:pPr>
    </w:p>
    <w:p>
      <w:pPr>
        <w:pStyle w:val="36"/>
        <w:spacing w:line="480" w:lineRule="auto"/>
        <w:ind w:left="2400" w:leftChars="1000"/>
        <w:rPr>
          <w:b/>
          <w:bCs/>
          <w:color w:val="auto"/>
          <w:sz w:val="32"/>
          <w:szCs w:val="32"/>
          <w:highlight w:val="none"/>
        </w:rPr>
      </w:pPr>
      <w:r>
        <w:rPr>
          <w:rFonts w:hint="eastAsia"/>
          <w:b/>
          <w:bCs/>
          <w:color w:val="auto"/>
          <w:sz w:val="32"/>
          <w:szCs w:val="32"/>
          <w:highlight w:val="none"/>
        </w:rPr>
        <w:t>项目名称：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p>
    <w:p>
      <w:pPr>
        <w:pStyle w:val="36"/>
        <w:spacing w:line="480" w:lineRule="auto"/>
        <w:ind w:left="2400" w:leftChars="1000"/>
        <w:rPr>
          <w:b/>
          <w:bCs/>
          <w:color w:val="auto"/>
          <w:sz w:val="32"/>
          <w:szCs w:val="32"/>
          <w:highlight w:val="none"/>
        </w:rPr>
      </w:pPr>
      <w:r>
        <w:rPr>
          <w:rFonts w:hint="eastAsia"/>
          <w:b/>
          <w:bCs/>
          <w:color w:val="auto"/>
          <w:sz w:val="32"/>
          <w:szCs w:val="32"/>
          <w:highlight w:val="none"/>
        </w:rPr>
        <w:t>项目编号：</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p>
    <w:p>
      <w:pPr>
        <w:pStyle w:val="36"/>
        <w:spacing w:line="480" w:lineRule="auto"/>
        <w:ind w:left="2400" w:leftChars="1000"/>
        <w:rPr>
          <w:b/>
          <w:bCs/>
          <w:color w:val="auto"/>
          <w:sz w:val="32"/>
          <w:szCs w:val="32"/>
          <w:highlight w:val="none"/>
        </w:rPr>
      </w:pPr>
      <w:r>
        <w:rPr>
          <w:rFonts w:hint="eastAsia"/>
          <w:b/>
          <w:bCs/>
          <w:color w:val="auto"/>
          <w:sz w:val="32"/>
          <w:szCs w:val="32"/>
          <w:highlight w:val="none"/>
        </w:rPr>
        <w:t>供应商名称：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p>
    <w:p>
      <w:pPr>
        <w:pStyle w:val="36"/>
        <w:spacing w:line="480" w:lineRule="auto"/>
        <w:ind w:left="2400" w:leftChars="1000"/>
        <w:rPr>
          <w:b/>
          <w:bCs/>
          <w:color w:val="auto"/>
          <w:sz w:val="32"/>
          <w:szCs w:val="32"/>
          <w:highlight w:val="none"/>
        </w:rPr>
      </w:pPr>
      <w:r>
        <w:rPr>
          <w:rFonts w:hint="eastAsia"/>
          <w:b/>
          <w:bCs/>
          <w:color w:val="auto"/>
          <w:sz w:val="32"/>
          <w:szCs w:val="32"/>
          <w:highlight w:val="none"/>
        </w:rPr>
        <w:t>谈判日期：</w:t>
      </w:r>
      <w:r>
        <w:rPr>
          <w:rFonts w:hint="eastAsia"/>
          <w:b/>
          <w:bCs/>
          <w:color w:val="auto"/>
          <w:sz w:val="32"/>
          <w:szCs w:val="32"/>
          <w:highlight w:val="none"/>
          <w:u w:val="single"/>
        </w:rPr>
        <w:t xml:space="preserve">      </w:t>
      </w:r>
      <w:r>
        <w:rPr>
          <w:rFonts w:hint="eastAsia"/>
          <w:b/>
          <w:bCs/>
          <w:color w:val="auto"/>
          <w:sz w:val="32"/>
          <w:szCs w:val="32"/>
          <w:highlight w:val="none"/>
        </w:rPr>
        <w:t>年</w:t>
      </w:r>
      <w:r>
        <w:rPr>
          <w:rFonts w:hint="eastAsia"/>
          <w:b/>
          <w:bCs/>
          <w:color w:val="auto"/>
          <w:sz w:val="32"/>
          <w:szCs w:val="32"/>
          <w:highlight w:val="none"/>
          <w:u w:val="single"/>
        </w:rPr>
        <w:t xml:space="preserve">    </w:t>
      </w:r>
      <w:r>
        <w:rPr>
          <w:rFonts w:hint="eastAsia"/>
          <w:b/>
          <w:bCs/>
          <w:color w:val="auto"/>
          <w:sz w:val="32"/>
          <w:szCs w:val="32"/>
          <w:highlight w:val="none"/>
        </w:rPr>
        <w:t>月</w:t>
      </w:r>
      <w:r>
        <w:rPr>
          <w:rFonts w:hint="eastAsia"/>
          <w:b/>
          <w:bCs/>
          <w:color w:val="auto"/>
          <w:sz w:val="32"/>
          <w:szCs w:val="32"/>
          <w:highlight w:val="none"/>
          <w:u w:val="single"/>
        </w:rPr>
        <w:t xml:space="preserve">    </w:t>
      </w:r>
      <w:r>
        <w:rPr>
          <w:rFonts w:hint="eastAsia"/>
          <w:b/>
          <w:bCs/>
          <w:color w:val="auto"/>
          <w:sz w:val="32"/>
          <w:szCs w:val="32"/>
          <w:highlight w:val="none"/>
        </w:rPr>
        <w:t>日</w:t>
      </w:r>
    </w:p>
    <w:p>
      <w:pPr>
        <w:pStyle w:val="45"/>
        <w:rPr>
          <w:color w:val="auto"/>
          <w:highlight w:val="none"/>
        </w:rPr>
      </w:pPr>
      <w:bookmarkStart w:id="202" w:name="_Toc11556"/>
      <w:bookmarkStart w:id="203" w:name="_Toc5306"/>
      <w:bookmarkStart w:id="204" w:name="_Toc31011"/>
      <w:bookmarkStart w:id="205" w:name="_Toc5565"/>
      <w:r>
        <w:rPr>
          <w:rFonts w:hint="eastAsia"/>
          <w:color w:val="auto"/>
          <w:highlight w:val="none"/>
        </w:rPr>
        <w:br w:type="page"/>
      </w:r>
    </w:p>
    <w:bookmarkEnd w:id="202"/>
    <w:bookmarkEnd w:id="203"/>
    <w:bookmarkEnd w:id="204"/>
    <w:bookmarkEnd w:id="205"/>
    <w:p>
      <w:pPr>
        <w:pStyle w:val="45"/>
        <w:rPr>
          <w:color w:val="auto"/>
          <w:highlight w:val="none"/>
        </w:rPr>
      </w:pPr>
      <w:bookmarkStart w:id="206" w:name="_Toc15611"/>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bookmarkStart w:id="207" w:name="_Toc24630"/>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37"/>
        <w:numPr>
          <w:ilvl w:val="1"/>
          <w:numId w:val="0"/>
        </w:numPr>
        <w:spacing w:before="480" w:beforeLines="200"/>
        <w:jc w:val="center"/>
        <w:rPr>
          <w:color w:val="auto"/>
          <w:sz w:val="32"/>
          <w:szCs w:val="32"/>
          <w:highlight w:val="none"/>
        </w:rPr>
      </w:pPr>
      <w:bookmarkStart w:id="208" w:name="_Toc13070"/>
      <w:r>
        <w:rPr>
          <w:rFonts w:hint="eastAsia"/>
          <w:color w:val="auto"/>
          <w:sz w:val="32"/>
          <w:szCs w:val="32"/>
          <w:highlight w:val="none"/>
        </w:rPr>
        <w:t>第一部分 资格、资质性及其他类似效力响应文件(格式)</w:t>
      </w:r>
      <w:bookmarkEnd w:id="206"/>
      <w:bookmarkEnd w:id="207"/>
      <w:bookmarkEnd w:id="208"/>
      <w:bookmarkStart w:id="209" w:name="_Toc16168"/>
      <w:bookmarkStart w:id="210" w:name="_Toc23537"/>
    </w:p>
    <w:p>
      <w:pPr>
        <w:pStyle w:val="45"/>
        <w:rPr>
          <w:color w:val="auto"/>
          <w:highlight w:val="none"/>
        </w:rPr>
      </w:pPr>
      <w:r>
        <w:rPr>
          <w:rFonts w:hint="eastAsia"/>
          <w:color w:val="auto"/>
          <w:highlight w:val="none"/>
        </w:rPr>
        <w:br w:type="page"/>
      </w:r>
      <w:bookmarkEnd w:id="209"/>
      <w:bookmarkEnd w:id="210"/>
      <w:bookmarkStart w:id="211" w:name="_Toc26837"/>
      <w:bookmarkStart w:id="212" w:name="_Toc4996"/>
    </w:p>
    <w:p>
      <w:pPr>
        <w:pStyle w:val="46"/>
        <w:numPr>
          <w:ilvl w:val="0"/>
          <w:numId w:val="28"/>
        </w:numPr>
        <w:spacing w:before="120" w:after="120"/>
        <w:ind w:firstLine="0"/>
        <w:rPr>
          <w:color w:val="auto"/>
          <w:highlight w:val="none"/>
        </w:rPr>
      </w:pPr>
      <w:bookmarkStart w:id="213" w:name="_Toc8116"/>
      <w:r>
        <w:rPr>
          <w:rFonts w:hint="eastAsia"/>
          <w:color w:val="auto"/>
          <w:highlight w:val="none"/>
        </w:rPr>
        <w:t>法定代表人/单位负责人授权书</w:t>
      </w:r>
      <w:bookmarkEnd w:id="211"/>
      <w:bookmarkEnd w:id="212"/>
      <w:bookmarkEnd w:id="213"/>
    </w:p>
    <w:p>
      <w:pPr>
        <w:pStyle w:val="45"/>
        <w:rPr>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(采购代理机构名称)：</w:t>
      </w:r>
    </w:p>
    <w:p>
      <w:pPr>
        <w:pStyle w:val="48"/>
        <w:rPr>
          <w:color w:val="auto"/>
          <w:highlight w:val="none"/>
        </w:rPr>
      </w:pPr>
      <w:r>
        <w:rPr>
          <w:rFonts w:hint="eastAsia"/>
          <w:color w:val="auto"/>
          <w:highlight w:val="none"/>
        </w:rPr>
        <w:t>本授权声明：</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(供应商名称)</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(法定代表人/单位负责人姓名、职务)授权</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(被授权人姓名、职务、身份证号码)为我方参加“</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(项目名称)(项目编号：</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)”采购活动的合法代表，以我方名义全权处理参与该项目采购活动、合同签订以及合同履约中的一切事宜，我单位均予承认，所产生的法律后果均由我单位承担。</w:t>
      </w:r>
    </w:p>
    <w:p>
      <w:pPr>
        <w:pStyle w:val="48"/>
        <w:rPr>
          <w:color w:val="auto"/>
          <w:highlight w:val="none"/>
        </w:rPr>
      </w:pPr>
      <w:r>
        <w:rPr>
          <w:rFonts w:hint="eastAsia"/>
          <w:color w:val="auto"/>
          <w:highlight w:val="none"/>
        </w:rPr>
        <w:t>特此声明。</w:t>
      </w: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8"/>
        <w:rPr>
          <w:color w:val="auto"/>
          <w:highlight w:val="none"/>
        </w:rPr>
      </w:pPr>
      <w:r>
        <w:rPr>
          <w:rFonts w:hint="eastAsia"/>
          <w:color w:val="auto"/>
          <w:highlight w:val="none"/>
        </w:rPr>
        <w:t>法定代表人/单位负责人：</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(签字或盖章)</w:t>
      </w:r>
    </w:p>
    <w:p>
      <w:pPr>
        <w:pStyle w:val="48"/>
        <w:rPr>
          <w:color w:val="auto"/>
          <w:highlight w:val="none"/>
        </w:rPr>
      </w:pPr>
      <w:r>
        <w:rPr>
          <w:rFonts w:hint="eastAsia"/>
          <w:color w:val="auto"/>
          <w:highlight w:val="none"/>
        </w:rPr>
        <w:t>授权代表：</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(签字或盖章)</w:t>
      </w:r>
    </w:p>
    <w:p>
      <w:pPr>
        <w:pStyle w:val="48"/>
        <w:rPr>
          <w:color w:val="auto"/>
          <w:highlight w:val="none"/>
        </w:rPr>
      </w:pPr>
      <w:r>
        <w:rPr>
          <w:rFonts w:hint="eastAsia"/>
          <w:color w:val="auto"/>
          <w:highlight w:val="none"/>
        </w:rPr>
        <w:t>供应商名称：</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(盖章)</w:t>
      </w:r>
    </w:p>
    <w:p>
      <w:pPr>
        <w:pStyle w:val="48"/>
        <w:rPr>
          <w:color w:val="auto"/>
          <w:highlight w:val="none"/>
        </w:rPr>
      </w:pPr>
      <w:r>
        <w:rPr>
          <w:rFonts w:hint="eastAsia"/>
          <w:color w:val="auto"/>
          <w:highlight w:val="none"/>
        </w:rPr>
        <w:t>谈判日期：</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 xml:space="preserve">     </w:t>
      </w:r>
    </w:p>
    <w:p>
      <w:pPr>
        <w:pStyle w:val="45"/>
        <w:rPr>
          <w:color w:val="auto"/>
          <w:highlight w:val="none"/>
        </w:rPr>
      </w:pPr>
    </w:p>
    <w:p>
      <w:pPr>
        <w:pStyle w:val="49"/>
        <w:ind w:firstLine="482"/>
        <w:rPr>
          <w:color w:val="auto"/>
          <w:highlight w:val="none"/>
        </w:rPr>
      </w:pPr>
      <w:r>
        <w:rPr>
          <w:rFonts w:hint="eastAsia"/>
          <w:color w:val="auto"/>
          <w:highlight w:val="none"/>
        </w:rPr>
        <w:t>注：1.法定代表人/单位负责人不亲自参加谈判，而授权代表参加谈判的适用。</w:t>
      </w:r>
    </w:p>
    <w:p>
      <w:pPr>
        <w:pStyle w:val="49"/>
        <w:ind w:firstLine="482"/>
        <w:rPr>
          <w:color w:val="auto"/>
          <w:highlight w:val="none"/>
        </w:rPr>
      </w:pPr>
      <w:r>
        <w:rPr>
          <w:rFonts w:hint="eastAsia"/>
          <w:color w:val="auto"/>
          <w:highlight w:val="none"/>
        </w:rPr>
        <w:t>2.</w:t>
      </w:r>
      <w:r>
        <w:rPr>
          <w:color w:val="auto"/>
          <w:highlight w:val="none"/>
        </w:rPr>
        <w:t>供应商为法人单位时提供“法定代表人授权书”，供应商为自然人时提供“自然人身份证明材料”。</w:t>
      </w:r>
    </w:p>
    <w:p>
      <w:pPr>
        <w:pStyle w:val="49"/>
        <w:ind w:firstLine="482"/>
        <w:rPr>
          <w:color w:val="auto"/>
          <w:highlight w:val="none"/>
        </w:rPr>
      </w:pPr>
      <w:r>
        <w:rPr>
          <w:rFonts w:hint="eastAsia"/>
          <w:color w:val="auto"/>
          <w:highlight w:val="none"/>
        </w:rPr>
        <w:t>3.</w:t>
      </w:r>
      <w:r>
        <w:rPr>
          <w:color w:val="auto"/>
          <w:highlight w:val="none"/>
        </w:rPr>
        <w:t>应附法定代表人/单位负责人身份证明材料复印件和授权代表身份证明材料复印件。</w:t>
      </w:r>
    </w:p>
    <w:p>
      <w:pPr>
        <w:pStyle w:val="49"/>
        <w:ind w:firstLine="482"/>
        <w:rPr>
          <w:color w:val="auto"/>
          <w:highlight w:val="none"/>
        </w:rPr>
      </w:pPr>
      <w:r>
        <w:rPr>
          <w:rFonts w:hint="eastAsia"/>
          <w:color w:val="auto"/>
          <w:highlight w:val="none"/>
        </w:rPr>
        <w:t>4.</w:t>
      </w:r>
      <w:r>
        <w:rPr>
          <w:color w:val="auto"/>
          <w:highlight w:val="none"/>
        </w:rPr>
        <w:t>身份证明材料包括居民身份证或户口本或军官证或护照等。</w:t>
      </w:r>
    </w:p>
    <w:p>
      <w:pPr>
        <w:pStyle w:val="49"/>
        <w:ind w:firstLine="482"/>
        <w:rPr>
          <w:color w:val="auto"/>
          <w:highlight w:val="none"/>
        </w:rPr>
      </w:pPr>
      <w:r>
        <w:rPr>
          <w:rFonts w:hint="eastAsia"/>
          <w:color w:val="auto"/>
          <w:highlight w:val="none"/>
        </w:rPr>
        <w:t>5.</w:t>
      </w:r>
      <w:r>
        <w:rPr>
          <w:color w:val="auto"/>
          <w:highlight w:val="none"/>
        </w:rPr>
        <w:t>身份证明材料应同时提供其在有效期的材料，如居民身份证正、反面复印件</w:t>
      </w:r>
      <w:r>
        <w:rPr>
          <w:rFonts w:hint="eastAsia"/>
          <w:color w:val="auto"/>
          <w:highlight w:val="none"/>
        </w:rPr>
        <w:t>。</w:t>
      </w:r>
    </w:p>
    <w:p>
      <w:pPr>
        <w:pStyle w:val="45"/>
        <w:rPr>
          <w:color w:val="auto"/>
          <w:highlight w:val="none"/>
        </w:rPr>
      </w:pPr>
      <w:r>
        <w:rPr>
          <w:rFonts w:hint="eastAsia"/>
          <w:color w:val="auto"/>
          <w:highlight w:val="none"/>
        </w:rPr>
        <w:br w:type="page"/>
      </w:r>
    </w:p>
    <w:p>
      <w:pPr>
        <w:pStyle w:val="46"/>
        <w:numPr>
          <w:ilvl w:val="0"/>
          <w:numId w:val="29"/>
        </w:numPr>
        <w:spacing w:before="120" w:after="120"/>
        <w:ind w:firstLine="0"/>
        <w:rPr>
          <w:color w:val="auto"/>
          <w:highlight w:val="none"/>
        </w:rPr>
      </w:pPr>
      <w:bookmarkStart w:id="214" w:name="_Toc22140"/>
      <w:bookmarkStart w:id="215" w:name="_Toc9688"/>
      <w:bookmarkStart w:id="216" w:name="_Toc24721"/>
      <w:bookmarkStart w:id="217" w:name="_Toc9243"/>
      <w:bookmarkStart w:id="218" w:name="_Toc5501"/>
      <w:r>
        <w:rPr>
          <w:rFonts w:hint="eastAsia"/>
          <w:color w:val="auto"/>
          <w:highlight w:val="none"/>
        </w:rPr>
        <w:t>法定代表人/单位负责人身份证明书</w:t>
      </w:r>
      <w:bookmarkEnd w:id="214"/>
      <w:bookmarkEnd w:id="215"/>
      <w:bookmarkEnd w:id="216"/>
      <w:bookmarkEnd w:id="217"/>
      <w:bookmarkEnd w:id="218"/>
    </w:p>
    <w:p>
      <w:pPr>
        <w:pStyle w:val="48"/>
        <w:rPr>
          <w:color w:val="auto"/>
          <w:highlight w:val="none"/>
        </w:rPr>
      </w:pPr>
      <w:r>
        <w:rPr>
          <w:rFonts w:hint="eastAsia"/>
          <w:color w:val="auto"/>
          <w:highlight w:val="none"/>
        </w:rPr>
        <w:t>单位名称：</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 xml:space="preserve">                            </w:t>
      </w:r>
    </w:p>
    <w:p>
      <w:pPr>
        <w:pStyle w:val="48"/>
        <w:rPr>
          <w:color w:val="auto"/>
          <w:highlight w:val="none"/>
        </w:rPr>
      </w:pPr>
      <w:r>
        <w:rPr>
          <w:rFonts w:hint="eastAsia"/>
          <w:color w:val="auto"/>
          <w:highlight w:val="none"/>
        </w:rPr>
        <w:t>地    址：</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 xml:space="preserve">                            </w:t>
      </w:r>
    </w:p>
    <w:p>
      <w:pPr>
        <w:pStyle w:val="48"/>
        <w:rPr>
          <w:color w:val="auto"/>
          <w:highlight w:val="none"/>
        </w:rPr>
      </w:pPr>
      <w:r>
        <w:rPr>
          <w:rFonts w:hint="eastAsia"/>
          <w:color w:val="auto"/>
          <w:highlight w:val="none"/>
        </w:rPr>
        <w:t>姓    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性别：</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职务：</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 xml:space="preserve">            </w:t>
      </w:r>
    </w:p>
    <w:p>
      <w:pPr>
        <w:pStyle w:val="48"/>
        <w:rPr>
          <w:color w:val="auto"/>
          <w:highlight w:val="none"/>
        </w:rPr>
      </w:pPr>
      <w:r>
        <w:rPr>
          <w:rFonts w:hint="eastAsia"/>
          <w:color w:val="auto"/>
          <w:highlight w:val="none"/>
        </w:rPr>
        <w:t>本人系</w:t>
      </w:r>
      <w:r>
        <w:rPr>
          <w:rFonts w:hint="eastAsia"/>
          <w:color w:val="auto"/>
          <w:highlight w:val="none"/>
          <w:u w:val="single"/>
        </w:rPr>
        <w:t xml:space="preserve">                           </w:t>
      </w:r>
      <w:r>
        <w:rPr>
          <w:rFonts w:hint="eastAsia"/>
          <w:color w:val="auto"/>
          <w:highlight w:val="none"/>
        </w:rPr>
        <w:t>(供应商名称)的法定代表人/单位负责人。就参加你单位组织的“</w:t>
      </w:r>
      <w:r>
        <w:rPr>
          <w:rFonts w:hint="eastAsia"/>
          <w:color w:val="auto"/>
          <w:highlight w:val="none"/>
          <w:u w:val="single"/>
        </w:rPr>
        <w:t xml:space="preserve">             </w:t>
      </w:r>
      <w:r>
        <w:rPr>
          <w:rFonts w:hint="eastAsia"/>
          <w:color w:val="auto"/>
          <w:highlight w:val="none"/>
        </w:rPr>
        <w:t>(项目名称)(项目编号：</w:t>
      </w:r>
      <w:r>
        <w:rPr>
          <w:rFonts w:hint="eastAsia"/>
          <w:color w:val="auto"/>
          <w:highlight w:val="none"/>
          <w:u w:val="single"/>
        </w:rPr>
        <w:t xml:space="preserve">         </w:t>
      </w:r>
      <w:r>
        <w:rPr>
          <w:rFonts w:hint="eastAsia"/>
          <w:color w:val="auto"/>
          <w:highlight w:val="none"/>
        </w:rPr>
        <w:t>)”的采购活动、合同签订以及合同履约等一切事宜，我单位均予承认，所产生的法律后果均由我单位承担。</w:t>
      </w:r>
    </w:p>
    <w:p>
      <w:pPr>
        <w:pStyle w:val="48"/>
        <w:rPr>
          <w:color w:val="auto"/>
          <w:highlight w:val="none"/>
        </w:rPr>
      </w:pPr>
      <w:r>
        <w:rPr>
          <w:rFonts w:hint="eastAsia"/>
          <w:color w:val="auto"/>
          <w:highlight w:val="none"/>
        </w:rPr>
        <w:t>特此证明。</w:t>
      </w: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8"/>
        <w:rPr>
          <w:color w:val="auto"/>
          <w:highlight w:val="none"/>
        </w:rPr>
      </w:pPr>
      <w:r>
        <w:rPr>
          <w:rFonts w:hint="eastAsia"/>
          <w:color w:val="auto"/>
          <w:highlight w:val="none"/>
        </w:rPr>
        <w:t>供应商名称：</w:t>
      </w:r>
      <w:r>
        <w:rPr>
          <w:rFonts w:hint="eastAsia"/>
          <w:color w:val="auto"/>
          <w:highlight w:val="none"/>
          <w:u w:val="single"/>
        </w:rPr>
        <w:t xml:space="preserve">             </w:t>
      </w:r>
      <w:r>
        <w:rPr>
          <w:rFonts w:hint="eastAsia"/>
          <w:color w:val="auto"/>
          <w:highlight w:val="none"/>
        </w:rPr>
        <w:t xml:space="preserve">(盖章) </w:t>
      </w:r>
    </w:p>
    <w:p>
      <w:pPr>
        <w:pStyle w:val="48"/>
        <w:rPr>
          <w:color w:val="auto"/>
          <w:highlight w:val="none"/>
        </w:rPr>
      </w:pPr>
      <w:r>
        <w:rPr>
          <w:rFonts w:hint="eastAsia"/>
          <w:color w:val="auto"/>
          <w:highlight w:val="none"/>
        </w:rPr>
        <w:t>法定代表人/单位负责人：</w:t>
      </w:r>
      <w:r>
        <w:rPr>
          <w:rFonts w:hint="eastAsia"/>
          <w:color w:val="auto"/>
          <w:highlight w:val="none"/>
          <w:u w:val="single"/>
        </w:rPr>
        <w:t xml:space="preserve">               </w:t>
      </w:r>
      <w:r>
        <w:rPr>
          <w:rFonts w:hint="eastAsia"/>
          <w:color w:val="auto"/>
          <w:highlight w:val="none"/>
        </w:rPr>
        <w:t>(签字或盖章)</w:t>
      </w:r>
    </w:p>
    <w:p>
      <w:pPr>
        <w:pStyle w:val="48"/>
        <w:rPr>
          <w:color w:val="auto"/>
          <w:highlight w:val="none"/>
          <w:u w:val="single"/>
        </w:rPr>
      </w:pPr>
      <w:r>
        <w:rPr>
          <w:rFonts w:hint="eastAsia"/>
          <w:color w:val="auto"/>
          <w:highlight w:val="none"/>
        </w:rPr>
        <w:t>谈判日期：</w:t>
      </w:r>
      <w:r>
        <w:rPr>
          <w:rFonts w:hint="eastAsia"/>
          <w:color w:val="auto"/>
          <w:highlight w:val="none"/>
          <w:u w:val="single"/>
        </w:rPr>
        <w:t xml:space="preserve">             </w:t>
      </w:r>
    </w:p>
    <w:p>
      <w:pPr>
        <w:pStyle w:val="48"/>
        <w:rPr>
          <w:color w:val="auto"/>
          <w:highlight w:val="none"/>
        </w:rPr>
      </w:pPr>
    </w:p>
    <w:p>
      <w:pPr>
        <w:pStyle w:val="49"/>
        <w:ind w:firstLine="482"/>
        <w:rPr>
          <w:color w:val="auto"/>
          <w:highlight w:val="none"/>
        </w:rPr>
      </w:pPr>
      <w:r>
        <w:rPr>
          <w:rFonts w:hint="eastAsia"/>
          <w:color w:val="auto"/>
          <w:highlight w:val="none"/>
        </w:rPr>
        <w:t>注：1.法定代表人</w:t>
      </w:r>
      <w:r>
        <w:rPr>
          <w:color w:val="auto"/>
          <w:highlight w:val="none"/>
        </w:rPr>
        <w:t>/单位负责人</w:t>
      </w:r>
      <w:r>
        <w:rPr>
          <w:rFonts w:hint="eastAsia"/>
          <w:color w:val="auto"/>
          <w:highlight w:val="none"/>
        </w:rPr>
        <w:t>亲自参加谈判时适用本证明书。</w:t>
      </w:r>
    </w:p>
    <w:p>
      <w:pPr>
        <w:pStyle w:val="49"/>
        <w:ind w:firstLine="482"/>
        <w:rPr>
          <w:color w:val="auto"/>
          <w:highlight w:val="none"/>
        </w:rPr>
      </w:pPr>
      <w:r>
        <w:rPr>
          <w:rFonts w:hint="eastAsia"/>
          <w:color w:val="auto"/>
          <w:highlight w:val="none"/>
        </w:rPr>
        <w:t>2.</w:t>
      </w:r>
      <w:r>
        <w:rPr>
          <w:color w:val="auto"/>
          <w:highlight w:val="none"/>
        </w:rPr>
        <w:t>应附法定代表人/单位负责人身份证明材料复印件。</w:t>
      </w:r>
    </w:p>
    <w:p>
      <w:pPr>
        <w:pStyle w:val="49"/>
        <w:ind w:firstLine="482"/>
        <w:rPr>
          <w:color w:val="auto"/>
          <w:highlight w:val="none"/>
        </w:rPr>
      </w:pPr>
      <w:r>
        <w:rPr>
          <w:rFonts w:hint="eastAsia"/>
          <w:color w:val="auto"/>
          <w:highlight w:val="none"/>
        </w:rPr>
        <w:t>3.</w:t>
      </w:r>
      <w:r>
        <w:rPr>
          <w:color w:val="auto"/>
          <w:highlight w:val="none"/>
        </w:rPr>
        <w:t>身份证明材料包括居民身份证或户口本或军官证或护照等。</w:t>
      </w:r>
    </w:p>
    <w:p>
      <w:pPr>
        <w:pStyle w:val="49"/>
        <w:ind w:firstLine="482"/>
        <w:rPr>
          <w:color w:val="auto"/>
          <w:highlight w:val="none"/>
        </w:rPr>
      </w:pPr>
      <w:r>
        <w:rPr>
          <w:rFonts w:hint="eastAsia"/>
          <w:color w:val="auto"/>
          <w:highlight w:val="none"/>
        </w:rPr>
        <w:t>4.</w:t>
      </w:r>
      <w:r>
        <w:rPr>
          <w:color w:val="auto"/>
          <w:highlight w:val="none"/>
        </w:rPr>
        <w:t>身份证明材料应同时提供其在有效期的材料，如居民身份证正、反面复印件</w:t>
      </w:r>
      <w:r>
        <w:rPr>
          <w:rFonts w:hint="eastAsia"/>
          <w:color w:val="auto"/>
          <w:highlight w:val="none"/>
        </w:rPr>
        <w:t>。</w:t>
      </w:r>
    </w:p>
    <w:p>
      <w:pPr>
        <w:pStyle w:val="46"/>
        <w:numPr>
          <w:ilvl w:val="0"/>
          <w:numId w:val="29"/>
        </w:numPr>
        <w:spacing w:before="120" w:after="120"/>
        <w:ind w:firstLine="0"/>
        <w:rPr>
          <w:color w:val="auto"/>
          <w:highlight w:val="none"/>
        </w:rPr>
      </w:pPr>
      <w:bookmarkStart w:id="219" w:name="_Toc22152"/>
      <w:bookmarkStart w:id="220" w:name="_Toc18112"/>
      <w:bookmarkStart w:id="221" w:name="_Toc28837"/>
      <w:bookmarkStart w:id="222" w:name="_Toc28397"/>
      <w:bookmarkStart w:id="223" w:name="_Toc3822"/>
      <w:r>
        <w:rPr>
          <w:rFonts w:hint="eastAsia"/>
          <w:color w:val="auto"/>
          <w:highlight w:val="none"/>
        </w:rPr>
        <w:t>供应商具有独立承担民事责任的能力的证明材料</w:t>
      </w:r>
      <w:bookmarkEnd w:id="219"/>
      <w:bookmarkEnd w:id="220"/>
      <w:bookmarkEnd w:id="221"/>
    </w:p>
    <w:bookmarkEnd w:id="222"/>
    <w:p>
      <w:pPr>
        <w:pStyle w:val="48"/>
        <w:rPr>
          <w:color w:val="auto"/>
          <w:highlight w:val="none"/>
        </w:rPr>
      </w:pPr>
      <w:r>
        <w:rPr>
          <w:rFonts w:hint="eastAsia"/>
          <w:color w:val="auto"/>
          <w:highlight w:val="none"/>
        </w:rPr>
        <w:t>①供应商若为</w:t>
      </w:r>
      <w:r>
        <w:rPr>
          <w:rFonts w:hint="eastAsia"/>
          <w:b/>
          <w:bCs/>
          <w:color w:val="auto"/>
          <w:highlight w:val="none"/>
        </w:rPr>
        <w:t>企业法人</w:t>
      </w:r>
      <w:r>
        <w:rPr>
          <w:rFonts w:hint="eastAsia"/>
          <w:color w:val="auto"/>
          <w:highlight w:val="none"/>
        </w:rPr>
        <w:t>：提供“营业执照”副本复印件；未换证的提供“营业执照副本、税务登记证副本、组织机构代码证副本”复印件；②若为</w:t>
      </w:r>
      <w:r>
        <w:rPr>
          <w:rFonts w:hint="eastAsia"/>
          <w:b/>
          <w:bCs/>
          <w:color w:val="auto"/>
          <w:highlight w:val="none"/>
        </w:rPr>
        <w:t>自然人</w:t>
      </w:r>
      <w:r>
        <w:rPr>
          <w:rFonts w:hint="eastAsia"/>
          <w:color w:val="auto"/>
          <w:highlight w:val="none"/>
        </w:rPr>
        <w:t>：提供“身份证明材料”。</w:t>
      </w:r>
    </w:p>
    <w:p>
      <w:pPr>
        <w:pStyle w:val="49"/>
        <w:ind w:firstLine="482"/>
        <w:rPr>
          <w:color w:val="auto"/>
          <w:highlight w:val="none"/>
        </w:rPr>
      </w:pPr>
      <w:r>
        <w:rPr>
          <w:rFonts w:hint="eastAsia"/>
          <w:color w:val="auto"/>
          <w:highlight w:val="none"/>
        </w:rPr>
        <w:t>注：1.以上证明材料应满足此条要求①发证机关有年检要求的，应按规定通过年检；②在有效期内；③复印件加盖供应商公章；</w:t>
      </w:r>
    </w:p>
    <w:p>
      <w:pPr>
        <w:pStyle w:val="49"/>
        <w:ind w:firstLine="482"/>
        <w:rPr>
          <w:color w:val="auto"/>
          <w:highlight w:val="none"/>
        </w:rPr>
      </w:pPr>
      <w:r>
        <w:rPr>
          <w:rFonts w:hint="eastAsia"/>
          <w:color w:val="auto"/>
          <w:highlight w:val="none"/>
        </w:rPr>
        <w:t>2.企业若已更换为三证合一的则提供营业执照副本复印件，自然人提供身份证明均具备此条同等效力；</w:t>
      </w:r>
    </w:p>
    <w:p>
      <w:pPr>
        <w:pStyle w:val="49"/>
        <w:ind w:firstLine="482"/>
        <w:rPr>
          <w:color w:val="auto"/>
          <w:highlight w:val="none"/>
        </w:rPr>
      </w:pPr>
      <w:r>
        <w:rPr>
          <w:rFonts w:hint="eastAsia"/>
          <w:color w:val="auto"/>
          <w:highlight w:val="none"/>
        </w:rPr>
        <w:t>3.</w:t>
      </w:r>
      <w:r>
        <w:rPr>
          <w:color w:val="auto"/>
          <w:highlight w:val="none"/>
        </w:rPr>
        <w:t>根据国务院办公厅关于加快推进“多证合一”改革的指导意见</w:t>
      </w:r>
      <w:r>
        <w:rPr>
          <w:rFonts w:hint="eastAsia"/>
          <w:color w:val="auto"/>
          <w:highlight w:val="none"/>
        </w:rPr>
        <w:t>(</w:t>
      </w:r>
      <w:r>
        <w:rPr>
          <w:color w:val="auto"/>
          <w:highlight w:val="none"/>
        </w:rPr>
        <w:t>国办发</w:t>
      </w:r>
      <w:r>
        <w:rPr>
          <w:rFonts w:hint="eastAsia"/>
          <w:color w:val="auto"/>
          <w:highlight w:val="none"/>
        </w:rPr>
        <w:t>〔</w:t>
      </w:r>
      <w:r>
        <w:rPr>
          <w:color w:val="auto"/>
          <w:highlight w:val="none"/>
        </w:rPr>
        <w:t>2017</w:t>
      </w:r>
      <w:r>
        <w:rPr>
          <w:rFonts w:hint="eastAsia"/>
          <w:color w:val="auto"/>
          <w:highlight w:val="none"/>
        </w:rPr>
        <w:t>〕</w:t>
      </w:r>
      <w:r>
        <w:rPr>
          <w:color w:val="auto"/>
          <w:highlight w:val="none"/>
        </w:rPr>
        <w:t>41号</w:t>
      </w:r>
      <w:r>
        <w:rPr>
          <w:rFonts w:hint="eastAsia"/>
          <w:color w:val="auto"/>
          <w:highlight w:val="none"/>
        </w:rPr>
        <w:t>)</w:t>
      </w:r>
      <w:r>
        <w:rPr>
          <w:color w:val="auto"/>
          <w:highlight w:val="none"/>
        </w:rPr>
        <w:t>等政策要求，若资格要求涉及的登记、备案等有关事项和各类证照已实行多证合一</w:t>
      </w:r>
      <w:r>
        <w:rPr>
          <w:rFonts w:hint="eastAsia"/>
          <w:color w:val="auto"/>
          <w:highlight w:val="none"/>
        </w:rPr>
        <w:t>的，提供多证合一证照副本复印件。</w:t>
      </w:r>
      <w:bookmarkEnd w:id="223"/>
    </w:p>
    <w:p>
      <w:pPr>
        <w:pStyle w:val="45"/>
        <w:rPr>
          <w:color w:val="auto"/>
          <w:highlight w:val="none"/>
        </w:rPr>
      </w:pPr>
    </w:p>
    <w:p>
      <w:pPr>
        <w:pStyle w:val="46"/>
        <w:numPr>
          <w:ilvl w:val="0"/>
          <w:numId w:val="29"/>
        </w:numPr>
        <w:spacing w:before="120" w:after="120"/>
        <w:ind w:firstLine="0"/>
        <w:rPr>
          <w:color w:val="auto"/>
          <w:highlight w:val="none"/>
        </w:rPr>
      </w:pPr>
      <w:bookmarkStart w:id="224" w:name="_Toc8781"/>
      <w:bookmarkStart w:id="225" w:name="_Toc28024"/>
      <w:bookmarkStart w:id="226" w:name="_Toc29937"/>
      <w:bookmarkStart w:id="227" w:name="_Toc14566"/>
      <w:r>
        <w:rPr>
          <w:rFonts w:hint="eastAsia"/>
          <w:color w:val="auto"/>
          <w:highlight w:val="none"/>
        </w:rPr>
        <w:t>供应商具有良好的商业信誉和健全的财务会计制度的证明材料</w:t>
      </w:r>
      <w:bookmarkEnd w:id="224"/>
      <w:bookmarkEnd w:id="225"/>
      <w:bookmarkEnd w:id="226"/>
    </w:p>
    <w:bookmarkEnd w:id="227"/>
    <w:p>
      <w:pPr>
        <w:pStyle w:val="48"/>
        <w:rPr>
          <w:color w:val="auto"/>
          <w:highlight w:val="none"/>
        </w:rPr>
      </w:pPr>
      <w:r>
        <w:rPr>
          <w:rFonts w:hint="eastAsia"/>
          <w:color w:val="auto"/>
          <w:highlight w:val="none"/>
        </w:rPr>
        <w:t>1.供应商具有良好商业信誉的证明材料</w:t>
      </w:r>
    </w:p>
    <w:p>
      <w:pPr>
        <w:pStyle w:val="48"/>
        <w:rPr>
          <w:color w:val="auto"/>
          <w:highlight w:val="none"/>
        </w:rPr>
      </w:pPr>
      <w:r>
        <w:rPr>
          <w:rFonts w:hint="eastAsia"/>
          <w:color w:val="auto"/>
          <w:highlight w:val="none"/>
        </w:rPr>
        <w:t>提供具有良好的商业信誉的承诺函。</w:t>
      </w:r>
    </w:p>
    <w:p>
      <w:pPr>
        <w:pStyle w:val="48"/>
        <w:ind w:firstLine="482"/>
        <w:rPr>
          <w:b/>
          <w:bCs/>
          <w:color w:val="auto"/>
          <w:highlight w:val="none"/>
        </w:rPr>
      </w:pPr>
      <w:r>
        <w:rPr>
          <w:rFonts w:hint="eastAsia"/>
          <w:b/>
          <w:bCs/>
          <w:color w:val="auto"/>
          <w:highlight w:val="none"/>
        </w:rPr>
        <w:t>注：格式自拟，或参照《承诺及声明函》的格式提供承诺函。</w:t>
      </w:r>
    </w:p>
    <w:p>
      <w:pPr>
        <w:pStyle w:val="48"/>
        <w:rPr>
          <w:color w:val="auto"/>
          <w:highlight w:val="none"/>
        </w:rPr>
      </w:pPr>
      <w:r>
        <w:rPr>
          <w:rFonts w:hint="eastAsia"/>
          <w:color w:val="auto"/>
          <w:highlight w:val="none"/>
        </w:rPr>
        <w:t>2.供应商具有健全的财务会计制度的证明材料</w:t>
      </w:r>
    </w:p>
    <w:p>
      <w:pPr>
        <w:pStyle w:val="48"/>
        <w:rPr>
          <w:color w:val="auto"/>
          <w:highlight w:val="none"/>
        </w:rPr>
      </w:pPr>
      <w:r>
        <w:rPr>
          <w:rFonts w:hint="eastAsia"/>
          <w:color w:val="auto"/>
          <w:highlight w:val="none"/>
        </w:rPr>
        <w:t>(1)供应商提供2022年度经过会计师事务所审计的财务报告复印件(经审计的有效财务报告应包括报告及报告中所附的完整内容，并由注册会计师签名、盖章以及会计师事务所盖章)；</w:t>
      </w:r>
    </w:p>
    <w:p>
      <w:pPr>
        <w:pStyle w:val="48"/>
        <w:rPr>
          <w:color w:val="auto"/>
          <w:highlight w:val="none"/>
        </w:rPr>
      </w:pPr>
      <w:r>
        <w:rPr>
          <w:rFonts w:hint="eastAsia"/>
          <w:color w:val="auto"/>
          <w:highlight w:val="none"/>
        </w:rPr>
        <w:t>(2)供应商提供2022年度供应商内部的财务报表复印件(至少包含资产负债表)；</w:t>
      </w:r>
    </w:p>
    <w:p>
      <w:pPr>
        <w:pStyle w:val="48"/>
        <w:rPr>
          <w:color w:val="auto"/>
          <w:highlight w:val="none"/>
        </w:rPr>
      </w:pPr>
      <w:r>
        <w:rPr>
          <w:rFonts w:hint="eastAsia"/>
          <w:color w:val="auto"/>
          <w:highlight w:val="none"/>
        </w:rPr>
        <w:t>(3)供应商提供响应文件递交截止日前一年内银行为其出具的资信证明复印件；</w:t>
      </w:r>
    </w:p>
    <w:p>
      <w:pPr>
        <w:pStyle w:val="48"/>
        <w:rPr>
          <w:color w:val="auto"/>
          <w:highlight w:val="none"/>
        </w:rPr>
      </w:pPr>
      <w:r>
        <w:rPr>
          <w:rFonts w:hint="eastAsia"/>
          <w:color w:val="auto"/>
          <w:highlight w:val="none"/>
        </w:rPr>
        <w:t>(4)供应商注册时间截至响应文件递交截止日不足一年的，可提供公司章程复印件；</w:t>
      </w:r>
    </w:p>
    <w:p>
      <w:pPr>
        <w:pStyle w:val="48"/>
        <w:rPr>
          <w:color w:val="auto"/>
          <w:highlight w:val="none"/>
        </w:rPr>
      </w:pPr>
      <w:r>
        <w:rPr>
          <w:rFonts w:hint="eastAsia"/>
          <w:color w:val="auto"/>
          <w:highlight w:val="none"/>
        </w:rPr>
        <w:t>(5)供应商提供具有健全的财务会计制度的承诺函。</w:t>
      </w:r>
    </w:p>
    <w:p>
      <w:pPr>
        <w:pStyle w:val="49"/>
        <w:ind w:firstLine="482"/>
        <w:rPr>
          <w:color w:val="auto"/>
          <w:highlight w:val="none"/>
        </w:rPr>
      </w:pPr>
      <w:bookmarkStart w:id="228" w:name="_Toc17744"/>
      <w:bookmarkStart w:id="229" w:name="_Toc19866"/>
      <w:bookmarkStart w:id="230" w:name="_Toc5443"/>
      <w:r>
        <w:rPr>
          <w:rFonts w:hint="eastAsia"/>
          <w:bCs/>
          <w:color w:val="auto"/>
          <w:highlight w:val="none"/>
        </w:rPr>
        <w:t>注：具有健全的财务会计制度的证明材料中第(1)-(5)项具有同等的效力，供应商可根据自身实际情况选择提供其中任意一项。</w:t>
      </w:r>
    </w:p>
    <w:p>
      <w:pPr>
        <w:pStyle w:val="46"/>
        <w:numPr>
          <w:ilvl w:val="0"/>
          <w:numId w:val="29"/>
        </w:numPr>
        <w:spacing w:before="120" w:after="120"/>
        <w:ind w:firstLine="0"/>
        <w:rPr>
          <w:color w:val="auto"/>
          <w:highlight w:val="none"/>
        </w:rPr>
      </w:pPr>
      <w:bookmarkStart w:id="231" w:name="_Toc3081"/>
      <w:r>
        <w:rPr>
          <w:rFonts w:hint="eastAsia"/>
          <w:color w:val="auto"/>
          <w:highlight w:val="none"/>
        </w:rPr>
        <w:t>供应商有依法缴纳税收和社会保障资金的良好记录的证明材料</w:t>
      </w:r>
      <w:bookmarkEnd w:id="228"/>
      <w:bookmarkEnd w:id="229"/>
      <w:bookmarkEnd w:id="231"/>
    </w:p>
    <w:bookmarkEnd w:id="230"/>
    <w:p>
      <w:pPr>
        <w:pStyle w:val="48"/>
        <w:rPr>
          <w:color w:val="auto"/>
          <w:highlight w:val="none"/>
        </w:rPr>
      </w:pPr>
      <w:r>
        <w:rPr>
          <w:rFonts w:hint="eastAsia"/>
          <w:color w:val="auto"/>
          <w:highlight w:val="none"/>
        </w:rPr>
        <w:t>提供有</w:t>
      </w:r>
      <w:r>
        <w:rPr>
          <w:rFonts w:hint="eastAsia"/>
          <w:color w:val="auto"/>
          <w:highlight w:val="none"/>
          <w:lang w:val="zh-CN"/>
        </w:rPr>
        <w:t>依法缴纳税收和社会保障资金的良好记录</w:t>
      </w:r>
      <w:r>
        <w:rPr>
          <w:rFonts w:hint="eastAsia"/>
          <w:color w:val="auto"/>
          <w:highlight w:val="none"/>
        </w:rPr>
        <w:t>的承诺函。</w:t>
      </w:r>
    </w:p>
    <w:p>
      <w:pPr>
        <w:pStyle w:val="49"/>
        <w:ind w:firstLine="482"/>
        <w:rPr>
          <w:color w:val="auto"/>
          <w:highlight w:val="none"/>
        </w:rPr>
      </w:pPr>
      <w:r>
        <w:rPr>
          <w:rFonts w:hint="eastAsia"/>
          <w:color w:val="auto"/>
          <w:highlight w:val="none"/>
        </w:rPr>
        <w:t>注：格式自拟，或参照《承诺及声明函》的格式提供承诺函。</w:t>
      </w:r>
    </w:p>
    <w:p>
      <w:pPr>
        <w:pStyle w:val="45"/>
        <w:rPr>
          <w:color w:val="auto"/>
          <w:highlight w:val="none"/>
        </w:rPr>
      </w:pPr>
      <w:r>
        <w:rPr>
          <w:rFonts w:hint="eastAsia"/>
          <w:color w:val="auto"/>
          <w:highlight w:val="none"/>
        </w:rPr>
        <w:br w:type="page"/>
      </w:r>
    </w:p>
    <w:p>
      <w:pPr>
        <w:pStyle w:val="46"/>
        <w:numPr>
          <w:ilvl w:val="0"/>
          <w:numId w:val="29"/>
        </w:numPr>
        <w:spacing w:before="120" w:after="120"/>
        <w:ind w:firstLine="0"/>
        <w:rPr>
          <w:color w:val="auto"/>
          <w:highlight w:val="none"/>
        </w:rPr>
      </w:pPr>
      <w:bookmarkStart w:id="232" w:name="_Toc15870"/>
      <w:bookmarkStart w:id="233" w:name="_Toc16336"/>
      <w:bookmarkStart w:id="234" w:name="_Toc12464"/>
      <w:r>
        <w:rPr>
          <w:rFonts w:hint="eastAsia"/>
          <w:color w:val="auto"/>
          <w:highlight w:val="none"/>
        </w:rPr>
        <w:t>供应商具有履行合同所必需的设备和专业技术能力证明材料</w:t>
      </w:r>
      <w:bookmarkEnd w:id="232"/>
      <w:bookmarkEnd w:id="233"/>
      <w:bookmarkEnd w:id="234"/>
    </w:p>
    <w:p>
      <w:pPr>
        <w:pStyle w:val="48"/>
        <w:rPr>
          <w:color w:val="auto"/>
          <w:highlight w:val="none"/>
        </w:rPr>
      </w:pPr>
      <w:r>
        <w:rPr>
          <w:rFonts w:hint="eastAsia"/>
          <w:color w:val="auto"/>
          <w:highlight w:val="none"/>
        </w:rPr>
        <w:t>提供具有履行合同所必需的设备和专业技术能力的承诺函。</w:t>
      </w:r>
    </w:p>
    <w:p>
      <w:pPr>
        <w:pStyle w:val="49"/>
        <w:ind w:firstLine="482"/>
        <w:rPr>
          <w:color w:val="auto"/>
          <w:highlight w:val="none"/>
        </w:rPr>
      </w:pPr>
      <w:r>
        <w:rPr>
          <w:rFonts w:hint="eastAsia"/>
          <w:color w:val="auto"/>
          <w:highlight w:val="none"/>
        </w:rPr>
        <w:t>注：格式自拟，或参照《承诺及声明函》的格式提供承诺函。</w:t>
      </w:r>
    </w:p>
    <w:p>
      <w:pPr>
        <w:pStyle w:val="45"/>
        <w:rPr>
          <w:color w:val="auto"/>
          <w:highlight w:val="none"/>
        </w:rPr>
      </w:pPr>
      <w:r>
        <w:rPr>
          <w:rFonts w:hint="eastAsia"/>
          <w:color w:val="auto"/>
          <w:highlight w:val="none"/>
        </w:rPr>
        <w:br w:type="page"/>
      </w:r>
    </w:p>
    <w:p>
      <w:pPr>
        <w:pStyle w:val="46"/>
        <w:numPr>
          <w:ilvl w:val="0"/>
          <w:numId w:val="29"/>
        </w:numPr>
        <w:spacing w:before="120" w:after="120"/>
        <w:ind w:firstLine="0"/>
        <w:rPr>
          <w:color w:val="auto"/>
          <w:highlight w:val="none"/>
        </w:rPr>
      </w:pPr>
      <w:bookmarkStart w:id="235" w:name="_Toc13168"/>
      <w:bookmarkStart w:id="236" w:name="_Toc21379"/>
      <w:r>
        <w:rPr>
          <w:rFonts w:hint="eastAsia"/>
          <w:color w:val="auto"/>
          <w:highlight w:val="none"/>
        </w:rPr>
        <w:t>供应商参加采购活动前三年内，在经营活动中没有重大违法记录的证明材料</w:t>
      </w:r>
      <w:bookmarkEnd w:id="235"/>
      <w:bookmarkEnd w:id="236"/>
    </w:p>
    <w:p>
      <w:pPr>
        <w:pStyle w:val="48"/>
        <w:rPr>
          <w:color w:val="auto"/>
          <w:highlight w:val="none"/>
        </w:rPr>
      </w:pPr>
      <w:bookmarkStart w:id="237" w:name="_Toc14299"/>
      <w:bookmarkStart w:id="238" w:name="_Toc9591"/>
      <w:r>
        <w:rPr>
          <w:rFonts w:hint="eastAsia"/>
          <w:color w:val="auto"/>
          <w:highlight w:val="none"/>
        </w:rPr>
        <w:t>提供参加本次采购活动前三年内，在经营活动中没有重大违法记录的书面声明(成立不足三年的，从成立之日起计算)。</w:t>
      </w:r>
    </w:p>
    <w:p>
      <w:pPr>
        <w:pStyle w:val="49"/>
        <w:ind w:firstLine="482"/>
        <w:rPr>
          <w:color w:val="auto"/>
          <w:highlight w:val="none"/>
        </w:rPr>
      </w:pPr>
      <w:r>
        <w:rPr>
          <w:rFonts w:hint="eastAsia"/>
          <w:color w:val="auto"/>
          <w:highlight w:val="none"/>
        </w:rPr>
        <w:t>注：格式自拟，或参照《承诺及声明函》的格式提供声明函。</w:t>
      </w:r>
    </w:p>
    <w:p>
      <w:pPr>
        <w:pStyle w:val="46"/>
        <w:numPr>
          <w:ilvl w:val="0"/>
          <w:numId w:val="29"/>
        </w:numPr>
        <w:spacing w:before="120" w:after="120"/>
        <w:ind w:firstLine="0"/>
        <w:rPr>
          <w:color w:val="auto"/>
          <w:highlight w:val="none"/>
          <w:lang w:val="zh-CN"/>
        </w:rPr>
      </w:pPr>
      <w:bookmarkStart w:id="239" w:name="_Toc26874"/>
      <w:bookmarkStart w:id="240" w:name="_Toc3840"/>
      <w:bookmarkStart w:id="241" w:name="_Toc17558"/>
      <w:bookmarkStart w:id="242" w:name="_Toc32005"/>
      <w:r>
        <w:rPr>
          <w:rFonts w:hint="eastAsia"/>
          <w:color w:val="auto"/>
          <w:highlight w:val="none"/>
        </w:rPr>
        <w:t>供应商单位</w:t>
      </w:r>
      <w:r>
        <w:rPr>
          <w:rFonts w:hint="eastAsia"/>
          <w:color w:val="auto"/>
          <w:highlight w:val="none"/>
          <w:lang w:val="zh-CN"/>
        </w:rPr>
        <w:t>及其现任法定代表人、主要负责人不得具有行贿犯罪记录</w:t>
      </w:r>
      <w:r>
        <w:rPr>
          <w:rFonts w:hint="eastAsia"/>
          <w:color w:val="auto"/>
          <w:highlight w:val="none"/>
        </w:rPr>
        <w:t>的</w:t>
      </w:r>
      <w:bookmarkEnd w:id="239"/>
      <w:bookmarkEnd w:id="240"/>
      <w:bookmarkEnd w:id="241"/>
      <w:r>
        <w:rPr>
          <w:rFonts w:hint="eastAsia"/>
          <w:color w:val="auto"/>
          <w:highlight w:val="none"/>
        </w:rPr>
        <w:t>承诺函</w:t>
      </w:r>
      <w:bookmarkEnd w:id="242"/>
    </w:p>
    <w:bookmarkEnd w:id="237"/>
    <w:bookmarkEnd w:id="238"/>
    <w:p>
      <w:pPr>
        <w:pStyle w:val="45"/>
        <w:rPr>
          <w:rFonts w:cs="宋体"/>
          <w:color w:val="auto"/>
          <w:highlight w:val="none"/>
        </w:rPr>
      </w:pPr>
      <w:bookmarkStart w:id="243" w:name="_Toc8455"/>
      <w:r>
        <w:rPr>
          <w:rFonts w:hint="eastAsia" w:cs="宋体"/>
          <w:color w:val="auto"/>
          <w:highlight w:val="none"/>
          <w:u w:val="single"/>
        </w:rPr>
        <w:t xml:space="preserve">                   </w:t>
      </w:r>
      <w:r>
        <w:rPr>
          <w:rFonts w:hint="eastAsia" w:cs="宋体"/>
          <w:color w:val="auto"/>
          <w:highlight w:val="none"/>
        </w:rPr>
        <w:t>(采购代理机构名称)：</w:t>
      </w:r>
    </w:p>
    <w:p>
      <w:pPr>
        <w:pStyle w:val="45"/>
        <w:ind w:firstLine="480" w:firstLineChars="200"/>
        <w:rPr>
          <w:rFonts w:cs="宋体"/>
          <w:color w:val="auto"/>
          <w:highlight w:val="none"/>
        </w:rPr>
      </w:pPr>
      <w:r>
        <w:rPr>
          <w:rFonts w:hint="eastAsia" w:cs="宋体"/>
          <w:color w:val="auto"/>
          <w:highlight w:val="none"/>
        </w:rPr>
        <w:t>我单位作为本次采购项目的供应商，根据谈判日期要求，现郑重承诺如下：</w:t>
      </w:r>
    </w:p>
    <w:p>
      <w:pPr>
        <w:pStyle w:val="48"/>
        <w:rPr>
          <w:rFonts w:cs="宋体"/>
          <w:color w:val="auto"/>
          <w:highlight w:val="none"/>
          <w:u w:val="single"/>
        </w:rPr>
      </w:pPr>
      <w:r>
        <w:rPr>
          <w:rFonts w:hint="eastAsia" w:cs="宋体"/>
          <w:color w:val="auto"/>
          <w:highlight w:val="none"/>
          <w:u w:val="single"/>
        </w:rPr>
        <w:t xml:space="preserve">        </w:t>
      </w:r>
      <w:r>
        <w:rPr>
          <w:rFonts w:hint="eastAsia" w:cs="宋体"/>
          <w:color w:val="auto"/>
          <w:highlight w:val="none"/>
        </w:rPr>
        <w:t>(供应商名称)及其现任法定代表人</w:t>
      </w:r>
      <w:r>
        <w:rPr>
          <w:rFonts w:hint="eastAsia" w:cs="宋体"/>
          <w:color w:val="auto"/>
          <w:highlight w:val="none"/>
          <w:u w:val="single"/>
        </w:rPr>
        <w:t xml:space="preserve">      </w:t>
      </w:r>
      <w:r>
        <w:rPr>
          <w:rFonts w:hint="eastAsia" w:cs="宋体"/>
          <w:color w:val="auto"/>
          <w:highlight w:val="none"/>
        </w:rPr>
        <w:t>(姓名)、</w:t>
      </w:r>
      <w:r>
        <w:rPr>
          <w:rFonts w:hint="eastAsia" w:cs="宋体"/>
          <w:color w:val="auto"/>
          <w:highlight w:val="none"/>
          <w:u w:val="single"/>
        </w:rPr>
        <w:t xml:space="preserve">     </w:t>
      </w:r>
      <w:r>
        <w:rPr>
          <w:rFonts w:hint="eastAsia" w:cs="宋体"/>
          <w:color w:val="auto"/>
          <w:highlight w:val="none"/>
        </w:rPr>
        <w:t>(身份证号码)，主要负责人</w:t>
      </w:r>
      <w:r>
        <w:rPr>
          <w:rFonts w:hint="eastAsia" w:cs="宋体"/>
          <w:color w:val="auto"/>
          <w:highlight w:val="none"/>
          <w:u w:val="single"/>
        </w:rPr>
        <w:t xml:space="preserve">       </w:t>
      </w:r>
      <w:r>
        <w:rPr>
          <w:rFonts w:hint="eastAsia" w:cs="宋体"/>
          <w:color w:val="auto"/>
          <w:highlight w:val="none"/>
        </w:rPr>
        <w:t>(姓名)、</w:t>
      </w:r>
      <w:r>
        <w:rPr>
          <w:rFonts w:hint="eastAsia" w:cs="宋体"/>
          <w:color w:val="auto"/>
          <w:highlight w:val="none"/>
          <w:u w:val="single"/>
        </w:rPr>
        <w:t xml:space="preserve">     </w:t>
      </w:r>
      <w:r>
        <w:rPr>
          <w:rFonts w:hint="eastAsia" w:cs="宋体"/>
          <w:color w:val="auto"/>
          <w:highlight w:val="none"/>
        </w:rPr>
        <w:t>(身份证号码)，</w:t>
      </w:r>
      <w:r>
        <w:rPr>
          <w:rFonts w:hint="eastAsia" w:cs="宋体"/>
          <w:color w:val="auto"/>
          <w:highlight w:val="none"/>
          <w:u w:val="single"/>
        </w:rPr>
        <w:t xml:space="preserve">    </w:t>
      </w:r>
      <w:r>
        <w:rPr>
          <w:rFonts w:hint="eastAsia" w:cs="宋体"/>
          <w:color w:val="auto"/>
          <w:highlight w:val="none"/>
        </w:rPr>
        <w:t>(无行贿犯罪记录的期限)均无行贿犯罪记录。</w:t>
      </w:r>
    </w:p>
    <w:p>
      <w:pPr>
        <w:pStyle w:val="48"/>
        <w:rPr>
          <w:rFonts w:cs="宋体"/>
          <w:color w:val="auto"/>
          <w:highlight w:val="none"/>
        </w:rPr>
      </w:pPr>
      <w:r>
        <w:rPr>
          <w:rFonts w:hint="eastAsia" w:cs="宋体"/>
          <w:color w:val="auto"/>
          <w:highlight w:val="none"/>
        </w:rPr>
        <w:t>本单位对上述承诺的内容事项真实性、合法性负责。如经查实上述承诺的内容事项存在虚假，我单位自愿接受以提供虚假材料谋取成交所带来的所有法律责任。</w:t>
      </w:r>
    </w:p>
    <w:p>
      <w:pPr>
        <w:pStyle w:val="45"/>
        <w:rPr>
          <w:rFonts w:cs="宋体"/>
          <w:color w:val="auto"/>
          <w:highlight w:val="none"/>
        </w:rPr>
      </w:pPr>
    </w:p>
    <w:p>
      <w:pPr>
        <w:pStyle w:val="45"/>
        <w:rPr>
          <w:rFonts w:cs="宋体"/>
          <w:color w:val="auto"/>
          <w:highlight w:val="none"/>
        </w:rPr>
      </w:pPr>
    </w:p>
    <w:p>
      <w:pPr>
        <w:pStyle w:val="48"/>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pPr>
        <w:pStyle w:val="48"/>
        <w:rPr>
          <w:rFonts w:cs="宋体"/>
          <w:color w:val="auto"/>
          <w:highlight w:val="none"/>
        </w:rPr>
      </w:pPr>
      <w:r>
        <w:rPr>
          <w:rFonts w:hint="eastAsia" w:cs="宋体"/>
          <w:color w:val="auto"/>
          <w:highlight w:val="none"/>
        </w:rPr>
        <w:t>法定代表人/单位负责人或授权代表：</w:t>
      </w:r>
      <w:r>
        <w:rPr>
          <w:rFonts w:hint="eastAsia" w:cs="宋体"/>
          <w:color w:val="auto"/>
          <w:highlight w:val="none"/>
          <w:u w:val="single"/>
        </w:rPr>
        <w:t xml:space="preserve">            </w:t>
      </w:r>
      <w:r>
        <w:rPr>
          <w:rFonts w:hint="eastAsia" w:cs="宋体"/>
          <w:color w:val="auto"/>
          <w:highlight w:val="none"/>
        </w:rPr>
        <w:t>(签字或盖章)</w:t>
      </w:r>
    </w:p>
    <w:p>
      <w:pPr>
        <w:pStyle w:val="65"/>
        <w:numPr>
          <w:ilvl w:val="3"/>
          <w:numId w:val="0"/>
        </w:numPr>
        <w:ind w:firstLine="480" w:firstLineChars="200"/>
        <w:rPr>
          <w:b/>
          <w:bCs/>
          <w:color w:val="auto"/>
          <w:highlight w:val="none"/>
        </w:rPr>
      </w:pPr>
      <w:r>
        <w:rPr>
          <w:rFonts w:hint="eastAsia" w:cs="宋体"/>
          <w:color w:val="auto"/>
          <w:highlight w:val="none"/>
        </w:rPr>
        <w:t>谈判日期：</w:t>
      </w:r>
      <w:r>
        <w:rPr>
          <w:rFonts w:hint="eastAsia" w:cs="宋体"/>
          <w:color w:val="auto"/>
          <w:highlight w:val="none"/>
          <w:u w:val="single"/>
        </w:rPr>
        <w:t xml:space="preserve">                </w:t>
      </w:r>
    </w:p>
    <w:p>
      <w:pPr>
        <w:pStyle w:val="45"/>
        <w:rPr>
          <w:b/>
          <w:bCs/>
          <w:color w:val="auto"/>
          <w:highlight w:val="none"/>
        </w:rPr>
      </w:pPr>
    </w:p>
    <w:p>
      <w:pPr>
        <w:pStyle w:val="45"/>
        <w:ind w:firstLine="482" w:firstLineChars="200"/>
        <w:rPr>
          <w:color w:val="auto"/>
          <w:highlight w:val="none"/>
          <w:lang w:val="zh-CN"/>
        </w:rPr>
      </w:pPr>
      <w:r>
        <w:rPr>
          <w:rFonts w:hint="eastAsia"/>
          <w:b/>
          <w:bCs/>
          <w:color w:val="auto"/>
          <w:highlight w:val="none"/>
        </w:rPr>
        <w:t>注：供应商成立时间超过十年的，在“</w:t>
      </w:r>
      <w:r>
        <w:rPr>
          <w:rFonts w:hint="eastAsia" w:cs="宋体"/>
          <w:b/>
          <w:bCs/>
          <w:color w:val="auto"/>
          <w:highlight w:val="none"/>
        </w:rPr>
        <w:t>无行贿犯罪记录的期限</w:t>
      </w:r>
      <w:r>
        <w:rPr>
          <w:rFonts w:hint="eastAsia"/>
          <w:b/>
          <w:bCs/>
          <w:color w:val="auto"/>
          <w:highlight w:val="none"/>
        </w:rPr>
        <w:t>”</w:t>
      </w:r>
      <w:r>
        <w:rPr>
          <w:rFonts w:hint="eastAsia" w:cs="宋体"/>
          <w:b/>
          <w:bCs/>
          <w:color w:val="auto"/>
          <w:highlight w:val="none"/>
        </w:rPr>
        <w:t>处填写“十年内”；</w:t>
      </w:r>
      <w:r>
        <w:rPr>
          <w:rFonts w:hint="eastAsia"/>
          <w:b/>
          <w:bCs/>
          <w:color w:val="auto"/>
          <w:highlight w:val="none"/>
        </w:rPr>
        <w:t>供应商</w:t>
      </w:r>
      <w:r>
        <w:rPr>
          <w:rFonts w:hint="eastAsia" w:cs="宋体"/>
          <w:b/>
          <w:bCs/>
          <w:color w:val="auto"/>
          <w:highlight w:val="none"/>
        </w:rPr>
        <w:t>成立时间不足十年的，</w:t>
      </w:r>
      <w:r>
        <w:rPr>
          <w:rFonts w:hint="eastAsia"/>
          <w:b/>
          <w:bCs/>
          <w:color w:val="auto"/>
          <w:highlight w:val="none"/>
        </w:rPr>
        <w:t>在“</w:t>
      </w:r>
      <w:r>
        <w:rPr>
          <w:rFonts w:hint="eastAsia" w:cs="宋体"/>
          <w:b/>
          <w:bCs/>
          <w:color w:val="auto"/>
          <w:highlight w:val="none"/>
        </w:rPr>
        <w:t>无行贿犯罪记录的期限</w:t>
      </w:r>
      <w:r>
        <w:rPr>
          <w:rFonts w:hint="eastAsia"/>
          <w:b/>
          <w:bCs/>
          <w:color w:val="auto"/>
          <w:highlight w:val="none"/>
        </w:rPr>
        <w:t>”</w:t>
      </w:r>
      <w:r>
        <w:rPr>
          <w:rFonts w:hint="eastAsia" w:cs="宋体"/>
          <w:b/>
          <w:bCs/>
          <w:color w:val="auto"/>
          <w:highlight w:val="none"/>
        </w:rPr>
        <w:t>处填写“自我单位成立之日起至今”</w:t>
      </w:r>
      <w:r>
        <w:rPr>
          <w:rFonts w:hint="eastAsia"/>
          <w:b/>
          <w:bCs/>
          <w:color w:val="auto"/>
          <w:highlight w:val="none"/>
        </w:rPr>
        <w:t>。</w:t>
      </w:r>
    </w:p>
    <w:p>
      <w:pPr>
        <w:pStyle w:val="45"/>
        <w:rPr>
          <w:color w:val="auto"/>
          <w:highlight w:val="none"/>
        </w:rPr>
      </w:pPr>
      <w:r>
        <w:rPr>
          <w:rFonts w:hint="eastAsia"/>
          <w:color w:val="auto"/>
          <w:highlight w:val="none"/>
        </w:rPr>
        <w:br w:type="page"/>
      </w:r>
      <w:bookmarkEnd w:id="243"/>
      <w:bookmarkStart w:id="244" w:name="_Toc2151"/>
    </w:p>
    <w:bookmarkEnd w:id="244"/>
    <w:p>
      <w:pPr>
        <w:pStyle w:val="46"/>
        <w:numPr>
          <w:ilvl w:val="0"/>
          <w:numId w:val="29"/>
        </w:numPr>
        <w:spacing w:before="120" w:after="120"/>
        <w:ind w:firstLine="0"/>
        <w:rPr>
          <w:color w:val="auto"/>
          <w:highlight w:val="none"/>
        </w:rPr>
      </w:pPr>
      <w:bookmarkStart w:id="245" w:name="_Toc15054"/>
      <w:bookmarkStart w:id="246" w:name="_Toc19166"/>
      <w:bookmarkStart w:id="247" w:name="_Toc12728"/>
      <w:bookmarkStart w:id="248" w:name="_Toc4865"/>
      <w:r>
        <w:rPr>
          <w:rFonts w:hint="eastAsia"/>
          <w:color w:val="auto"/>
          <w:highlight w:val="none"/>
        </w:rPr>
        <w:t>根据采购项目的特殊要求，规定供应商提供的特定条件</w:t>
      </w:r>
      <w:bookmarkEnd w:id="245"/>
      <w:r>
        <w:rPr>
          <w:rFonts w:hint="eastAsia"/>
          <w:color w:val="auto"/>
          <w:highlight w:val="none"/>
        </w:rPr>
        <w:t>的证明材料</w:t>
      </w:r>
      <w:bookmarkEnd w:id="246"/>
      <w:bookmarkEnd w:id="247"/>
      <w:bookmarkEnd w:id="248"/>
    </w:p>
    <w:p>
      <w:pPr>
        <w:pStyle w:val="36"/>
        <w:spacing w:line="520" w:lineRule="exact"/>
        <w:ind w:firstLine="480" w:firstLineChars="200"/>
        <w:rPr>
          <w:color w:val="auto"/>
          <w:highlight w:val="none"/>
        </w:rPr>
      </w:pPr>
      <w:r>
        <w:rPr>
          <w:rFonts w:hint="eastAsia"/>
          <w:color w:val="auto"/>
          <w:highlight w:val="none"/>
        </w:rPr>
        <w:t>1.提供行业行政主管部门颁发的且在有效期内的市政公用工程施工总承包三级及以上资质证书复印件；</w:t>
      </w:r>
    </w:p>
    <w:p>
      <w:pPr>
        <w:pStyle w:val="36"/>
        <w:spacing w:line="520" w:lineRule="exact"/>
        <w:ind w:firstLine="480" w:firstLineChars="200"/>
        <w:rPr>
          <w:color w:val="auto"/>
          <w:highlight w:val="none"/>
        </w:rPr>
      </w:pPr>
      <w:r>
        <w:rPr>
          <w:rFonts w:hint="eastAsia"/>
          <w:color w:val="auto"/>
          <w:highlight w:val="none"/>
        </w:rPr>
        <w:t>2.提供有效的《安全生产许可证》复印件；</w:t>
      </w:r>
    </w:p>
    <w:p>
      <w:pPr>
        <w:pStyle w:val="36"/>
        <w:spacing w:line="520" w:lineRule="exact"/>
        <w:ind w:firstLine="480" w:firstLineChars="200"/>
        <w:rPr>
          <w:color w:val="auto"/>
          <w:highlight w:val="none"/>
        </w:rPr>
      </w:pPr>
      <w:r>
        <w:rPr>
          <w:rFonts w:hint="eastAsia"/>
          <w:color w:val="auto"/>
          <w:highlight w:val="none"/>
        </w:rPr>
        <w:t>3.项目经理：提供市政工程专业二级或以上建造师执业资格并注册证书复印件，提供有效的安全生产考核合格证书(B证)复印件；项目技术负责人：提供建筑工程相关专业中级及以上职称证书复印件；</w:t>
      </w:r>
    </w:p>
    <w:p>
      <w:pPr>
        <w:pStyle w:val="48"/>
        <w:spacing w:line="520" w:lineRule="exact"/>
        <w:rPr>
          <w:color w:val="auto"/>
          <w:highlight w:val="none"/>
        </w:rPr>
      </w:pPr>
      <w:r>
        <w:rPr>
          <w:rFonts w:hint="eastAsia"/>
          <w:color w:val="auto"/>
          <w:highlight w:val="none"/>
        </w:rPr>
        <w:t>4.企业注册地不在四川省行政区域内的省外企业须提供在有效期内的四川省住房和城乡建设厅官网已公开的入川信息网页截图；</w:t>
      </w:r>
    </w:p>
    <w:p>
      <w:pPr>
        <w:pStyle w:val="48"/>
        <w:spacing w:line="520" w:lineRule="exact"/>
        <w:rPr>
          <w:color w:val="auto"/>
          <w:highlight w:val="none"/>
        </w:rPr>
      </w:pPr>
      <w:r>
        <w:rPr>
          <w:rFonts w:hint="eastAsia"/>
          <w:color w:val="auto"/>
          <w:highlight w:val="none"/>
        </w:rPr>
        <w:t>5.提供未与其他供应商组成联合体参与本项目谈判的承诺函。</w:t>
      </w:r>
    </w:p>
    <w:p>
      <w:pPr>
        <w:pStyle w:val="48"/>
        <w:spacing w:line="520" w:lineRule="exact"/>
        <w:ind w:firstLine="482"/>
        <w:rPr>
          <w:b/>
          <w:bCs/>
          <w:color w:val="auto"/>
          <w:highlight w:val="none"/>
        </w:rPr>
      </w:pPr>
      <w:r>
        <w:rPr>
          <w:rFonts w:hint="eastAsia" w:cs="宋体" w:asciiTheme="minorEastAsia" w:hAnsiTheme="minorEastAsia" w:eastAsiaTheme="minorEastAsia"/>
          <w:b/>
          <w:bCs/>
          <w:color w:val="auto"/>
          <w:highlight w:val="none"/>
        </w:rPr>
        <w:t>注：承诺函格式自拟，或参照《承诺及声明函》的格式提供承诺函</w:t>
      </w:r>
      <w:r>
        <w:rPr>
          <w:rFonts w:hint="eastAsia"/>
          <w:b/>
          <w:bCs/>
          <w:color w:val="auto"/>
          <w:highlight w:val="none"/>
        </w:rPr>
        <w:t>。</w:t>
      </w:r>
    </w:p>
    <w:p>
      <w:pPr>
        <w:pStyle w:val="46"/>
        <w:numPr>
          <w:ilvl w:val="0"/>
          <w:numId w:val="29"/>
        </w:numPr>
        <w:spacing w:before="120" w:after="120"/>
        <w:ind w:firstLine="0"/>
        <w:rPr>
          <w:color w:val="auto"/>
          <w:highlight w:val="none"/>
        </w:rPr>
        <w:sectPr>
          <w:headerReference r:id="rId11" w:type="first"/>
          <w:footerReference r:id="rId13" w:type="first"/>
          <w:headerReference r:id="rId10" w:type="default"/>
          <w:footerReference r:id="rId12" w:type="default"/>
          <w:pgSz w:w="11906" w:h="16838"/>
          <w:pgMar w:top="1440" w:right="1080" w:bottom="1440" w:left="1080" w:header="851" w:footer="992" w:gutter="0"/>
          <w:pgNumType w:start="1"/>
          <w:cols w:space="0" w:num="1"/>
          <w:titlePg/>
          <w:docGrid w:linePitch="312" w:charSpace="0"/>
        </w:sectPr>
      </w:pPr>
      <w:bookmarkStart w:id="249" w:name="_Toc15708"/>
      <w:bookmarkStart w:id="250" w:name="_Toc21855"/>
    </w:p>
    <w:p>
      <w:pPr>
        <w:pStyle w:val="46"/>
        <w:numPr>
          <w:ilvl w:val="0"/>
          <w:numId w:val="29"/>
        </w:numPr>
        <w:spacing w:before="120" w:after="120"/>
        <w:ind w:firstLine="0"/>
        <w:rPr>
          <w:color w:val="auto"/>
          <w:highlight w:val="none"/>
        </w:rPr>
      </w:pPr>
      <w:bookmarkStart w:id="251" w:name="_Toc23049"/>
      <w:bookmarkStart w:id="252" w:name="_Toc19009"/>
      <w:r>
        <w:rPr>
          <w:rFonts w:hint="eastAsia"/>
          <w:color w:val="auto"/>
          <w:highlight w:val="none"/>
          <w:lang w:val="zh-CN"/>
        </w:rPr>
        <w:t>落实政策需满足的资格要求</w:t>
      </w:r>
      <w:bookmarkEnd w:id="251"/>
      <w:bookmarkEnd w:id="252"/>
    </w:p>
    <w:p>
      <w:pPr>
        <w:pStyle w:val="46"/>
        <w:pageBreakBefore w:val="0"/>
        <w:spacing w:before="120" w:after="120"/>
        <w:outlineLvl w:val="3"/>
        <w:rPr>
          <w:color w:val="auto"/>
          <w:highlight w:val="none"/>
        </w:rPr>
      </w:pPr>
      <w:bookmarkStart w:id="253" w:name="_Toc25220"/>
      <w:bookmarkStart w:id="254" w:name="_Toc28184"/>
      <w:r>
        <w:rPr>
          <w:rFonts w:hint="eastAsia"/>
          <w:color w:val="auto"/>
          <w:w w:val="95"/>
          <w:highlight w:val="none"/>
        </w:rPr>
        <w:t>(一)中小企业</w:t>
      </w:r>
      <w:r>
        <w:rPr>
          <w:rFonts w:hint="eastAsia"/>
          <w:color w:val="auto"/>
          <w:highlight w:val="none"/>
        </w:rPr>
        <w:t>声明函</w:t>
      </w:r>
      <w:bookmarkEnd w:id="253"/>
      <w:bookmarkEnd w:id="254"/>
    </w:p>
    <w:p>
      <w:pPr>
        <w:pStyle w:val="49"/>
        <w:spacing w:line="520" w:lineRule="exact"/>
        <w:textAlignment w:val="baseline"/>
        <w:rPr>
          <w:b w:val="0"/>
          <w:bCs/>
          <w:color w:val="auto"/>
          <w:highlight w:val="none"/>
        </w:rPr>
      </w:pPr>
      <w:r>
        <w:rPr>
          <w:rFonts w:hint="eastAsia"/>
          <w:b w:val="0"/>
          <w:bCs/>
          <w:color w:val="auto"/>
          <w:highlight w:val="none"/>
        </w:rPr>
        <w:t>本公司郑重声明，参照《政府采购促进中小企业发展管理办法》(财库〔2020〕46号)的规定，本公司参加</w:t>
      </w:r>
      <w:r>
        <w:rPr>
          <w:rFonts w:hint="eastAsia"/>
          <w:b w:val="0"/>
          <w:bCs/>
          <w:color w:val="auto"/>
          <w:highlight w:val="none"/>
          <w:u w:val="single" w:color="000000"/>
        </w:rPr>
        <w:t>(成都市技师学院)</w:t>
      </w:r>
      <w:r>
        <w:rPr>
          <w:rFonts w:hint="eastAsia"/>
          <w:b w:val="0"/>
          <w:bCs/>
          <w:color w:val="auto"/>
          <w:highlight w:val="none"/>
        </w:rPr>
        <w:t>的</w:t>
      </w:r>
      <w:r>
        <w:rPr>
          <w:rFonts w:hint="eastAsia"/>
          <w:b w:val="0"/>
          <w:bCs/>
          <w:color w:val="auto"/>
          <w:highlight w:val="none"/>
          <w:u w:val="single" w:color="000000"/>
        </w:rPr>
        <w:t>(成都市技师学院沥青路面维修工程项目)</w:t>
      </w:r>
      <w:r>
        <w:rPr>
          <w:rFonts w:hint="eastAsia"/>
          <w:b w:val="0"/>
          <w:bCs/>
          <w:color w:val="auto"/>
          <w:highlight w:val="none"/>
        </w:rPr>
        <w:t>采购活动，工程的施工单位全部由符合政策要求的中小企业承接。相关企业的具体情况如下：</w:t>
      </w:r>
    </w:p>
    <w:p>
      <w:pPr>
        <w:pStyle w:val="49"/>
        <w:spacing w:line="520" w:lineRule="exact"/>
        <w:textAlignment w:val="baseline"/>
        <w:rPr>
          <w:b w:val="0"/>
          <w:bCs/>
          <w:color w:val="auto"/>
          <w:highlight w:val="none"/>
        </w:rPr>
      </w:pPr>
      <w:r>
        <w:rPr>
          <w:rFonts w:hint="eastAsia"/>
          <w:b w:val="0"/>
          <w:bCs/>
          <w:color w:val="auto"/>
          <w:highlight w:val="none"/>
          <w:u w:val="single" w:color="000000"/>
        </w:rPr>
        <w:t>(沥青路面维修工程)</w:t>
      </w:r>
      <w:r>
        <w:rPr>
          <w:rFonts w:hint="eastAsia"/>
          <w:b w:val="0"/>
          <w:bCs/>
          <w:color w:val="auto"/>
          <w:highlight w:val="none"/>
        </w:rPr>
        <w:t>，属于</w:t>
      </w:r>
      <w:r>
        <w:rPr>
          <w:rFonts w:hint="eastAsia"/>
          <w:b w:val="0"/>
          <w:bCs/>
          <w:color w:val="auto"/>
          <w:highlight w:val="none"/>
          <w:u w:val="single" w:color="000000"/>
        </w:rPr>
        <w:t>(建筑业)</w:t>
      </w:r>
      <w:r>
        <w:rPr>
          <w:rFonts w:hint="eastAsia"/>
          <w:b w:val="0"/>
          <w:bCs/>
          <w:color w:val="auto"/>
          <w:highlight w:val="none"/>
        </w:rPr>
        <w:t>；承建企业为</w:t>
      </w:r>
      <w:r>
        <w:rPr>
          <w:rFonts w:hint="eastAsia"/>
          <w:b w:val="0"/>
          <w:bCs/>
          <w:color w:val="auto"/>
          <w:highlight w:val="none"/>
          <w:u w:val="single" w:color="000000"/>
        </w:rPr>
        <w:t>(企业名称)</w:t>
      </w:r>
      <w:r>
        <w:rPr>
          <w:rFonts w:hint="eastAsia"/>
          <w:b w:val="0"/>
          <w:bCs/>
          <w:color w:val="auto"/>
          <w:highlight w:val="none"/>
        </w:rPr>
        <w:t>，从业人员</w:t>
      </w:r>
      <w:r>
        <w:rPr>
          <w:rFonts w:hint="eastAsia"/>
          <w:b w:val="0"/>
          <w:bCs/>
          <w:color w:val="auto"/>
          <w:highlight w:val="none"/>
          <w:u w:val="single" w:color="000000"/>
        </w:rPr>
        <w:t xml:space="preserve">    </w:t>
      </w:r>
      <w:r>
        <w:rPr>
          <w:rFonts w:hint="eastAsia"/>
          <w:b w:val="0"/>
          <w:bCs/>
          <w:color w:val="auto"/>
          <w:highlight w:val="none"/>
        </w:rPr>
        <w:t>人，营业收入为</w:t>
      </w:r>
      <w:r>
        <w:rPr>
          <w:rFonts w:hint="eastAsia"/>
          <w:b w:val="0"/>
          <w:bCs/>
          <w:color w:val="auto"/>
          <w:highlight w:val="none"/>
          <w:u w:val="single" w:color="000000"/>
        </w:rPr>
        <w:t xml:space="preserve">    </w:t>
      </w:r>
      <w:r>
        <w:rPr>
          <w:rFonts w:hint="eastAsia"/>
          <w:b w:val="0"/>
          <w:bCs/>
          <w:color w:val="auto"/>
          <w:highlight w:val="none"/>
        </w:rPr>
        <w:tab/>
      </w:r>
      <w:r>
        <w:rPr>
          <w:rFonts w:hint="eastAsia"/>
          <w:b w:val="0"/>
          <w:bCs/>
          <w:color w:val="auto"/>
          <w:highlight w:val="none"/>
        </w:rPr>
        <w:t>万元，资产总额为</w:t>
      </w:r>
      <w:r>
        <w:rPr>
          <w:rFonts w:hint="eastAsia"/>
          <w:b w:val="0"/>
          <w:bCs/>
          <w:color w:val="auto"/>
          <w:highlight w:val="none"/>
          <w:u w:val="single" w:color="000000"/>
        </w:rPr>
        <w:t xml:space="preserve">    </w:t>
      </w:r>
      <w:r>
        <w:rPr>
          <w:rFonts w:hint="eastAsia"/>
          <w:b w:val="0"/>
          <w:bCs/>
          <w:color w:val="auto"/>
          <w:highlight w:val="none"/>
        </w:rPr>
        <w:t>万元，属于</w:t>
      </w:r>
      <w:r>
        <w:rPr>
          <w:rFonts w:hint="eastAsia"/>
          <w:b w:val="0"/>
          <w:bCs/>
          <w:color w:val="auto"/>
          <w:highlight w:val="none"/>
          <w:u w:val="single" w:color="000000"/>
        </w:rPr>
        <w:t>(中型企业、小型企业、微型企业)</w:t>
      </w:r>
      <w:r>
        <w:rPr>
          <w:rFonts w:hint="eastAsia"/>
          <w:b w:val="0"/>
          <w:bCs/>
          <w:color w:val="auto"/>
          <w:highlight w:val="none"/>
        </w:rPr>
        <w:t>；</w:t>
      </w:r>
    </w:p>
    <w:p>
      <w:pPr>
        <w:pStyle w:val="49"/>
        <w:spacing w:line="520" w:lineRule="exact"/>
        <w:textAlignment w:val="baseline"/>
        <w:rPr>
          <w:b w:val="0"/>
          <w:bCs/>
          <w:color w:val="auto"/>
          <w:highlight w:val="none"/>
        </w:rPr>
      </w:pPr>
      <w:r>
        <w:rPr>
          <w:rFonts w:hint="eastAsia"/>
          <w:b w:val="0"/>
          <w:bCs/>
          <w:color w:val="auto"/>
          <w:highlight w:val="none"/>
        </w:rPr>
        <w:t>以上企业，不属于大企业的分支机构，不存在控股股东为大企业的情形，也不存在与大企业的负责人为同一人的情形。</w:t>
      </w:r>
    </w:p>
    <w:p>
      <w:pPr>
        <w:pStyle w:val="49"/>
        <w:spacing w:line="520" w:lineRule="exact"/>
        <w:textAlignment w:val="baseline"/>
        <w:rPr>
          <w:b w:val="0"/>
          <w:bCs/>
          <w:color w:val="auto"/>
          <w:highlight w:val="none"/>
        </w:rPr>
      </w:pPr>
      <w:r>
        <w:rPr>
          <w:rFonts w:hint="eastAsia"/>
          <w:b w:val="0"/>
          <w:bCs/>
          <w:color w:val="auto"/>
          <w:highlight w:val="none"/>
        </w:rPr>
        <w:t>本企业对上述声明内容的真实性负责。如有虚假，将依法承担相应责任。</w:t>
      </w:r>
    </w:p>
    <w:p>
      <w:pPr>
        <w:pStyle w:val="45"/>
        <w:spacing w:line="520" w:lineRule="exact"/>
        <w:textAlignment w:val="baseline"/>
        <w:rPr>
          <w:color w:val="auto"/>
          <w:highlight w:val="none"/>
        </w:rPr>
      </w:pPr>
    </w:p>
    <w:p>
      <w:pPr>
        <w:pStyle w:val="45"/>
        <w:spacing w:line="520" w:lineRule="exact"/>
        <w:textAlignment w:val="baseline"/>
        <w:rPr>
          <w:color w:val="auto"/>
          <w:highlight w:val="none"/>
        </w:rPr>
      </w:pPr>
    </w:p>
    <w:p>
      <w:pPr>
        <w:pStyle w:val="45"/>
        <w:spacing w:line="520" w:lineRule="exact"/>
        <w:ind w:left="4800" w:leftChars="2000"/>
        <w:textAlignment w:val="baseline"/>
        <w:rPr>
          <w:color w:val="auto"/>
          <w:highlight w:val="none"/>
        </w:rPr>
      </w:pPr>
      <w:r>
        <w:rPr>
          <w:rFonts w:hint="eastAsia"/>
          <w:color w:val="auto"/>
          <w:highlight w:val="none"/>
        </w:rPr>
        <w:t>企业名称(盖章)：</w:t>
      </w:r>
      <w:r>
        <w:rPr>
          <w:rFonts w:hint="eastAsia"/>
          <w:color w:val="auto"/>
          <w:highlight w:val="none"/>
          <w:u w:val="single" w:color="000000"/>
        </w:rPr>
        <w:t xml:space="preserve">        </w:t>
      </w:r>
    </w:p>
    <w:p>
      <w:pPr>
        <w:pStyle w:val="45"/>
        <w:spacing w:line="520" w:lineRule="exact"/>
        <w:ind w:left="4800" w:leftChars="2000"/>
        <w:textAlignment w:val="baseline"/>
        <w:rPr>
          <w:color w:val="auto"/>
          <w:highlight w:val="none"/>
        </w:rPr>
      </w:pPr>
      <w:r>
        <w:rPr>
          <w:rFonts w:hint="eastAsia"/>
          <w:color w:val="auto"/>
          <w:highlight w:val="none"/>
        </w:rPr>
        <w:t>日期：</w:t>
      </w:r>
      <w:r>
        <w:rPr>
          <w:rFonts w:hint="eastAsia"/>
          <w:color w:val="auto"/>
          <w:highlight w:val="none"/>
          <w:u w:val="single" w:color="000000"/>
        </w:rPr>
        <w:t xml:space="preserve">        </w:t>
      </w:r>
      <w:r>
        <w:rPr>
          <w:rFonts w:hint="eastAsia"/>
          <w:color w:val="auto"/>
          <w:highlight w:val="none"/>
        </w:rPr>
        <w:t xml:space="preserve">           　</w:t>
      </w:r>
    </w:p>
    <w:p>
      <w:pPr>
        <w:pStyle w:val="49"/>
        <w:spacing w:line="520" w:lineRule="exact"/>
        <w:ind w:firstLine="482"/>
        <w:textAlignment w:val="baseline"/>
        <w:rPr>
          <w:color w:val="auto"/>
          <w:highlight w:val="none"/>
        </w:rPr>
      </w:pPr>
    </w:p>
    <w:p>
      <w:pPr>
        <w:pStyle w:val="49"/>
        <w:spacing w:line="520" w:lineRule="exact"/>
        <w:ind w:firstLine="482"/>
        <w:textAlignment w:val="baseline"/>
        <w:rPr>
          <w:color w:val="auto"/>
          <w:highlight w:val="none"/>
        </w:rPr>
      </w:pPr>
      <w:r>
        <w:rPr>
          <w:rFonts w:hint="eastAsia"/>
          <w:color w:val="auto"/>
          <w:highlight w:val="none"/>
        </w:rPr>
        <w:t>注：从业人员、营业收入、资产总额填报上一年度数据，无上一年度数据的新成立企业可不填报。</w:t>
      </w:r>
    </w:p>
    <w:p>
      <w:pPr>
        <w:pStyle w:val="46"/>
        <w:spacing w:before="120" w:after="120"/>
        <w:outlineLvl w:val="3"/>
        <w:rPr>
          <w:color w:val="auto"/>
          <w:highlight w:val="none"/>
        </w:rPr>
      </w:pPr>
      <w:bookmarkStart w:id="255" w:name="_Toc2825"/>
      <w:bookmarkStart w:id="256" w:name="_Toc26870"/>
      <w:bookmarkStart w:id="257" w:name="_Toc8515"/>
      <w:bookmarkStart w:id="258" w:name="_Toc28013"/>
      <w:bookmarkStart w:id="259" w:name="_Toc5528"/>
      <w:r>
        <w:rPr>
          <w:rFonts w:hint="eastAsia"/>
          <w:color w:val="auto"/>
          <w:w w:val="95"/>
          <w:highlight w:val="none"/>
        </w:rPr>
        <w:t>(二)监狱</w:t>
      </w:r>
      <w:r>
        <w:rPr>
          <w:rFonts w:hint="eastAsia"/>
          <w:color w:val="auto"/>
          <w:highlight w:val="none"/>
        </w:rPr>
        <w:t>企业相关证明材料</w:t>
      </w:r>
      <w:bookmarkEnd w:id="255"/>
      <w:bookmarkEnd w:id="256"/>
      <w:bookmarkEnd w:id="257"/>
      <w:bookmarkEnd w:id="258"/>
      <w:bookmarkEnd w:id="259"/>
    </w:p>
    <w:p>
      <w:pPr>
        <w:pStyle w:val="49"/>
        <w:ind w:firstLine="482"/>
        <w:textAlignment w:val="baseline"/>
        <w:rPr>
          <w:color w:val="auto"/>
          <w:highlight w:val="none"/>
        </w:rPr>
      </w:pPr>
      <w:r>
        <w:rPr>
          <w:rFonts w:hint="eastAsia"/>
          <w:color w:val="auto"/>
          <w:highlight w:val="none"/>
        </w:rPr>
        <w:t>说明：监狱企业参加采购活动时，应当提供由省级以上监狱管理局、戒毒管理局(含新疆生产建设兵团)出具的属于监狱企业的证明文件，否则作无效响应处理。</w:t>
      </w:r>
    </w:p>
    <w:p>
      <w:pPr>
        <w:pStyle w:val="45"/>
        <w:textAlignment w:val="baseline"/>
        <w:rPr>
          <w:color w:val="auto"/>
          <w:highlight w:val="none"/>
        </w:rPr>
      </w:pPr>
      <w:r>
        <w:rPr>
          <w:rFonts w:hint="eastAsia"/>
          <w:color w:val="auto"/>
          <w:highlight w:val="none"/>
        </w:rPr>
        <w:br w:type="page"/>
      </w:r>
    </w:p>
    <w:p>
      <w:pPr>
        <w:pStyle w:val="46"/>
        <w:spacing w:before="120" w:after="120"/>
        <w:outlineLvl w:val="3"/>
        <w:rPr>
          <w:color w:val="auto"/>
          <w:highlight w:val="none"/>
        </w:rPr>
      </w:pPr>
      <w:bookmarkStart w:id="260" w:name="_Toc28098"/>
      <w:bookmarkStart w:id="261" w:name="_Toc23315"/>
      <w:bookmarkStart w:id="262" w:name="_Toc7186"/>
      <w:bookmarkStart w:id="263" w:name="_Toc5548"/>
      <w:bookmarkStart w:id="264" w:name="_Toc16638"/>
      <w:r>
        <w:rPr>
          <w:rFonts w:hint="eastAsia"/>
          <w:color w:val="auto"/>
          <w:w w:val="95"/>
          <w:highlight w:val="none"/>
        </w:rPr>
        <w:t>(三)</w:t>
      </w:r>
      <w:r>
        <w:rPr>
          <w:rFonts w:hint="eastAsia"/>
          <w:color w:val="auto"/>
          <w:highlight w:val="none"/>
        </w:rPr>
        <w:t>残疾人福利性单位声明函</w:t>
      </w:r>
      <w:bookmarkEnd w:id="260"/>
      <w:bookmarkEnd w:id="261"/>
      <w:bookmarkEnd w:id="262"/>
      <w:bookmarkEnd w:id="263"/>
      <w:bookmarkEnd w:id="264"/>
    </w:p>
    <w:p>
      <w:pPr>
        <w:pStyle w:val="48"/>
        <w:textAlignment w:val="baseline"/>
        <w:rPr>
          <w:color w:val="auto"/>
          <w:highlight w:val="none"/>
        </w:rPr>
      </w:pPr>
      <w:r>
        <w:rPr>
          <w:rFonts w:hint="eastAsia"/>
          <w:color w:val="auto"/>
          <w:highlight w:val="none"/>
        </w:rPr>
        <w:t>本单位郑重声明，参照《财政部 民政部 中国残疾人联合会关于促进残疾人就业政府采购政策的通知》(财库〔2017〕141号)的规定，本单位为符合条件的残疾人福利性单位，且本单位参加</w:t>
      </w:r>
      <w:r>
        <w:rPr>
          <w:rFonts w:hint="eastAsia"/>
          <w:color w:val="auto"/>
          <w:highlight w:val="none"/>
          <w:u w:val="single" w:color="000000"/>
        </w:rPr>
        <w:t xml:space="preserve">        </w:t>
      </w:r>
      <w:r>
        <w:rPr>
          <w:rFonts w:hint="eastAsia"/>
          <w:color w:val="auto"/>
          <w:highlight w:val="none"/>
        </w:rPr>
        <w:t>单位的</w:t>
      </w:r>
      <w:r>
        <w:rPr>
          <w:rFonts w:hint="eastAsia"/>
          <w:color w:val="auto"/>
          <w:highlight w:val="none"/>
          <w:u w:val="single" w:color="000000"/>
        </w:rPr>
        <w:t xml:space="preserve">        </w:t>
      </w:r>
      <w:r>
        <w:rPr>
          <w:rFonts w:hint="eastAsia"/>
          <w:color w:val="auto"/>
          <w:highlight w:val="none"/>
        </w:rPr>
        <w:t>项目采购活动由本单位提供服务。</w:t>
      </w:r>
    </w:p>
    <w:p>
      <w:pPr>
        <w:pStyle w:val="48"/>
        <w:textAlignment w:val="baseline"/>
        <w:rPr>
          <w:color w:val="auto"/>
          <w:highlight w:val="none"/>
        </w:rPr>
      </w:pPr>
      <w:r>
        <w:rPr>
          <w:rFonts w:hint="eastAsia"/>
          <w:color w:val="auto"/>
          <w:highlight w:val="none"/>
        </w:rPr>
        <w:t>本单位对上述声明的真实性负责。如有虚假，将依法承担相应责任。</w:t>
      </w:r>
    </w:p>
    <w:p>
      <w:pPr>
        <w:pStyle w:val="45"/>
        <w:textAlignment w:val="baseline"/>
        <w:rPr>
          <w:color w:val="auto"/>
          <w:highlight w:val="none"/>
        </w:rPr>
      </w:pPr>
    </w:p>
    <w:p>
      <w:pPr>
        <w:pStyle w:val="45"/>
        <w:textAlignment w:val="baseline"/>
        <w:rPr>
          <w:color w:val="auto"/>
          <w:highlight w:val="none"/>
        </w:rPr>
      </w:pPr>
    </w:p>
    <w:p>
      <w:pPr>
        <w:pStyle w:val="45"/>
        <w:textAlignment w:val="baseline"/>
        <w:rPr>
          <w:color w:val="auto"/>
          <w:highlight w:val="none"/>
        </w:rPr>
      </w:pPr>
    </w:p>
    <w:p>
      <w:pPr>
        <w:pStyle w:val="45"/>
        <w:ind w:left="4800" w:leftChars="2000"/>
        <w:textAlignment w:val="baseline"/>
        <w:rPr>
          <w:color w:val="auto"/>
          <w:highlight w:val="none"/>
        </w:rPr>
      </w:pPr>
      <w:r>
        <w:rPr>
          <w:rFonts w:hint="eastAsia"/>
          <w:color w:val="auto"/>
          <w:highlight w:val="none"/>
        </w:rPr>
        <w:t>单位名称：</w:t>
      </w:r>
      <w:r>
        <w:rPr>
          <w:rFonts w:hint="eastAsia"/>
          <w:color w:val="auto"/>
          <w:highlight w:val="none"/>
          <w:u w:val="single" w:color="000000"/>
        </w:rPr>
        <w:t xml:space="preserve">             </w:t>
      </w:r>
      <w:r>
        <w:rPr>
          <w:rFonts w:hint="eastAsia"/>
          <w:color w:val="auto"/>
          <w:highlight w:val="none"/>
        </w:rPr>
        <w:t xml:space="preserve"> (盖章)</w:t>
      </w:r>
    </w:p>
    <w:p>
      <w:pPr>
        <w:pStyle w:val="45"/>
        <w:ind w:left="4800" w:leftChars="2000"/>
        <w:textAlignment w:val="baseline"/>
        <w:rPr>
          <w:color w:val="auto"/>
          <w:highlight w:val="none"/>
        </w:rPr>
      </w:pPr>
      <w:r>
        <w:rPr>
          <w:rFonts w:hint="eastAsia"/>
          <w:color w:val="auto"/>
          <w:highlight w:val="none"/>
        </w:rPr>
        <w:t>日    期：</w:t>
      </w:r>
      <w:r>
        <w:rPr>
          <w:rFonts w:hint="eastAsia"/>
          <w:color w:val="auto"/>
          <w:highlight w:val="none"/>
          <w:u w:val="single" w:color="000000"/>
        </w:rPr>
        <w:t xml:space="preserve">             </w:t>
      </w:r>
      <w:r>
        <w:rPr>
          <w:rFonts w:hint="eastAsia"/>
          <w:color w:val="auto"/>
          <w:highlight w:val="none"/>
        </w:rPr>
        <w:t xml:space="preserve">   </w:t>
      </w:r>
    </w:p>
    <w:p>
      <w:pPr>
        <w:pStyle w:val="45"/>
        <w:ind w:left="4800" w:leftChars="2000"/>
        <w:textAlignment w:val="baseline"/>
        <w:rPr>
          <w:color w:val="auto"/>
          <w:highlight w:val="none"/>
        </w:rPr>
      </w:pPr>
    </w:p>
    <w:p>
      <w:pPr>
        <w:pStyle w:val="49"/>
        <w:ind w:firstLine="482"/>
        <w:textAlignment w:val="baseline"/>
        <w:rPr>
          <w:color w:val="auto"/>
          <w:highlight w:val="none"/>
        </w:rPr>
      </w:pPr>
    </w:p>
    <w:p>
      <w:pPr>
        <w:pStyle w:val="49"/>
        <w:ind w:firstLine="482"/>
        <w:textAlignment w:val="baseline"/>
        <w:rPr>
          <w:color w:val="auto"/>
          <w:highlight w:val="none"/>
        </w:rPr>
      </w:pPr>
      <w:r>
        <w:rPr>
          <w:rFonts w:hint="eastAsia"/>
          <w:color w:val="auto"/>
          <w:highlight w:val="none"/>
        </w:rPr>
        <w:t>说明：残疾人福利性</w:t>
      </w:r>
      <w:r>
        <w:rPr>
          <w:rFonts w:hint="eastAsia"/>
          <w:color w:val="auto"/>
          <w:w w:val="95"/>
          <w:highlight w:val="none"/>
        </w:rPr>
        <w:t>单位</w:t>
      </w:r>
      <w:r>
        <w:rPr>
          <w:rFonts w:hint="eastAsia"/>
          <w:color w:val="auto"/>
          <w:highlight w:val="none"/>
        </w:rPr>
        <w:t>参加采购活动时，应提供残疾人福利性单位声明函，否则作无效响应处理。</w:t>
      </w:r>
    </w:p>
    <w:p>
      <w:pPr>
        <w:pStyle w:val="46"/>
        <w:numPr>
          <w:ilvl w:val="0"/>
          <w:numId w:val="29"/>
        </w:numPr>
        <w:spacing w:before="120" w:after="120"/>
        <w:ind w:firstLine="0"/>
        <w:rPr>
          <w:color w:val="auto"/>
          <w:highlight w:val="none"/>
        </w:rPr>
        <w:sectPr>
          <w:pgSz w:w="11906" w:h="16838"/>
          <w:pgMar w:top="1440" w:right="1080" w:bottom="1440" w:left="1080" w:header="851" w:footer="992" w:gutter="0"/>
          <w:cols w:space="0" w:num="1"/>
          <w:titlePg/>
          <w:docGrid w:linePitch="312" w:charSpace="0"/>
        </w:sectPr>
      </w:pPr>
    </w:p>
    <w:p>
      <w:pPr>
        <w:pStyle w:val="46"/>
        <w:numPr>
          <w:ilvl w:val="0"/>
          <w:numId w:val="29"/>
        </w:numPr>
        <w:spacing w:before="120" w:after="120"/>
        <w:ind w:firstLine="0"/>
        <w:rPr>
          <w:color w:val="auto"/>
          <w:highlight w:val="none"/>
        </w:rPr>
      </w:pPr>
      <w:bookmarkStart w:id="265" w:name="_Toc32597"/>
      <w:r>
        <w:rPr>
          <w:rFonts w:hint="eastAsia"/>
          <w:color w:val="auto"/>
          <w:highlight w:val="none"/>
        </w:rPr>
        <w:t>承诺及声明函</w:t>
      </w:r>
      <w:bookmarkEnd w:id="249"/>
      <w:bookmarkEnd w:id="250"/>
      <w:bookmarkEnd w:id="265"/>
    </w:p>
    <w:p>
      <w:pPr>
        <w:pStyle w:val="45"/>
        <w:rPr>
          <w:color w:val="auto"/>
          <w:highlight w:val="none"/>
        </w:rPr>
      </w:pPr>
      <w:r>
        <w:rPr>
          <w:rFonts w:hint="eastAsia"/>
          <w:color w:val="auto"/>
          <w:highlight w:val="none"/>
          <w:u w:val="single"/>
        </w:rPr>
        <w:t xml:space="preserve">                   </w:t>
      </w:r>
      <w:r>
        <w:rPr>
          <w:rFonts w:hint="eastAsia"/>
          <w:color w:val="auto"/>
          <w:highlight w:val="none"/>
        </w:rPr>
        <w:t>(采购代理机构名称)：</w:t>
      </w:r>
    </w:p>
    <w:p>
      <w:pPr>
        <w:pStyle w:val="45"/>
        <w:ind w:firstLine="480" w:firstLineChars="200"/>
        <w:rPr>
          <w:color w:val="auto"/>
          <w:highlight w:val="none"/>
        </w:rPr>
      </w:pPr>
      <w:r>
        <w:rPr>
          <w:rFonts w:hint="eastAsia"/>
          <w:color w:val="auto"/>
          <w:highlight w:val="none"/>
        </w:rPr>
        <w:t>我公司作为本次采购项目的供应商，根据谈判文件要求，现郑重承诺及声明如下：</w:t>
      </w:r>
    </w:p>
    <w:p>
      <w:pPr>
        <w:spacing w:line="520" w:lineRule="exact"/>
        <w:ind w:firstLine="480" w:firstLineChars="200"/>
        <w:rPr>
          <w:rFonts w:cs="宋体"/>
          <w:color w:val="auto"/>
          <w:highlight w:val="none"/>
        </w:rPr>
      </w:pPr>
      <w:r>
        <w:rPr>
          <w:rFonts w:hint="eastAsia" w:cs="宋体"/>
          <w:color w:val="auto"/>
          <w:highlight w:val="none"/>
        </w:rPr>
        <w:t>1.我公司</w:t>
      </w:r>
      <w:r>
        <w:rPr>
          <w:rFonts w:hint="eastAsia" w:cs="宋体"/>
          <w:color w:val="auto"/>
          <w:highlight w:val="none"/>
          <w:u w:val="single"/>
        </w:rPr>
        <w:t xml:space="preserve">    </w:t>
      </w:r>
      <w:r>
        <w:rPr>
          <w:rFonts w:hint="eastAsia" w:cs="宋体"/>
          <w:b/>
          <w:color w:val="auto"/>
          <w:highlight w:val="none"/>
          <w:u w:val="single"/>
        </w:rPr>
        <w:t>(说明：填写“具有”或“不具有”)</w:t>
      </w:r>
      <w:r>
        <w:rPr>
          <w:rFonts w:hint="eastAsia" w:cs="宋体"/>
          <w:color w:val="auto"/>
          <w:highlight w:val="none"/>
        </w:rPr>
        <w:t>良好的商业信誉和健全的财务会计制度；</w:t>
      </w:r>
    </w:p>
    <w:p>
      <w:pPr>
        <w:pStyle w:val="10"/>
        <w:spacing w:line="520" w:lineRule="exact"/>
        <w:ind w:left="0" w:leftChars="0" w:firstLine="480" w:firstLineChars="200"/>
        <w:rPr>
          <w:rFonts w:cs="宋体"/>
          <w:color w:val="auto"/>
          <w:highlight w:val="none"/>
        </w:rPr>
      </w:pPr>
      <w:r>
        <w:rPr>
          <w:rFonts w:hint="eastAsia" w:cs="宋体"/>
          <w:color w:val="auto"/>
          <w:highlight w:val="none"/>
        </w:rPr>
        <w:t>2.我公司</w:t>
      </w:r>
      <w:r>
        <w:rPr>
          <w:rFonts w:hint="eastAsia" w:cs="宋体"/>
          <w:color w:val="auto"/>
          <w:highlight w:val="none"/>
          <w:u w:val="single"/>
        </w:rPr>
        <w:t xml:space="preserve">   </w:t>
      </w:r>
      <w:r>
        <w:rPr>
          <w:rFonts w:hint="eastAsia" w:cs="宋体"/>
          <w:b/>
          <w:color w:val="auto"/>
          <w:highlight w:val="none"/>
          <w:u w:val="single"/>
        </w:rPr>
        <w:t>(说明：填写“具有”或“不具有”)</w:t>
      </w:r>
      <w:r>
        <w:rPr>
          <w:rFonts w:hint="eastAsia" w:cs="宋体"/>
          <w:color w:val="auto"/>
          <w:highlight w:val="none"/>
        </w:rPr>
        <w:t>履行合同所必须的设备和专业技术能力；</w:t>
      </w:r>
    </w:p>
    <w:p>
      <w:pPr>
        <w:pStyle w:val="10"/>
        <w:spacing w:line="520" w:lineRule="exact"/>
        <w:ind w:left="0" w:leftChars="0" w:firstLine="480" w:firstLineChars="200"/>
        <w:rPr>
          <w:rFonts w:cs="宋体"/>
          <w:color w:val="auto"/>
          <w:highlight w:val="none"/>
        </w:rPr>
      </w:pPr>
      <w:r>
        <w:rPr>
          <w:rFonts w:hint="eastAsia" w:cs="宋体"/>
          <w:color w:val="auto"/>
          <w:highlight w:val="none"/>
        </w:rPr>
        <w:t>3.我公司</w:t>
      </w:r>
      <w:r>
        <w:rPr>
          <w:rFonts w:hint="eastAsia" w:cs="宋体"/>
          <w:color w:val="auto"/>
          <w:highlight w:val="none"/>
          <w:u w:val="single"/>
        </w:rPr>
        <w:t xml:space="preserve">    </w:t>
      </w:r>
      <w:r>
        <w:rPr>
          <w:rFonts w:hint="eastAsia" w:cs="宋体"/>
          <w:b/>
          <w:color w:val="auto"/>
          <w:highlight w:val="none"/>
          <w:u w:val="single"/>
        </w:rPr>
        <w:t>(说明：填写“有”或“没有”)</w:t>
      </w:r>
      <w:r>
        <w:rPr>
          <w:rFonts w:hint="eastAsia" w:cs="宋体"/>
          <w:color w:val="auto"/>
          <w:highlight w:val="none"/>
        </w:rPr>
        <w:t>依法缴纳税收和社会保障资金的良好记录；</w:t>
      </w:r>
    </w:p>
    <w:p>
      <w:pPr>
        <w:spacing w:line="520" w:lineRule="exact"/>
        <w:ind w:firstLine="480" w:firstLineChars="200"/>
        <w:rPr>
          <w:rFonts w:cs="宋体"/>
          <w:color w:val="auto"/>
          <w:highlight w:val="none"/>
        </w:rPr>
      </w:pPr>
      <w:r>
        <w:rPr>
          <w:rFonts w:hint="eastAsia" w:cs="宋体"/>
          <w:color w:val="auto"/>
          <w:highlight w:val="none"/>
        </w:rPr>
        <w:t>4.我公司参加采购活动前三年内，在经营活动中</w:t>
      </w:r>
      <w:r>
        <w:rPr>
          <w:rFonts w:hint="eastAsia" w:cs="宋体"/>
          <w:color w:val="auto"/>
          <w:highlight w:val="none"/>
          <w:u w:val="single"/>
        </w:rPr>
        <w:t xml:space="preserve">    </w:t>
      </w:r>
      <w:r>
        <w:rPr>
          <w:rFonts w:hint="eastAsia" w:cs="宋体"/>
          <w:b/>
          <w:color w:val="auto"/>
          <w:highlight w:val="none"/>
          <w:u w:val="single"/>
        </w:rPr>
        <w:t>(说明：填写“没有”或“有”)</w:t>
      </w:r>
      <w:r>
        <w:rPr>
          <w:rFonts w:hint="eastAsia" w:cs="宋体"/>
          <w:color w:val="auto"/>
          <w:highlight w:val="none"/>
        </w:rPr>
        <w:t>重大违法记录(供应商成立不足三年的，从成立之日起计算)；</w:t>
      </w:r>
    </w:p>
    <w:p>
      <w:pPr>
        <w:pStyle w:val="38"/>
        <w:numPr>
          <w:ilvl w:val="2"/>
          <w:numId w:val="0"/>
        </w:numPr>
        <w:spacing w:line="520" w:lineRule="exact"/>
        <w:ind w:left="480" w:leftChars="200"/>
        <w:rPr>
          <w:rFonts w:cs="宋体"/>
          <w:color w:val="auto"/>
          <w:highlight w:val="none"/>
        </w:rPr>
      </w:pPr>
      <w:r>
        <w:rPr>
          <w:rFonts w:hint="eastAsia" w:cs="宋体"/>
          <w:color w:val="auto"/>
          <w:highlight w:val="none"/>
        </w:rPr>
        <w:t>5.公司公司</w:t>
      </w:r>
      <w:r>
        <w:rPr>
          <w:rFonts w:hint="eastAsia" w:cs="宋体"/>
          <w:color w:val="auto"/>
          <w:highlight w:val="none"/>
          <w:u w:val="single"/>
        </w:rPr>
        <w:t xml:space="preserve">    </w:t>
      </w:r>
      <w:r>
        <w:rPr>
          <w:rFonts w:hint="eastAsia" w:cs="宋体"/>
          <w:b/>
          <w:color w:val="auto"/>
          <w:highlight w:val="none"/>
          <w:u w:val="single"/>
        </w:rPr>
        <w:t>(说明：填写“符合”或“不符合”)</w:t>
      </w:r>
      <w:r>
        <w:rPr>
          <w:rFonts w:hint="eastAsia" w:cs="宋体"/>
          <w:color w:val="auto"/>
          <w:highlight w:val="none"/>
        </w:rPr>
        <w:t>法律、行政法规规定的其他条件；</w:t>
      </w:r>
    </w:p>
    <w:p>
      <w:pPr>
        <w:pStyle w:val="38"/>
        <w:numPr>
          <w:ilvl w:val="2"/>
          <w:numId w:val="0"/>
        </w:numPr>
        <w:spacing w:line="520" w:lineRule="exact"/>
        <w:ind w:firstLine="480" w:firstLineChars="200"/>
        <w:rPr>
          <w:color w:val="auto"/>
          <w:highlight w:val="none"/>
        </w:rPr>
      </w:pPr>
      <w:r>
        <w:rPr>
          <w:rFonts w:hint="eastAsia" w:cs="宋体"/>
          <w:color w:val="auto"/>
          <w:highlight w:val="none"/>
        </w:rPr>
        <w:t>6.我公司</w:t>
      </w:r>
      <w:r>
        <w:rPr>
          <w:rFonts w:hint="eastAsia" w:cs="宋体"/>
          <w:color w:val="auto"/>
          <w:highlight w:val="none"/>
          <w:u w:val="single"/>
        </w:rPr>
        <w:t xml:space="preserve">      </w:t>
      </w:r>
      <w:r>
        <w:rPr>
          <w:rFonts w:hint="eastAsia" w:cs="宋体"/>
          <w:b/>
          <w:color w:val="auto"/>
          <w:highlight w:val="none"/>
          <w:u w:val="single"/>
        </w:rPr>
        <w:t>(说明：填写“没有”或“有”)</w:t>
      </w:r>
      <w:r>
        <w:rPr>
          <w:rFonts w:hint="eastAsia" w:cs="宋体"/>
          <w:snapToGrid/>
          <w:color w:val="auto"/>
          <w:highlight w:val="none"/>
        </w:rPr>
        <w:t>与其他供应商组成联合体参加本次采购活动。</w:t>
      </w:r>
    </w:p>
    <w:p>
      <w:pPr>
        <w:pStyle w:val="48"/>
        <w:spacing w:line="520" w:lineRule="exact"/>
        <w:rPr>
          <w:color w:val="auto"/>
          <w:highlight w:val="none"/>
        </w:rPr>
      </w:pPr>
      <w:r>
        <w:rPr>
          <w:rFonts w:hint="eastAsia"/>
          <w:color w:val="auto"/>
          <w:highlight w:val="none"/>
        </w:rPr>
        <w:t>本公司对上述承诺的内容事项真实性、合法性负责。如经查实上述承诺的内容事项存在虚假，我公司自愿接受以提供虚假材料谋取成交所带来的所有法律责任。</w:t>
      </w:r>
    </w:p>
    <w:p>
      <w:pPr>
        <w:pStyle w:val="45"/>
        <w:rPr>
          <w:color w:val="auto"/>
          <w:highlight w:val="none"/>
        </w:rPr>
      </w:pPr>
    </w:p>
    <w:p>
      <w:pPr>
        <w:pStyle w:val="45"/>
        <w:rPr>
          <w:color w:val="auto"/>
          <w:highlight w:val="none"/>
        </w:rPr>
      </w:pPr>
    </w:p>
    <w:p>
      <w:pPr>
        <w:pStyle w:val="48"/>
        <w:rPr>
          <w:color w:val="auto"/>
          <w:highlight w:val="none"/>
        </w:rPr>
      </w:pPr>
      <w:r>
        <w:rPr>
          <w:rFonts w:hint="eastAsia"/>
          <w:color w:val="auto"/>
          <w:highlight w:val="none"/>
        </w:rPr>
        <w:t>供应商名称：</w:t>
      </w:r>
      <w:r>
        <w:rPr>
          <w:rFonts w:hint="eastAsia"/>
          <w:color w:val="auto"/>
          <w:highlight w:val="none"/>
          <w:u w:val="single"/>
        </w:rPr>
        <w:t xml:space="preserve">             </w:t>
      </w:r>
      <w:r>
        <w:rPr>
          <w:rFonts w:hint="eastAsia"/>
          <w:color w:val="auto"/>
          <w:highlight w:val="none"/>
        </w:rPr>
        <w:t>(盖章)</w:t>
      </w:r>
    </w:p>
    <w:p>
      <w:pPr>
        <w:pStyle w:val="48"/>
        <w:rPr>
          <w:color w:val="auto"/>
          <w:highlight w:val="none"/>
        </w:rPr>
      </w:pPr>
      <w:r>
        <w:rPr>
          <w:rFonts w:hint="eastAsia"/>
          <w:color w:val="auto"/>
          <w:highlight w:val="none"/>
        </w:rPr>
        <w:t>法定代表人/单位负责人或授权代表：</w:t>
      </w:r>
      <w:r>
        <w:rPr>
          <w:rFonts w:hint="eastAsia"/>
          <w:color w:val="auto"/>
          <w:highlight w:val="none"/>
          <w:u w:val="single"/>
        </w:rPr>
        <w:t xml:space="preserve">            </w:t>
      </w:r>
      <w:r>
        <w:rPr>
          <w:rFonts w:hint="eastAsia"/>
          <w:color w:val="auto"/>
          <w:highlight w:val="none"/>
        </w:rPr>
        <w:t>(签字或盖章)</w:t>
      </w:r>
    </w:p>
    <w:p>
      <w:pPr>
        <w:pStyle w:val="48"/>
        <w:rPr>
          <w:color w:val="auto"/>
          <w:highlight w:val="none"/>
        </w:rPr>
      </w:pPr>
      <w:r>
        <w:rPr>
          <w:rFonts w:hint="eastAsia"/>
          <w:color w:val="auto"/>
          <w:highlight w:val="none"/>
        </w:rPr>
        <w:t>谈判日期：</w:t>
      </w:r>
      <w:r>
        <w:rPr>
          <w:rFonts w:hint="eastAsia"/>
          <w:color w:val="auto"/>
          <w:highlight w:val="none"/>
          <w:u w:val="single"/>
        </w:rPr>
        <w:t xml:space="preserve">                </w:t>
      </w:r>
      <w:r>
        <w:rPr>
          <w:rFonts w:hint="eastAsia"/>
          <w:color w:val="auto"/>
          <w:highlight w:val="none"/>
        </w:rPr>
        <w:t xml:space="preserve">  </w:t>
      </w:r>
    </w:p>
    <w:p>
      <w:pPr>
        <w:pStyle w:val="49"/>
        <w:ind w:firstLine="482"/>
        <w:rPr>
          <w:color w:val="auto"/>
          <w:highlight w:val="none"/>
        </w:rPr>
      </w:pPr>
      <w:r>
        <w:rPr>
          <w:rFonts w:hint="eastAsia"/>
          <w:color w:val="auto"/>
          <w:highlight w:val="none"/>
        </w:rPr>
        <w:t>注：本部分所要求的承诺函可参照本格式或自拟格式填写均有效。</w:t>
      </w:r>
    </w:p>
    <w:p>
      <w:pPr>
        <w:rPr>
          <w:color w:val="auto"/>
          <w:highlight w:val="none"/>
        </w:rPr>
      </w:pPr>
      <w:r>
        <w:rPr>
          <w:rFonts w:hint="eastAsia"/>
          <w:color w:val="auto"/>
          <w:highlight w:val="none"/>
        </w:rPr>
        <w:br w:type="page"/>
      </w:r>
      <w:bookmarkStart w:id="266" w:name="_Toc18702"/>
    </w:p>
    <w:p>
      <w:pPr>
        <w:pStyle w:val="46"/>
        <w:numPr>
          <w:ilvl w:val="0"/>
          <w:numId w:val="29"/>
        </w:numPr>
        <w:spacing w:before="120" w:after="120"/>
        <w:ind w:firstLine="0"/>
        <w:rPr>
          <w:color w:val="auto"/>
          <w:highlight w:val="none"/>
        </w:rPr>
      </w:pPr>
      <w:bookmarkStart w:id="267" w:name="_Toc32118"/>
      <w:bookmarkStart w:id="268" w:name="_Toc10972"/>
      <w:bookmarkStart w:id="269" w:name="_Toc23401"/>
      <w:bookmarkStart w:id="270" w:name="_Toc68"/>
      <w:bookmarkStart w:id="271" w:name="_Toc9970"/>
      <w:bookmarkStart w:id="272" w:name="_Toc9275"/>
      <w:bookmarkStart w:id="273" w:name="_Toc550"/>
      <w:bookmarkStart w:id="274" w:name="_Toc29189"/>
      <w:r>
        <w:rPr>
          <w:rFonts w:hint="eastAsia"/>
          <w:color w:val="auto"/>
          <w:highlight w:val="none"/>
        </w:rPr>
        <w:t>提供有效的谈判保证金提交凭证</w:t>
      </w:r>
      <w:bookmarkEnd w:id="267"/>
      <w:bookmarkEnd w:id="268"/>
      <w:bookmarkEnd w:id="269"/>
      <w:bookmarkEnd w:id="270"/>
      <w:bookmarkEnd w:id="271"/>
      <w:bookmarkEnd w:id="272"/>
      <w:bookmarkEnd w:id="273"/>
      <w:bookmarkEnd w:id="274"/>
    </w:p>
    <w:p>
      <w:pPr>
        <w:pStyle w:val="48"/>
        <w:rPr>
          <w:b/>
          <w:bCs/>
          <w:color w:val="auto"/>
          <w:highlight w:val="none"/>
        </w:rPr>
      </w:pPr>
      <w:r>
        <w:rPr>
          <w:rFonts w:hint="eastAsia"/>
          <w:color w:val="auto"/>
          <w:highlight w:val="none"/>
        </w:rPr>
        <w:t>提交谈判保证金的银行回单复印件(若以保函方式提交谈判保证金的，提供保函原件)。</w:t>
      </w:r>
    </w:p>
    <w:p>
      <w:pPr>
        <w:rPr>
          <w:color w:val="auto"/>
          <w:highlight w:val="none"/>
        </w:rPr>
      </w:pPr>
    </w:p>
    <w:p>
      <w:pPr>
        <w:rPr>
          <w:color w:val="auto"/>
          <w:highlight w:val="none"/>
        </w:rPr>
      </w:pPr>
      <w:r>
        <w:rPr>
          <w:rFonts w:hint="eastAsia"/>
          <w:color w:val="auto"/>
          <w:highlight w:val="none"/>
        </w:rPr>
        <w:br w:type="page"/>
      </w: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45"/>
        <w:rPr>
          <w:color w:val="auto"/>
          <w:highlight w:val="none"/>
        </w:rPr>
      </w:pPr>
      <w:bookmarkStart w:id="275" w:name="_Toc14607"/>
    </w:p>
    <w:p>
      <w:pPr>
        <w:pStyle w:val="45"/>
        <w:rPr>
          <w:color w:val="auto"/>
          <w:highlight w:val="none"/>
        </w:rPr>
      </w:pPr>
    </w:p>
    <w:p>
      <w:pPr>
        <w:pStyle w:val="45"/>
        <w:rPr>
          <w:color w:val="auto"/>
          <w:highlight w:val="none"/>
        </w:rPr>
      </w:pPr>
    </w:p>
    <w:p>
      <w:pPr>
        <w:pStyle w:val="45"/>
        <w:rPr>
          <w:color w:val="auto"/>
          <w:highlight w:val="none"/>
        </w:rPr>
      </w:pPr>
    </w:p>
    <w:p>
      <w:pPr>
        <w:pStyle w:val="37"/>
        <w:numPr>
          <w:ilvl w:val="1"/>
          <w:numId w:val="0"/>
        </w:numPr>
        <w:jc w:val="center"/>
        <w:rPr>
          <w:color w:val="auto"/>
          <w:sz w:val="32"/>
          <w:szCs w:val="32"/>
          <w:highlight w:val="none"/>
        </w:rPr>
      </w:pPr>
      <w:bookmarkStart w:id="276" w:name="_Toc5524"/>
      <w:r>
        <w:rPr>
          <w:rFonts w:hint="eastAsia"/>
          <w:color w:val="auto"/>
          <w:sz w:val="32"/>
          <w:szCs w:val="32"/>
          <w:highlight w:val="none"/>
        </w:rPr>
        <w:t>第二部分 其他响应文件(格式)</w:t>
      </w:r>
      <w:bookmarkEnd w:id="275"/>
      <w:bookmarkEnd w:id="276"/>
    </w:p>
    <w:p>
      <w:pPr>
        <w:pStyle w:val="45"/>
        <w:rPr>
          <w:color w:val="auto"/>
          <w:highlight w:val="none"/>
        </w:rPr>
      </w:pPr>
      <w:bookmarkStart w:id="277" w:name="_Toc26038"/>
      <w:r>
        <w:rPr>
          <w:rFonts w:hint="eastAsia"/>
          <w:color w:val="auto"/>
          <w:highlight w:val="none"/>
        </w:rPr>
        <w:br w:type="page"/>
      </w:r>
    </w:p>
    <w:p>
      <w:pPr>
        <w:pStyle w:val="46"/>
        <w:numPr>
          <w:ilvl w:val="0"/>
          <w:numId w:val="30"/>
        </w:numPr>
        <w:spacing w:before="120" w:after="120"/>
        <w:ind w:firstLine="0"/>
        <w:rPr>
          <w:color w:val="auto"/>
          <w:highlight w:val="none"/>
        </w:rPr>
      </w:pPr>
      <w:bookmarkStart w:id="278" w:name="_Toc15380"/>
      <w:bookmarkStart w:id="279" w:name="_Toc2311"/>
      <w:r>
        <w:rPr>
          <w:rFonts w:hint="eastAsia"/>
          <w:color w:val="auto"/>
          <w:highlight w:val="none"/>
        </w:rPr>
        <w:t>谈判函</w:t>
      </w:r>
      <w:bookmarkEnd w:id="266"/>
      <w:bookmarkEnd w:id="277"/>
      <w:bookmarkEnd w:id="278"/>
      <w:bookmarkEnd w:id="279"/>
    </w:p>
    <w:p>
      <w:pPr>
        <w:pStyle w:val="45"/>
        <w:spacing w:line="520" w:lineRule="exact"/>
        <w:rPr>
          <w:color w:val="auto"/>
          <w:highlight w:val="none"/>
          <w:lang w:val="zh-CN"/>
        </w:rPr>
      </w:pPr>
      <w:r>
        <w:rPr>
          <w:rFonts w:hint="eastAsia"/>
          <w:color w:val="auto"/>
          <w:highlight w:val="none"/>
          <w:lang w:val="zh-CN"/>
        </w:rPr>
        <w:t>致：四川乾新招投标代理有限公司　</w:t>
      </w:r>
    </w:p>
    <w:p>
      <w:pPr>
        <w:pStyle w:val="48"/>
        <w:spacing w:line="520" w:lineRule="exact"/>
        <w:rPr>
          <w:color w:val="auto"/>
          <w:highlight w:val="none"/>
        </w:rPr>
      </w:pPr>
      <w:r>
        <w:rPr>
          <w:rFonts w:hint="eastAsia"/>
          <w:color w:val="auto"/>
          <w:highlight w:val="none"/>
        </w:rPr>
        <w:t>我方全面研究了“</w:t>
      </w:r>
      <w:r>
        <w:rPr>
          <w:rFonts w:hint="eastAsia"/>
          <w:color w:val="auto"/>
          <w:highlight w:val="none"/>
          <w:u w:val="single"/>
        </w:rPr>
        <w:t xml:space="preserve">               </w:t>
      </w:r>
      <w:r>
        <w:rPr>
          <w:rFonts w:hint="eastAsia"/>
          <w:color w:val="auto"/>
          <w:highlight w:val="none"/>
        </w:rPr>
        <w:t>(项目名称)(项目编号：</w:t>
      </w:r>
      <w:r>
        <w:rPr>
          <w:rFonts w:hint="eastAsia"/>
          <w:color w:val="auto"/>
          <w:highlight w:val="none"/>
          <w:u w:val="single"/>
        </w:rPr>
        <w:t xml:space="preserve">               </w:t>
      </w:r>
      <w:r>
        <w:rPr>
          <w:rFonts w:hint="eastAsia"/>
          <w:color w:val="auto"/>
          <w:highlight w:val="none"/>
        </w:rPr>
        <w:t>)”的谈判文件，决定参加贵单位组织的本项目谈判。我方授权</w:t>
      </w:r>
      <w:r>
        <w:rPr>
          <w:rFonts w:hint="eastAsia"/>
          <w:color w:val="auto"/>
          <w:highlight w:val="none"/>
          <w:u w:val="single"/>
        </w:rPr>
        <w:t xml:space="preserve">               </w:t>
      </w:r>
      <w:r>
        <w:rPr>
          <w:rFonts w:hint="eastAsia"/>
          <w:color w:val="auto"/>
          <w:highlight w:val="none"/>
        </w:rPr>
        <w:t>(姓名、职务)代表我方</w:t>
      </w:r>
      <w:r>
        <w:rPr>
          <w:rFonts w:hint="eastAsia"/>
          <w:color w:val="auto"/>
          <w:highlight w:val="none"/>
          <w:u w:val="single"/>
        </w:rPr>
        <w:t xml:space="preserve">               </w:t>
      </w:r>
      <w:r>
        <w:rPr>
          <w:rFonts w:hint="eastAsia"/>
          <w:color w:val="auto"/>
          <w:highlight w:val="none"/>
        </w:rPr>
        <w:t>(供应商名称)全权处理本项目谈判的有关事宜。</w:t>
      </w:r>
    </w:p>
    <w:p>
      <w:pPr>
        <w:pStyle w:val="38"/>
        <w:numPr>
          <w:ilvl w:val="2"/>
          <w:numId w:val="31"/>
        </w:numPr>
        <w:spacing w:line="520" w:lineRule="exact"/>
        <w:ind w:firstLine="480"/>
        <w:rPr>
          <w:color w:val="auto"/>
          <w:highlight w:val="none"/>
        </w:rPr>
      </w:pPr>
      <w:r>
        <w:rPr>
          <w:rFonts w:hint="eastAsia"/>
          <w:color w:val="auto"/>
          <w:highlight w:val="none"/>
        </w:rPr>
        <w:t>我方自愿按照谈判文件规定的各项要求向采购人提供所需工程及相应服务，工期为</w:t>
      </w:r>
      <w:r>
        <w:rPr>
          <w:rFonts w:hint="eastAsia"/>
          <w:color w:val="auto"/>
          <w:highlight w:val="none"/>
          <w:u w:val="single"/>
        </w:rPr>
        <w:t xml:space="preserve">            </w:t>
      </w:r>
      <w:r>
        <w:rPr>
          <w:rFonts w:hint="eastAsia"/>
          <w:color w:val="auto"/>
          <w:highlight w:val="none"/>
        </w:rPr>
        <w:t>。</w:t>
      </w:r>
    </w:p>
    <w:p>
      <w:pPr>
        <w:pStyle w:val="38"/>
        <w:numPr>
          <w:ilvl w:val="2"/>
          <w:numId w:val="31"/>
        </w:numPr>
        <w:spacing w:line="520" w:lineRule="exact"/>
        <w:ind w:firstLine="480"/>
        <w:rPr>
          <w:color w:val="auto"/>
          <w:highlight w:val="none"/>
        </w:rPr>
      </w:pPr>
      <w:r>
        <w:rPr>
          <w:rFonts w:hint="eastAsia"/>
          <w:color w:val="auto"/>
          <w:highlight w:val="none"/>
        </w:rPr>
        <w:t>我方承诺：谈判有效期为</w:t>
      </w:r>
      <w:r>
        <w:rPr>
          <w:rFonts w:hint="eastAsia"/>
          <w:color w:val="auto"/>
          <w:highlight w:val="none"/>
          <w:u w:val="single"/>
        </w:rPr>
        <w:t xml:space="preserve">                    </w:t>
      </w:r>
      <w:r>
        <w:rPr>
          <w:rFonts w:hint="eastAsia"/>
          <w:color w:val="auto"/>
          <w:highlight w:val="none"/>
        </w:rPr>
        <w:t>，在此期间内不修改、撤销响应文件。</w:t>
      </w:r>
    </w:p>
    <w:p>
      <w:pPr>
        <w:pStyle w:val="38"/>
        <w:numPr>
          <w:ilvl w:val="2"/>
          <w:numId w:val="31"/>
        </w:numPr>
        <w:spacing w:line="520" w:lineRule="exact"/>
        <w:ind w:firstLine="480"/>
        <w:rPr>
          <w:color w:val="auto"/>
          <w:highlight w:val="none"/>
        </w:rPr>
      </w:pPr>
      <w:r>
        <w:rPr>
          <w:rFonts w:hint="eastAsia"/>
          <w:color w:val="auto"/>
          <w:highlight w:val="none"/>
        </w:rPr>
        <w:t>如我方成交：</w:t>
      </w:r>
    </w:p>
    <w:p>
      <w:pPr>
        <w:pStyle w:val="39"/>
        <w:spacing w:line="520" w:lineRule="exact"/>
        <w:ind w:firstLine="480"/>
        <w:rPr>
          <w:color w:val="auto"/>
          <w:highlight w:val="none"/>
        </w:rPr>
      </w:pPr>
      <w:r>
        <w:rPr>
          <w:rFonts w:hint="eastAsia"/>
          <w:color w:val="auto"/>
          <w:highlight w:val="none"/>
        </w:rPr>
        <w:t>我方承诺积极配合招标代理机构办理领取成交通知书事宜，同时在收到成交通知书后，在规定的期限内与采购人签订合同。</w:t>
      </w:r>
    </w:p>
    <w:p>
      <w:pPr>
        <w:pStyle w:val="39"/>
        <w:spacing w:line="520" w:lineRule="exact"/>
        <w:ind w:firstLine="480"/>
        <w:rPr>
          <w:color w:val="auto"/>
          <w:highlight w:val="none"/>
        </w:rPr>
      </w:pPr>
      <w:r>
        <w:rPr>
          <w:rFonts w:hint="eastAsia"/>
          <w:color w:val="auto"/>
          <w:highlight w:val="none"/>
        </w:rPr>
        <w:t>我方承诺按照谈判文件规定的金额和方式向采购人缴纳履约保证金。</w:t>
      </w:r>
    </w:p>
    <w:p>
      <w:pPr>
        <w:pStyle w:val="39"/>
        <w:spacing w:line="520" w:lineRule="exact"/>
        <w:ind w:firstLine="480"/>
        <w:rPr>
          <w:color w:val="auto"/>
          <w:highlight w:val="none"/>
        </w:rPr>
      </w:pPr>
      <w:r>
        <w:rPr>
          <w:rFonts w:hint="eastAsia"/>
          <w:color w:val="auto"/>
          <w:highlight w:val="none"/>
        </w:rPr>
        <w:t>我方将严格履行采购合同规定的责任和义务。</w:t>
      </w:r>
    </w:p>
    <w:p>
      <w:pPr>
        <w:pStyle w:val="39"/>
        <w:spacing w:line="520" w:lineRule="exact"/>
        <w:ind w:firstLine="480"/>
        <w:rPr>
          <w:color w:val="auto"/>
          <w:highlight w:val="none"/>
        </w:rPr>
      </w:pPr>
      <w:r>
        <w:rPr>
          <w:rFonts w:hint="eastAsia"/>
          <w:color w:val="auto"/>
          <w:highlight w:val="none"/>
        </w:rPr>
        <w:t>我方愿意提供贵单位可能另外要求的，与谈判报价有关的文件资料，并保证我方已提供和将要提供的文件资料是真实、准确的。</w:t>
      </w:r>
    </w:p>
    <w:p>
      <w:pPr>
        <w:pStyle w:val="39"/>
        <w:spacing w:line="520" w:lineRule="exact"/>
        <w:ind w:firstLine="480"/>
        <w:rPr>
          <w:color w:val="auto"/>
          <w:highlight w:val="none"/>
        </w:rPr>
      </w:pPr>
      <w:r>
        <w:rPr>
          <w:rFonts w:hint="eastAsia"/>
          <w:color w:val="auto"/>
          <w:highlight w:val="none"/>
        </w:rPr>
        <w:t>我方自愿按照谈判文件规定的各项要求完成采购项目，最后报价以《最后报价表》为准，接受采购人按照采购合同约定金额支付采购资金。</w:t>
      </w:r>
    </w:p>
    <w:p>
      <w:pPr>
        <w:pStyle w:val="38"/>
        <w:numPr>
          <w:ilvl w:val="2"/>
          <w:numId w:val="0"/>
        </w:numPr>
        <w:spacing w:line="520" w:lineRule="exact"/>
        <w:ind w:firstLine="480" w:firstLineChars="200"/>
        <w:rPr>
          <w:color w:val="auto"/>
          <w:highlight w:val="none"/>
        </w:rPr>
      </w:pPr>
      <w:r>
        <w:rPr>
          <w:rFonts w:hint="eastAsia"/>
          <w:color w:val="auto"/>
          <w:highlight w:val="none"/>
        </w:rPr>
        <w:t>4.我方在参加本次采购活动中，涉及的询问、邮寄(快递)成交通知书等采购相关文书资料送达地址为：</w:t>
      </w:r>
      <w:r>
        <w:rPr>
          <w:rFonts w:hint="eastAsia"/>
          <w:color w:val="auto"/>
          <w:highlight w:val="none"/>
          <w:u w:val="single"/>
        </w:rPr>
        <w:t xml:space="preserve">                                     </w:t>
      </w:r>
      <w:r>
        <w:rPr>
          <w:rFonts w:hint="eastAsia"/>
          <w:color w:val="auto"/>
          <w:highlight w:val="none"/>
        </w:rPr>
        <w:t>；联系人：</w:t>
      </w:r>
      <w:r>
        <w:rPr>
          <w:rFonts w:hint="eastAsia"/>
          <w:color w:val="auto"/>
          <w:highlight w:val="none"/>
          <w:u w:val="single"/>
        </w:rPr>
        <w:t xml:space="preserve">           </w:t>
      </w:r>
      <w:r>
        <w:rPr>
          <w:rFonts w:hint="eastAsia"/>
          <w:color w:val="auto"/>
          <w:highlight w:val="none"/>
        </w:rPr>
        <w:t>；联系电话：</w:t>
      </w:r>
      <w:r>
        <w:rPr>
          <w:rFonts w:hint="eastAsia"/>
          <w:color w:val="auto"/>
          <w:highlight w:val="none"/>
          <w:u w:val="single"/>
        </w:rPr>
        <w:t xml:space="preserve">            </w:t>
      </w:r>
      <w:r>
        <w:rPr>
          <w:rFonts w:hint="eastAsia"/>
          <w:color w:val="auto"/>
          <w:highlight w:val="none"/>
        </w:rPr>
        <w:t>，如在采购结果公告发布前变更送达地址的，将及时以书面方式告知贵公司。</w:t>
      </w:r>
    </w:p>
    <w:p>
      <w:pPr>
        <w:pStyle w:val="38"/>
        <w:numPr>
          <w:ilvl w:val="2"/>
          <w:numId w:val="0"/>
        </w:numPr>
        <w:spacing w:line="520" w:lineRule="exact"/>
        <w:ind w:firstLine="480" w:firstLineChars="200"/>
        <w:rPr>
          <w:color w:val="auto"/>
          <w:highlight w:val="none"/>
        </w:rPr>
      </w:pPr>
      <w:r>
        <w:rPr>
          <w:rFonts w:hint="eastAsia"/>
          <w:color w:val="auto"/>
          <w:highlight w:val="none"/>
        </w:rPr>
        <w:t>4.1我方承诺：如未提供自己的送达地址，经招标代理机构告知后仍不提供的，自然人以其户籍登记中的住所地为送达地址;法人或者其他组织以其工商登记或者其他依法登记、备案中的住所地为送达地址。</w:t>
      </w:r>
    </w:p>
    <w:p>
      <w:pPr>
        <w:pStyle w:val="38"/>
        <w:numPr>
          <w:ilvl w:val="2"/>
          <w:numId w:val="0"/>
        </w:numPr>
        <w:spacing w:line="520" w:lineRule="exact"/>
        <w:ind w:firstLine="480" w:firstLineChars="200"/>
        <w:rPr>
          <w:color w:val="auto"/>
          <w:highlight w:val="none"/>
        </w:rPr>
      </w:pPr>
      <w:r>
        <w:rPr>
          <w:rFonts w:hint="eastAsia"/>
          <w:color w:val="auto"/>
          <w:highlight w:val="none"/>
        </w:rPr>
        <w:t>4.2因我方提供的送达地址不准确、拒不提供送达地址、送达地址变更未及时告知招标代理机构、受送达人本人或者受送达人指定的代收人拒绝签收，导致采购文书等资料未能被受送达人实际接收的，采购文书退回之日视为送达之日。邮寄送达的，邮件回执上注明的退回之日视为送达之日；直接送达的，送达人当场在送达回执上签收之日视为送达之日。</w:t>
      </w:r>
    </w:p>
    <w:p>
      <w:pPr>
        <w:pStyle w:val="38"/>
        <w:numPr>
          <w:ilvl w:val="2"/>
          <w:numId w:val="0"/>
        </w:numPr>
        <w:spacing w:line="520" w:lineRule="exact"/>
        <w:ind w:firstLine="480" w:firstLineChars="200"/>
        <w:rPr>
          <w:color w:val="auto"/>
          <w:highlight w:val="none"/>
          <w:lang w:val="zh-CN"/>
        </w:rPr>
      </w:pPr>
      <w:r>
        <w:rPr>
          <w:rFonts w:hint="eastAsia"/>
          <w:color w:val="auto"/>
          <w:highlight w:val="none"/>
        </w:rPr>
        <w:t>5.参照</w:t>
      </w:r>
      <w:r>
        <w:rPr>
          <w:rFonts w:hint="eastAsia"/>
          <w:color w:val="auto"/>
          <w:highlight w:val="none"/>
          <w:lang w:val="zh-CN"/>
        </w:rPr>
        <w:t>《中华人民共和国政府采购法实施条例》第四十三条的规定，公告内容应当包括主要中标标的的名称、规格型号、数量、单价、服务要求以及评审专家名单。</w:t>
      </w:r>
      <w:r>
        <w:rPr>
          <w:rFonts w:hint="eastAsia"/>
          <w:color w:val="auto"/>
          <w:highlight w:val="none"/>
        </w:rPr>
        <w:t>我方已</w:t>
      </w:r>
      <w:r>
        <w:rPr>
          <w:rFonts w:hint="eastAsia"/>
          <w:color w:val="auto"/>
          <w:highlight w:val="none"/>
          <w:lang w:val="zh-CN"/>
        </w:rPr>
        <w:t>将</w:t>
      </w:r>
      <w:r>
        <w:rPr>
          <w:rFonts w:hint="eastAsia"/>
          <w:color w:val="auto"/>
          <w:highlight w:val="none"/>
        </w:rPr>
        <w:t>响应</w:t>
      </w:r>
      <w:r>
        <w:rPr>
          <w:rFonts w:hint="eastAsia"/>
          <w:color w:val="auto"/>
          <w:highlight w:val="none"/>
          <w:lang w:val="zh-CN"/>
        </w:rPr>
        <w:t>文件中涉及商业秘密和知识产权的内容进行标注和说明。若未进行标注和说明的，视为全部内容均可公布，采购人或者采购代理机构对此不承担任何责任。</w:t>
      </w:r>
    </w:p>
    <w:p>
      <w:pPr>
        <w:pStyle w:val="38"/>
        <w:numPr>
          <w:ilvl w:val="2"/>
          <w:numId w:val="0"/>
        </w:numPr>
        <w:spacing w:line="520" w:lineRule="exact"/>
        <w:ind w:firstLine="480" w:firstLineChars="200"/>
        <w:rPr>
          <w:color w:val="auto"/>
          <w:highlight w:val="none"/>
        </w:rPr>
      </w:pPr>
      <w:r>
        <w:rPr>
          <w:rFonts w:hint="eastAsia"/>
          <w:color w:val="auto"/>
          <w:highlight w:val="none"/>
        </w:rPr>
        <w:t>6.我方</w:t>
      </w:r>
      <w:r>
        <w:rPr>
          <w:rFonts w:hint="eastAsia"/>
          <w:color w:val="auto"/>
          <w:highlight w:val="none"/>
          <w:u w:val="single"/>
        </w:rPr>
        <w:t xml:space="preserve">      </w:t>
      </w:r>
      <w:r>
        <w:rPr>
          <w:rFonts w:hint="eastAsia"/>
          <w:color w:val="auto"/>
          <w:highlight w:val="none"/>
        </w:rPr>
        <w:t>(“有”或“没有”)《关于对政府采购领域严重违法失信主体开展联合惩戒的合作备忘录》的通知(发改财金〔2018〕1614号)、</w:t>
      </w:r>
      <w:r>
        <w:rPr>
          <w:color w:val="auto"/>
          <w:highlight w:val="none"/>
        </w:rPr>
        <w:fldChar w:fldCharType="begin"/>
      </w:r>
      <w:r>
        <w:rPr>
          <w:color w:val="auto"/>
          <w:highlight w:val="none"/>
        </w:rPr>
        <w:instrText xml:space="preserve"> HYPERLINK "http://fgw.sc.gov.cn/sfgwsjd/c100029/2019/10/15/5344a76ba0804c13be19f2313f85bf8f.shtml" \t "http://fgw.sc.gov.cn/sfgwsjd/c100029/2019/10/15/_blank" \o "《四川省公共资源交易领域严重失信联合惩戒实施办法》政策解读" </w:instrText>
      </w:r>
      <w:r>
        <w:rPr>
          <w:color w:val="auto"/>
          <w:highlight w:val="none"/>
        </w:rPr>
        <w:fldChar w:fldCharType="separate"/>
      </w:r>
      <w:r>
        <w:rPr>
          <w:rFonts w:hint="eastAsia"/>
          <w:color w:val="auto"/>
          <w:highlight w:val="none"/>
        </w:rPr>
        <w:t>《四川省公共资源交易领域严重失信联合惩戒实施办法》</w:t>
      </w:r>
      <w:r>
        <w:rPr>
          <w:rFonts w:hint="eastAsia"/>
          <w:color w:val="auto"/>
          <w:highlight w:val="none"/>
        </w:rPr>
        <w:fldChar w:fldCharType="end"/>
      </w:r>
      <w:r>
        <w:rPr>
          <w:rFonts w:hint="eastAsia"/>
          <w:color w:val="auto"/>
          <w:highlight w:val="none"/>
        </w:rPr>
        <w:t>(川发改信用规〔2019〕405号)规定的记入诚信档案的严重失信行为。如有，请如实列举：1.2.3.</w:t>
      </w:r>
      <w:r>
        <w:rPr>
          <w:rFonts w:hint="eastAsia" w:ascii="微软雅黑" w:hAnsi="微软雅黑" w:eastAsia="微软雅黑" w:cs="微软雅黑"/>
          <w:color w:val="auto"/>
          <w:highlight w:val="none"/>
        </w:rPr>
        <w:t>……。</w:t>
      </w:r>
    </w:p>
    <w:p>
      <w:pPr>
        <w:pStyle w:val="38"/>
        <w:numPr>
          <w:ilvl w:val="2"/>
          <w:numId w:val="0"/>
        </w:numPr>
        <w:spacing w:line="520" w:lineRule="exact"/>
        <w:ind w:firstLine="480" w:firstLineChars="200"/>
        <w:rPr>
          <w:color w:val="auto"/>
          <w:highlight w:val="none"/>
        </w:rPr>
      </w:pPr>
      <w:r>
        <w:rPr>
          <w:rFonts w:hint="eastAsia"/>
          <w:color w:val="auto"/>
          <w:highlight w:val="none"/>
        </w:rPr>
        <w:t>7.我方如对谈判文件有异议，已经在响应文件递交截止时间届满前依法进行维权救济，不存在对谈判文件有异议的同时又参加谈判以求侥幸成交或者为实现其他非法目的的行为。</w:t>
      </w:r>
    </w:p>
    <w:p>
      <w:pPr>
        <w:pStyle w:val="45"/>
        <w:ind w:firstLine="480" w:firstLineChars="200"/>
        <w:rPr>
          <w:color w:val="auto"/>
          <w:highlight w:val="none"/>
        </w:rPr>
      </w:pPr>
    </w:p>
    <w:p>
      <w:pPr>
        <w:pStyle w:val="45"/>
        <w:ind w:firstLine="480" w:firstLineChars="200"/>
        <w:rPr>
          <w:color w:val="auto"/>
          <w:highlight w:val="none"/>
        </w:rPr>
      </w:pPr>
    </w:p>
    <w:p>
      <w:pPr>
        <w:pStyle w:val="45"/>
        <w:ind w:firstLine="480" w:firstLineChars="200"/>
        <w:rPr>
          <w:color w:val="auto"/>
          <w:highlight w:val="none"/>
        </w:rPr>
      </w:pPr>
      <w:r>
        <w:rPr>
          <w:rFonts w:hint="eastAsia"/>
          <w:color w:val="auto"/>
          <w:highlight w:val="none"/>
        </w:rPr>
        <w:t>供应商名称：</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(盖章)</w:t>
      </w:r>
    </w:p>
    <w:p>
      <w:pPr>
        <w:pStyle w:val="45"/>
        <w:ind w:firstLine="480" w:firstLineChars="200"/>
        <w:rPr>
          <w:color w:val="auto"/>
          <w:highlight w:val="none"/>
        </w:rPr>
      </w:pPr>
      <w:r>
        <w:rPr>
          <w:rFonts w:hint="eastAsia"/>
          <w:color w:val="auto"/>
          <w:highlight w:val="none"/>
        </w:rPr>
        <w:t>法定代表人/单位负责人或授权代表：</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(签字或盖章)</w:t>
      </w:r>
    </w:p>
    <w:p>
      <w:pPr>
        <w:pStyle w:val="45"/>
        <w:ind w:firstLine="480" w:firstLineChars="200"/>
        <w:rPr>
          <w:color w:val="auto"/>
          <w:highlight w:val="none"/>
        </w:rPr>
      </w:pPr>
      <w:r>
        <w:rPr>
          <w:rFonts w:hint="eastAsia"/>
          <w:color w:val="auto"/>
          <w:highlight w:val="none"/>
        </w:rPr>
        <w:t>邮政编码：</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 xml:space="preserve">               </w:t>
      </w:r>
    </w:p>
    <w:p>
      <w:pPr>
        <w:pStyle w:val="45"/>
        <w:ind w:firstLine="480" w:firstLineChars="200"/>
        <w:rPr>
          <w:color w:val="auto"/>
          <w:highlight w:val="none"/>
        </w:rPr>
      </w:pPr>
      <w:r>
        <w:rPr>
          <w:rFonts w:hint="eastAsia"/>
          <w:color w:val="auto"/>
          <w:highlight w:val="none"/>
        </w:rPr>
        <w:t>联系人：</w:t>
      </w:r>
      <w:r>
        <w:rPr>
          <w:rFonts w:hint="eastAsia" w:cs="宋体"/>
          <w:bCs/>
          <w:color w:val="auto"/>
          <w:highlight w:val="none"/>
          <w:u w:val="single"/>
        </w:rPr>
        <w:t xml:space="preserve">                 </w:t>
      </w:r>
    </w:p>
    <w:p>
      <w:pPr>
        <w:pStyle w:val="45"/>
        <w:ind w:firstLine="480" w:firstLineChars="200"/>
        <w:rPr>
          <w:color w:val="auto"/>
          <w:highlight w:val="none"/>
        </w:rPr>
      </w:pPr>
      <w:r>
        <w:rPr>
          <w:rFonts w:hint="eastAsia"/>
          <w:color w:val="auto"/>
          <w:highlight w:val="none"/>
        </w:rPr>
        <w:t>联系电话：</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 xml:space="preserve">               </w:t>
      </w:r>
    </w:p>
    <w:p>
      <w:pPr>
        <w:pStyle w:val="45"/>
        <w:ind w:firstLine="480" w:firstLineChars="200"/>
        <w:rPr>
          <w:color w:val="auto"/>
          <w:highlight w:val="none"/>
        </w:rPr>
      </w:pPr>
      <w:r>
        <w:rPr>
          <w:rFonts w:hint="eastAsia"/>
          <w:color w:val="auto"/>
          <w:highlight w:val="none"/>
        </w:rPr>
        <w:t>谈判日期：</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 xml:space="preserve">               </w:t>
      </w:r>
    </w:p>
    <w:p>
      <w:pPr>
        <w:rPr>
          <w:color w:val="auto"/>
          <w:highlight w:val="none"/>
        </w:rPr>
      </w:pPr>
      <w:bookmarkStart w:id="280" w:name="_Toc302997926"/>
      <w:bookmarkStart w:id="281" w:name="_Toc10493"/>
      <w:bookmarkStart w:id="282" w:name="_Toc6982"/>
      <w:bookmarkStart w:id="283" w:name="_Toc439161752"/>
      <w:bookmarkStart w:id="284" w:name="_Toc3690"/>
      <w:bookmarkStart w:id="285" w:name="_Toc5912"/>
      <w:r>
        <w:rPr>
          <w:rFonts w:hint="eastAsia"/>
          <w:color w:val="auto"/>
          <w:highlight w:val="none"/>
        </w:rPr>
        <w:br w:type="page"/>
      </w:r>
    </w:p>
    <w:p>
      <w:pPr>
        <w:pStyle w:val="46"/>
        <w:numPr>
          <w:ilvl w:val="0"/>
          <w:numId w:val="30"/>
        </w:numPr>
        <w:spacing w:before="120" w:after="120"/>
        <w:ind w:firstLine="0"/>
        <w:rPr>
          <w:color w:val="auto"/>
          <w:highlight w:val="none"/>
        </w:rPr>
      </w:pPr>
      <w:bookmarkStart w:id="286" w:name="_Toc3509"/>
      <w:bookmarkStart w:id="287" w:name="_Toc18667"/>
      <w:r>
        <w:rPr>
          <w:rFonts w:hint="eastAsia"/>
          <w:color w:val="auto"/>
          <w:highlight w:val="none"/>
        </w:rPr>
        <w:t>承诺函(实质性要求</w:t>
      </w:r>
      <w:bookmarkEnd w:id="286"/>
      <w:r>
        <w:rPr>
          <w:rFonts w:hint="eastAsia"/>
          <w:color w:val="auto"/>
          <w:highlight w:val="none"/>
        </w:rPr>
        <w:t>)</w:t>
      </w:r>
      <w:bookmarkEnd w:id="287"/>
    </w:p>
    <w:p>
      <w:pPr>
        <w:pStyle w:val="45"/>
        <w:spacing w:line="520" w:lineRule="exact"/>
        <w:rPr>
          <w:color w:val="auto"/>
          <w:highlight w:val="none"/>
        </w:rPr>
      </w:pPr>
      <w:r>
        <w:rPr>
          <w:rFonts w:hint="eastAsia"/>
          <w:color w:val="auto"/>
          <w:highlight w:val="none"/>
          <w:u w:val="single"/>
        </w:rPr>
        <w:t xml:space="preserve">                   </w:t>
      </w:r>
      <w:r>
        <w:rPr>
          <w:rFonts w:hint="eastAsia"/>
          <w:color w:val="auto"/>
          <w:highlight w:val="none"/>
        </w:rPr>
        <w:t>(采购代理机构名称)：</w:t>
      </w:r>
    </w:p>
    <w:p>
      <w:pPr>
        <w:pStyle w:val="48"/>
        <w:spacing w:line="520" w:lineRule="exact"/>
        <w:rPr>
          <w:color w:val="auto"/>
          <w:highlight w:val="none"/>
        </w:rPr>
      </w:pPr>
      <w:r>
        <w:rPr>
          <w:rFonts w:hint="eastAsia"/>
          <w:color w:val="auto"/>
          <w:highlight w:val="none"/>
        </w:rPr>
        <w:t>我方作为本次采购项目的供应商，根据谈判文件要求，现郑重承诺及声明如下：</w:t>
      </w:r>
    </w:p>
    <w:p>
      <w:pPr>
        <w:pStyle w:val="38"/>
        <w:numPr>
          <w:ilvl w:val="2"/>
          <w:numId w:val="32"/>
        </w:numPr>
        <w:spacing w:line="520" w:lineRule="exact"/>
        <w:ind w:firstLine="480"/>
        <w:rPr>
          <w:color w:val="auto"/>
          <w:highlight w:val="none"/>
        </w:rPr>
      </w:pPr>
      <w:r>
        <w:rPr>
          <w:rFonts w:hint="eastAsia"/>
          <w:color w:val="auto"/>
          <w:highlight w:val="none"/>
        </w:rPr>
        <w:t>我方已认真阅读并</w:t>
      </w:r>
      <w:r>
        <w:rPr>
          <w:rFonts w:hint="eastAsia" w:cs="宋体"/>
          <w:color w:val="auto"/>
          <w:highlight w:val="none"/>
          <w:u w:val="single"/>
        </w:rPr>
        <w:t xml:space="preserve">    </w:t>
      </w:r>
      <w:r>
        <w:rPr>
          <w:rFonts w:hint="eastAsia" w:cs="宋体"/>
          <w:b/>
          <w:color w:val="auto"/>
          <w:highlight w:val="none"/>
          <w:u w:val="single"/>
        </w:rPr>
        <w:t>(说明：填写“接受”或“不接受”)</w:t>
      </w:r>
      <w:r>
        <w:rPr>
          <w:rFonts w:hint="eastAsia"/>
          <w:color w:val="auto"/>
          <w:highlight w:val="none"/>
        </w:rPr>
        <w:t>本项目谈判文件的全部实质性要求(谈判文件中明确要求需在响应时提供承诺函或具体证明材料进行响应的实质性要求除外)。</w:t>
      </w:r>
    </w:p>
    <w:p>
      <w:pPr>
        <w:pStyle w:val="38"/>
        <w:numPr>
          <w:ilvl w:val="2"/>
          <w:numId w:val="32"/>
        </w:numPr>
        <w:spacing w:line="520" w:lineRule="exact"/>
        <w:ind w:firstLine="480"/>
        <w:rPr>
          <w:color w:val="auto"/>
          <w:highlight w:val="none"/>
        </w:rPr>
      </w:pPr>
      <w:r>
        <w:rPr>
          <w:rFonts w:hint="eastAsia"/>
          <w:color w:val="auto"/>
          <w:highlight w:val="none"/>
        </w:rPr>
        <w:t>我方参加本次采购活动，</w:t>
      </w:r>
      <w:r>
        <w:rPr>
          <w:rFonts w:hint="eastAsia" w:cs="宋体"/>
          <w:color w:val="auto"/>
          <w:highlight w:val="none"/>
          <w:u w:val="single"/>
        </w:rPr>
        <w:t xml:space="preserve">   </w:t>
      </w:r>
      <w:r>
        <w:rPr>
          <w:rFonts w:hint="eastAsia" w:cs="宋体"/>
          <w:b/>
          <w:color w:val="auto"/>
          <w:highlight w:val="none"/>
          <w:u w:val="single"/>
        </w:rPr>
        <w:t>(说明：填写“不存在”或“存在”)</w:t>
      </w:r>
      <w:r>
        <w:rPr>
          <w:rFonts w:hint="eastAsia"/>
          <w:color w:val="auto"/>
          <w:highlight w:val="none"/>
        </w:rPr>
        <w:t>与单位负责人为同一人或者存在直接控股、管理关系的其他供应商参与同一合同项下的采购活动的行为。</w:t>
      </w:r>
      <w:r>
        <w:rPr>
          <w:rFonts w:hint="eastAsia" w:cs="宋体"/>
          <w:bCs/>
          <w:color w:val="auto"/>
          <w:highlight w:val="none"/>
        </w:rPr>
        <w:t>与我方单位负责人为同一人的单位为：</w:t>
      </w:r>
      <w:r>
        <w:rPr>
          <w:rFonts w:hint="eastAsia" w:cs="宋体"/>
          <w:b/>
          <w:color w:val="auto"/>
          <w:highlight w:val="none"/>
          <w:u w:val="single"/>
        </w:rPr>
        <w:t xml:space="preserve">      (说明：填写“无”或“供应商名称)</w:t>
      </w:r>
      <w:r>
        <w:rPr>
          <w:rFonts w:hint="eastAsia" w:cs="宋体"/>
          <w:bCs/>
          <w:color w:val="auto"/>
          <w:highlight w:val="none"/>
        </w:rPr>
        <w:t>；与我方存在直接控股关系的单位为</w:t>
      </w:r>
      <w:r>
        <w:rPr>
          <w:rFonts w:hint="eastAsia" w:cs="宋体"/>
          <w:b/>
          <w:color w:val="auto"/>
          <w:highlight w:val="none"/>
          <w:u w:val="single"/>
        </w:rPr>
        <w:t>：    (说明：填写“无”或“供应商名称)</w:t>
      </w:r>
      <w:r>
        <w:rPr>
          <w:rFonts w:hint="eastAsia" w:cs="宋体"/>
          <w:b/>
          <w:color w:val="auto"/>
          <w:highlight w:val="none"/>
        </w:rPr>
        <w:t>；</w:t>
      </w:r>
      <w:r>
        <w:rPr>
          <w:rFonts w:hint="eastAsia" w:cs="宋体"/>
          <w:bCs/>
          <w:color w:val="auto"/>
          <w:highlight w:val="none"/>
        </w:rPr>
        <w:t>存在管理关系的单位为：</w:t>
      </w:r>
      <w:r>
        <w:rPr>
          <w:rFonts w:hint="eastAsia" w:cs="宋体"/>
          <w:b/>
          <w:color w:val="auto"/>
          <w:highlight w:val="none"/>
          <w:u w:val="single"/>
        </w:rPr>
        <w:t xml:space="preserve">      (说明：填写“无”或“供应商名称)</w:t>
      </w:r>
      <w:r>
        <w:rPr>
          <w:rFonts w:hint="eastAsia"/>
          <w:color w:val="auto"/>
          <w:highlight w:val="none"/>
        </w:rPr>
        <w:t>。</w:t>
      </w:r>
    </w:p>
    <w:p>
      <w:pPr>
        <w:pStyle w:val="38"/>
        <w:numPr>
          <w:ilvl w:val="2"/>
          <w:numId w:val="32"/>
        </w:numPr>
        <w:spacing w:line="520" w:lineRule="exact"/>
        <w:ind w:firstLine="480"/>
        <w:rPr>
          <w:color w:val="auto"/>
          <w:highlight w:val="none"/>
        </w:rPr>
      </w:pPr>
      <w:r>
        <w:rPr>
          <w:rFonts w:hint="eastAsia"/>
          <w:color w:val="auto"/>
          <w:highlight w:val="none"/>
        </w:rPr>
        <w:t>我方参加本次采购活动前本单位未对本次采购项目</w:t>
      </w:r>
      <w:r>
        <w:rPr>
          <w:rFonts w:hint="eastAsia" w:cs="宋体"/>
          <w:b/>
          <w:bCs/>
          <w:color w:val="auto"/>
          <w:highlight w:val="none"/>
          <w:u w:val="single"/>
        </w:rPr>
        <w:t xml:space="preserve">     </w:t>
      </w:r>
      <w:r>
        <w:rPr>
          <w:rFonts w:hint="eastAsia" w:cs="宋体"/>
          <w:b/>
          <w:bCs/>
          <w:color w:val="auto"/>
          <w:highlight w:val="none"/>
          <w:u w:val="single"/>
          <w:lang w:val="zh-CN"/>
        </w:rPr>
        <w:t>(说明：填写“</w:t>
      </w:r>
      <w:r>
        <w:rPr>
          <w:rFonts w:hint="eastAsia" w:cs="宋体"/>
          <w:b/>
          <w:bCs/>
          <w:color w:val="auto"/>
          <w:highlight w:val="none"/>
          <w:u w:val="single"/>
        </w:rPr>
        <w:t>未</w:t>
      </w:r>
      <w:r>
        <w:rPr>
          <w:rFonts w:hint="eastAsia" w:cs="宋体"/>
          <w:b/>
          <w:bCs/>
          <w:color w:val="auto"/>
          <w:highlight w:val="none"/>
          <w:u w:val="single"/>
          <w:lang w:val="zh-CN"/>
        </w:rPr>
        <w:t>提供”或“提供”)</w:t>
      </w:r>
      <w:r>
        <w:rPr>
          <w:rFonts w:hint="eastAsia"/>
          <w:color w:val="auto"/>
          <w:highlight w:val="none"/>
        </w:rPr>
        <w:t>过整体设计、规范编制或者项目管理、监理、检测等服务。</w:t>
      </w:r>
    </w:p>
    <w:p>
      <w:pPr>
        <w:pStyle w:val="38"/>
        <w:numPr>
          <w:ilvl w:val="2"/>
          <w:numId w:val="32"/>
        </w:numPr>
        <w:spacing w:line="520" w:lineRule="exact"/>
        <w:ind w:firstLine="480"/>
        <w:rPr>
          <w:color w:val="auto"/>
          <w:highlight w:val="none"/>
        </w:rPr>
      </w:pPr>
      <w:r>
        <w:rPr>
          <w:rFonts w:hint="eastAsia"/>
          <w:color w:val="auto"/>
          <w:highlight w:val="none"/>
        </w:rPr>
        <w:t>我方参加本次采购活动，</w:t>
      </w:r>
      <w:r>
        <w:rPr>
          <w:rFonts w:hint="eastAsia" w:cs="宋体"/>
          <w:color w:val="auto"/>
          <w:highlight w:val="none"/>
          <w:u w:val="single"/>
        </w:rPr>
        <w:t xml:space="preserve">   </w:t>
      </w:r>
      <w:r>
        <w:rPr>
          <w:rFonts w:hint="eastAsia" w:cs="宋体"/>
          <w:b/>
          <w:color w:val="auto"/>
          <w:highlight w:val="none"/>
          <w:u w:val="single"/>
        </w:rPr>
        <w:t>(说明：填写“不存在”或“存在”)</w:t>
      </w:r>
      <w:r>
        <w:rPr>
          <w:rFonts w:hint="eastAsia"/>
          <w:color w:val="auto"/>
          <w:highlight w:val="none"/>
        </w:rPr>
        <w:t>我单位实际控制人或者中高级管理人员是本项目采购代理机构的工作人员的情形。</w:t>
      </w:r>
    </w:p>
    <w:p>
      <w:pPr>
        <w:pStyle w:val="38"/>
        <w:numPr>
          <w:ilvl w:val="2"/>
          <w:numId w:val="32"/>
        </w:numPr>
        <w:spacing w:line="520" w:lineRule="exact"/>
        <w:ind w:firstLine="480"/>
        <w:rPr>
          <w:color w:val="auto"/>
          <w:highlight w:val="none"/>
        </w:rPr>
      </w:pPr>
      <w:r>
        <w:rPr>
          <w:rFonts w:hint="eastAsia"/>
          <w:color w:val="auto"/>
          <w:highlight w:val="none"/>
        </w:rPr>
        <w:t>我方参加本次采购活动，</w:t>
      </w:r>
      <w:r>
        <w:rPr>
          <w:rFonts w:hint="eastAsia" w:cs="宋体"/>
          <w:color w:val="auto"/>
          <w:highlight w:val="none"/>
          <w:u w:val="single"/>
        </w:rPr>
        <w:t xml:space="preserve">   </w:t>
      </w:r>
      <w:r>
        <w:rPr>
          <w:rFonts w:hint="eastAsia" w:cs="宋体"/>
          <w:b/>
          <w:color w:val="auto"/>
          <w:highlight w:val="none"/>
          <w:u w:val="single"/>
        </w:rPr>
        <w:t>(说明：填写“不存在”或“存在”)</w:t>
      </w:r>
      <w:r>
        <w:rPr>
          <w:rFonts w:hint="eastAsia"/>
          <w:color w:val="auto"/>
          <w:highlight w:val="none"/>
        </w:rPr>
        <w:t>同一母公司的两家以上的子公司以不同供应商身份同时参加本项目同一合同项下的采购活动的情形。</w:t>
      </w:r>
    </w:p>
    <w:p>
      <w:pPr>
        <w:pStyle w:val="38"/>
        <w:numPr>
          <w:ilvl w:val="2"/>
          <w:numId w:val="32"/>
        </w:numPr>
        <w:spacing w:line="520" w:lineRule="exact"/>
        <w:ind w:firstLine="480"/>
        <w:rPr>
          <w:color w:val="auto"/>
          <w:highlight w:val="none"/>
        </w:rPr>
      </w:pPr>
      <w:r>
        <w:rPr>
          <w:rFonts w:hint="eastAsia"/>
          <w:color w:val="auto"/>
          <w:highlight w:val="none"/>
        </w:rPr>
        <w:t>我方参加本次采购活动，与采购代理机构</w:t>
      </w:r>
      <w:r>
        <w:rPr>
          <w:rFonts w:hint="eastAsia" w:cs="宋体"/>
          <w:color w:val="auto"/>
          <w:highlight w:val="none"/>
          <w:u w:val="single"/>
        </w:rPr>
        <w:t xml:space="preserve">   </w:t>
      </w:r>
      <w:r>
        <w:rPr>
          <w:rFonts w:hint="eastAsia" w:cs="宋体"/>
          <w:b/>
          <w:color w:val="auto"/>
          <w:highlight w:val="none"/>
          <w:u w:val="single"/>
        </w:rPr>
        <w:t>(说明：填写“不存在”或“存在”)</w:t>
      </w:r>
      <w:r>
        <w:rPr>
          <w:rFonts w:hint="eastAsia"/>
          <w:color w:val="auto"/>
          <w:highlight w:val="none"/>
        </w:rPr>
        <w:t>关联关系，</w:t>
      </w:r>
      <w:r>
        <w:rPr>
          <w:rFonts w:hint="eastAsia" w:cs="宋体"/>
          <w:color w:val="auto"/>
          <w:highlight w:val="none"/>
          <w:u w:val="single"/>
        </w:rPr>
        <w:t xml:space="preserve">  </w:t>
      </w:r>
      <w:r>
        <w:rPr>
          <w:rFonts w:hint="eastAsia" w:cs="宋体"/>
          <w:b/>
          <w:color w:val="auto"/>
          <w:highlight w:val="none"/>
          <w:u w:val="single"/>
        </w:rPr>
        <w:t>(说明：填写“不是”或“是”)</w:t>
      </w:r>
      <w:r>
        <w:rPr>
          <w:rFonts w:hint="eastAsia"/>
          <w:color w:val="auto"/>
          <w:highlight w:val="none"/>
        </w:rPr>
        <w:t>采购代理机构的母公司或子公司。</w:t>
      </w:r>
    </w:p>
    <w:p>
      <w:pPr>
        <w:pStyle w:val="38"/>
        <w:numPr>
          <w:ilvl w:val="2"/>
          <w:numId w:val="32"/>
        </w:numPr>
        <w:spacing w:line="520" w:lineRule="exact"/>
        <w:ind w:firstLine="480"/>
        <w:rPr>
          <w:color w:val="auto"/>
          <w:highlight w:val="none"/>
        </w:rPr>
      </w:pPr>
      <w:r>
        <w:rPr>
          <w:rFonts w:hint="eastAsia"/>
          <w:color w:val="auto"/>
          <w:highlight w:val="none"/>
        </w:rPr>
        <w:t>我方参加本次采购活动，</w:t>
      </w:r>
      <w:r>
        <w:rPr>
          <w:rFonts w:hint="eastAsia" w:cs="宋体"/>
          <w:color w:val="auto"/>
          <w:highlight w:val="none"/>
          <w:u w:val="single"/>
        </w:rPr>
        <w:t xml:space="preserve">   </w:t>
      </w:r>
      <w:r>
        <w:rPr>
          <w:rFonts w:hint="eastAsia" w:cs="宋体"/>
          <w:b/>
          <w:color w:val="auto"/>
          <w:highlight w:val="none"/>
          <w:u w:val="single"/>
        </w:rPr>
        <w:t>(说明：填写“不存在”或“存在”)</w:t>
      </w:r>
      <w:r>
        <w:rPr>
          <w:rFonts w:hint="eastAsia"/>
          <w:color w:val="auto"/>
          <w:highlight w:val="none"/>
        </w:rPr>
        <w:t>和其他供应商在同一合同项下的采购项目中，同时委托同一个自然人、同一家庭的人员、同一单位的人员作为代理人的行为。</w:t>
      </w:r>
    </w:p>
    <w:p>
      <w:pPr>
        <w:pStyle w:val="38"/>
        <w:numPr>
          <w:ilvl w:val="2"/>
          <w:numId w:val="32"/>
        </w:numPr>
        <w:spacing w:line="520" w:lineRule="exact"/>
        <w:ind w:firstLine="480"/>
        <w:rPr>
          <w:color w:val="auto"/>
          <w:highlight w:val="none"/>
        </w:rPr>
      </w:pPr>
      <w:r>
        <w:rPr>
          <w:rFonts w:hint="eastAsia" w:cs="宋体"/>
          <w:color w:val="auto"/>
          <w:highlight w:val="none"/>
        </w:rPr>
        <w:t>我单位的响应文件</w:t>
      </w:r>
      <w:r>
        <w:rPr>
          <w:rFonts w:hint="eastAsia" w:cs="宋体"/>
          <w:color w:val="auto"/>
          <w:highlight w:val="none"/>
          <w:lang w:val="zh-CN"/>
        </w:rPr>
        <w:t>编制</w:t>
      </w:r>
      <w:r>
        <w:rPr>
          <w:rFonts w:hint="eastAsia" w:cs="宋体"/>
          <w:color w:val="auto"/>
          <w:highlight w:val="none"/>
        </w:rPr>
        <w:t>单位和个人分别为：</w:t>
      </w:r>
      <w:r>
        <w:rPr>
          <w:rFonts w:hint="eastAsia" w:cs="宋体"/>
          <w:b/>
          <w:bCs/>
          <w:snapToGrid/>
          <w:color w:val="auto"/>
          <w:highlight w:val="none"/>
          <w:u w:val="single"/>
        </w:rPr>
        <w:t xml:space="preserve">    </w:t>
      </w:r>
      <w:r>
        <w:rPr>
          <w:rFonts w:hint="eastAsia" w:cs="宋体"/>
          <w:b/>
          <w:bCs/>
          <w:snapToGrid/>
          <w:color w:val="auto"/>
          <w:highlight w:val="none"/>
          <w:u w:val="single"/>
          <w:lang w:val="zh-CN"/>
        </w:rPr>
        <w:t>(说明：填写“</w:t>
      </w:r>
      <w:r>
        <w:rPr>
          <w:rFonts w:hint="eastAsia" w:cs="宋体"/>
          <w:b/>
          <w:bCs/>
          <w:color w:val="auto"/>
          <w:highlight w:val="none"/>
          <w:u w:val="single"/>
          <w:lang w:val="zh-CN"/>
        </w:rPr>
        <w:t>编制</w:t>
      </w:r>
      <w:r>
        <w:rPr>
          <w:rFonts w:hint="eastAsia" w:cs="宋体"/>
          <w:b/>
          <w:bCs/>
          <w:color w:val="auto"/>
          <w:highlight w:val="none"/>
          <w:u w:val="single"/>
        </w:rPr>
        <w:t>单位</w:t>
      </w:r>
      <w:r>
        <w:rPr>
          <w:rFonts w:hint="eastAsia" w:cs="宋体"/>
          <w:b/>
          <w:bCs/>
          <w:snapToGrid/>
          <w:color w:val="auto"/>
          <w:highlight w:val="none"/>
          <w:u w:val="single"/>
          <w:lang w:val="zh-CN"/>
        </w:rPr>
        <w:t>名称)；</w:t>
      </w:r>
      <w:r>
        <w:rPr>
          <w:rFonts w:hint="eastAsia" w:cs="宋体"/>
          <w:b/>
          <w:bCs/>
          <w:color w:val="auto"/>
          <w:highlight w:val="none"/>
          <w:u w:val="single"/>
        </w:rPr>
        <w:t xml:space="preserve">         (</w:t>
      </w:r>
      <w:r>
        <w:rPr>
          <w:rFonts w:hint="eastAsia" w:cs="宋体"/>
          <w:b/>
          <w:bCs/>
          <w:snapToGrid/>
          <w:color w:val="auto"/>
          <w:highlight w:val="none"/>
          <w:u w:val="single"/>
          <w:lang w:val="zh-CN"/>
        </w:rPr>
        <w:t>说明：</w:t>
      </w:r>
      <w:r>
        <w:rPr>
          <w:rFonts w:hint="eastAsia" w:cs="宋体"/>
          <w:b/>
          <w:bCs/>
          <w:snapToGrid/>
          <w:color w:val="auto"/>
          <w:highlight w:val="none"/>
          <w:u w:val="single"/>
        </w:rPr>
        <w:t>填写“</w:t>
      </w:r>
      <w:r>
        <w:rPr>
          <w:rFonts w:hint="eastAsia" w:cs="宋体"/>
          <w:b/>
          <w:bCs/>
          <w:color w:val="auto"/>
          <w:highlight w:val="none"/>
          <w:u w:val="single"/>
          <w:lang w:val="zh-CN"/>
        </w:rPr>
        <w:t>编制</w:t>
      </w:r>
      <w:r>
        <w:rPr>
          <w:rFonts w:hint="eastAsia" w:cs="宋体"/>
          <w:b/>
          <w:bCs/>
          <w:color w:val="auto"/>
          <w:highlight w:val="none"/>
          <w:u w:val="single"/>
        </w:rPr>
        <w:t>个人姓名”)。</w:t>
      </w:r>
    </w:p>
    <w:p>
      <w:pPr>
        <w:pStyle w:val="38"/>
        <w:numPr>
          <w:ilvl w:val="2"/>
          <w:numId w:val="32"/>
        </w:numPr>
        <w:spacing w:line="520" w:lineRule="exact"/>
        <w:ind w:firstLine="480"/>
        <w:rPr>
          <w:color w:val="auto"/>
          <w:highlight w:val="none"/>
        </w:rPr>
      </w:pPr>
      <w:r>
        <w:rPr>
          <w:rFonts w:hint="eastAsia"/>
          <w:color w:val="auto"/>
          <w:highlight w:val="none"/>
        </w:rPr>
        <w:t>我方响应文件中提供的任何资料和技术、服务、商务等响应承诺情况都是真实的、有效的、合法的。</w:t>
      </w:r>
    </w:p>
    <w:p>
      <w:pPr>
        <w:pStyle w:val="38"/>
        <w:numPr>
          <w:ilvl w:val="2"/>
          <w:numId w:val="32"/>
        </w:numPr>
        <w:spacing w:line="520" w:lineRule="exact"/>
        <w:ind w:firstLine="480"/>
        <w:rPr>
          <w:color w:val="auto"/>
          <w:highlight w:val="none"/>
        </w:rPr>
      </w:pPr>
      <w:r>
        <w:rPr>
          <w:rFonts w:hint="eastAsia"/>
          <w:color w:val="auto"/>
          <w:highlight w:val="none"/>
        </w:rPr>
        <w:t>我方参加本次采购活动，我方完全同意谈判文件中关于“谈判费用”、“合同分包、转包”、“采购合同”、“合同定价方式”、“履约保证金”、“履约验收、质量要求”等实质性要求，并承诺严格按照谈判文件采购合同要求履行。</w:t>
      </w:r>
    </w:p>
    <w:p>
      <w:pPr>
        <w:pStyle w:val="38"/>
        <w:numPr>
          <w:ilvl w:val="2"/>
          <w:numId w:val="32"/>
        </w:numPr>
        <w:spacing w:line="520" w:lineRule="exact"/>
        <w:ind w:firstLine="480"/>
        <w:rPr>
          <w:color w:val="auto"/>
          <w:highlight w:val="none"/>
        </w:rPr>
      </w:pPr>
      <w:r>
        <w:rPr>
          <w:rFonts w:hint="eastAsia"/>
          <w:color w:val="auto"/>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color w:val="auto"/>
          <w:highlight w:val="none"/>
        </w:rPr>
        <w:t>承诺</w:t>
      </w:r>
      <w:r>
        <w:rPr>
          <w:rFonts w:hint="eastAsia"/>
          <w:color w:val="auto"/>
          <w:highlight w:val="none"/>
        </w:rPr>
        <w:t>提供相关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pPr>
        <w:pStyle w:val="38"/>
        <w:numPr>
          <w:ilvl w:val="2"/>
          <w:numId w:val="32"/>
        </w:numPr>
        <w:spacing w:line="520" w:lineRule="exact"/>
        <w:ind w:firstLine="480"/>
        <w:rPr>
          <w:color w:val="auto"/>
          <w:highlight w:val="none"/>
        </w:rPr>
      </w:pPr>
      <w:r>
        <w:rPr>
          <w:rFonts w:hint="eastAsia"/>
          <w:color w:val="auto"/>
          <w:highlight w:val="none"/>
        </w:rPr>
        <w:t>本项目响应产品如涉及3C认证或前置许可、认证的，我方参加询价所提供的产品均满足相关要求，承诺在成交后签订采购合同时向采购人一并提供相关认证、许可证明材料复印件。</w:t>
      </w:r>
    </w:p>
    <w:p>
      <w:pPr>
        <w:pStyle w:val="48"/>
        <w:spacing w:line="520" w:lineRule="exact"/>
        <w:rPr>
          <w:color w:val="auto"/>
          <w:highlight w:val="none"/>
        </w:rPr>
      </w:pPr>
      <w:r>
        <w:rPr>
          <w:rFonts w:hint="eastAsia"/>
          <w:color w:val="auto"/>
          <w:highlight w:val="none"/>
        </w:rPr>
        <w:t>本公司对上述承诺的内容事项真实性、合法性负责。如经查实上述承诺的内容事项存在虚假，我公司自愿接受以提供虚假材料谋取成交所带来的所有法律责任。</w:t>
      </w:r>
    </w:p>
    <w:p>
      <w:pPr>
        <w:pStyle w:val="45"/>
        <w:rPr>
          <w:color w:val="auto"/>
          <w:highlight w:val="none"/>
        </w:rPr>
      </w:pPr>
    </w:p>
    <w:p>
      <w:pPr>
        <w:pStyle w:val="48"/>
        <w:rPr>
          <w:color w:val="auto"/>
          <w:highlight w:val="none"/>
        </w:rPr>
      </w:pPr>
      <w:r>
        <w:rPr>
          <w:rFonts w:hint="eastAsia"/>
          <w:color w:val="auto"/>
          <w:highlight w:val="none"/>
        </w:rPr>
        <w:t>供应商名称：</w:t>
      </w:r>
      <w:r>
        <w:rPr>
          <w:rFonts w:hint="eastAsia"/>
          <w:color w:val="auto"/>
          <w:highlight w:val="none"/>
          <w:u w:val="single"/>
        </w:rPr>
        <w:t xml:space="preserve">               </w:t>
      </w:r>
      <w:r>
        <w:rPr>
          <w:rFonts w:hint="eastAsia"/>
          <w:color w:val="auto"/>
          <w:highlight w:val="none"/>
        </w:rPr>
        <w:t>(盖章)</w:t>
      </w:r>
    </w:p>
    <w:p>
      <w:pPr>
        <w:pStyle w:val="48"/>
        <w:rPr>
          <w:color w:val="auto"/>
          <w:highlight w:val="none"/>
        </w:rPr>
      </w:pPr>
      <w:r>
        <w:rPr>
          <w:rFonts w:hint="eastAsia"/>
          <w:color w:val="auto"/>
          <w:highlight w:val="none"/>
        </w:rPr>
        <w:t>法定代表人/单位负责人或授权代表：</w:t>
      </w:r>
      <w:r>
        <w:rPr>
          <w:rFonts w:hint="eastAsia"/>
          <w:color w:val="auto"/>
          <w:highlight w:val="none"/>
          <w:u w:val="single"/>
        </w:rPr>
        <w:t xml:space="preserve">            </w:t>
      </w:r>
      <w:r>
        <w:rPr>
          <w:rFonts w:hint="eastAsia"/>
          <w:color w:val="auto"/>
          <w:highlight w:val="none"/>
        </w:rPr>
        <w:t>(签字或盖章)</w:t>
      </w:r>
    </w:p>
    <w:p>
      <w:pPr>
        <w:pStyle w:val="48"/>
        <w:rPr>
          <w:color w:val="auto"/>
          <w:highlight w:val="none"/>
        </w:rPr>
      </w:pPr>
      <w:r>
        <w:rPr>
          <w:rFonts w:hint="eastAsia"/>
          <w:color w:val="auto"/>
          <w:highlight w:val="none"/>
        </w:rPr>
        <w:t>谈判日期：</w:t>
      </w:r>
      <w:r>
        <w:rPr>
          <w:rFonts w:hint="eastAsia"/>
          <w:color w:val="auto"/>
          <w:highlight w:val="none"/>
          <w:u w:val="single"/>
        </w:rPr>
        <w:t xml:space="preserve">                  </w:t>
      </w:r>
    </w:p>
    <w:p>
      <w:pPr>
        <w:rPr>
          <w:color w:val="auto"/>
          <w:highlight w:val="none"/>
        </w:rPr>
      </w:pPr>
      <w:r>
        <w:rPr>
          <w:rFonts w:hint="eastAsia"/>
          <w:color w:val="auto"/>
          <w:highlight w:val="none"/>
        </w:rPr>
        <w:br w:type="page"/>
      </w:r>
    </w:p>
    <w:p>
      <w:pPr>
        <w:pStyle w:val="46"/>
        <w:numPr>
          <w:ilvl w:val="0"/>
          <w:numId w:val="30"/>
        </w:numPr>
        <w:spacing w:before="120" w:after="120"/>
        <w:ind w:firstLine="0"/>
        <w:rPr>
          <w:color w:val="auto"/>
          <w:highlight w:val="none"/>
        </w:rPr>
      </w:pPr>
      <w:bookmarkStart w:id="288" w:name="_Toc31061"/>
      <w:r>
        <w:rPr>
          <w:rFonts w:hint="eastAsia"/>
          <w:color w:val="auto"/>
          <w:highlight w:val="none"/>
        </w:rPr>
        <w:t>供应商基本情况表</w:t>
      </w:r>
      <w:bookmarkEnd w:id="280"/>
      <w:bookmarkEnd w:id="281"/>
      <w:bookmarkEnd w:id="282"/>
      <w:bookmarkEnd w:id="283"/>
      <w:bookmarkEnd w:id="284"/>
      <w:bookmarkEnd w:id="285"/>
      <w:bookmarkEnd w:id="288"/>
    </w:p>
    <w:tbl>
      <w:tblPr>
        <w:tblStyle w:val="24"/>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25"/>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7"/>
              <w:spacing w:line="480" w:lineRule="exact"/>
              <w:rPr>
                <w:color w:val="auto"/>
                <w:highlight w:val="none"/>
              </w:rPr>
            </w:pPr>
            <w:r>
              <w:rPr>
                <w:rFonts w:hint="eastAsia"/>
                <w:color w:val="auto"/>
                <w:highlight w:val="none"/>
              </w:rPr>
              <w:t>供应商名称</w:t>
            </w:r>
          </w:p>
        </w:tc>
        <w:tc>
          <w:tcPr>
            <w:tcW w:w="8186" w:type="dxa"/>
            <w:gridSpan w:val="7"/>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7"/>
              <w:spacing w:line="480" w:lineRule="exact"/>
              <w:rPr>
                <w:color w:val="auto"/>
                <w:highlight w:val="none"/>
              </w:rPr>
            </w:pPr>
            <w:r>
              <w:rPr>
                <w:rFonts w:hint="eastAsia"/>
                <w:color w:val="auto"/>
                <w:highlight w:val="none"/>
              </w:rPr>
              <w:t>注册地址</w:t>
            </w:r>
          </w:p>
        </w:tc>
        <w:tc>
          <w:tcPr>
            <w:tcW w:w="4012" w:type="dxa"/>
            <w:gridSpan w:val="3"/>
            <w:vAlign w:val="center"/>
          </w:tcPr>
          <w:p>
            <w:pPr>
              <w:pStyle w:val="47"/>
              <w:spacing w:line="480" w:lineRule="exact"/>
              <w:rPr>
                <w:color w:val="auto"/>
                <w:highlight w:val="none"/>
              </w:rPr>
            </w:pPr>
          </w:p>
        </w:tc>
        <w:tc>
          <w:tcPr>
            <w:tcW w:w="1548" w:type="dxa"/>
            <w:vAlign w:val="center"/>
          </w:tcPr>
          <w:p>
            <w:pPr>
              <w:pStyle w:val="47"/>
              <w:spacing w:line="480" w:lineRule="exact"/>
              <w:rPr>
                <w:color w:val="auto"/>
                <w:highlight w:val="none"/>
              </w:rPr>
            </w:pPr>
            <w:r>
              <w:rPr>
                <w:rFonts w:hint="eastAsia"/>
                <w:color w:val="auto"/>
                <w:highlight w:val="none"/>
              </w:rPr>
              <w:t>邮政编码</w:t>
            </w:r>
          </w:p>
        </w:tc>
        <w:tc>
          <w:tcPr>
            <w:tcW w:w="2626" w:type="dxa"/>
            <w:gridSpan w:val="3"/>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Merge w:val="restart"/>
            <w:vAlign w:val="center"/>
          </w:tcPr>
          <w:p>
            <w:pPr>
              <w:pStyle w:val="47"/>
              <w:spacing w:line="480" w:lineRule="exact"/>
              <w:rPr>
                <w:color w:val="auto"/>
                <w:highlight w:val="none"/>
              </w:rPr>
            </w:pPr>
            <w:r>
              <w:rPr>
                <w:rFonts w:hint="eastAsia"/>
                <w:color w:val="auto"/>
                <w:highlight w:val="none"/>
              </w:rPr>
              <w:t>联系方式</w:t>
            </w:r>
          </w:p>
        </w:tc>
        <w:tc>
          <w:tcPr>
            <w:tcW w:w="1125" w:type="dxa"/>
            <w:vAlign w:val="center"/>
          </w:tcPr>
          <w:p>
            <w:pPr>
              <w:pStyle w:val="47"/>
              <w:spacing w:line="480" w:lineRule="exact"/>
              <w:rPr>
                <w:color w:val="auto"/>
                <w:highlight w:val="none"/>
              </w:rPr>
            </w:pPr>
            <w:r>
              <w:rPr>
                <w:rFonts w:hint="eastAsia"/>
                <w:color w:val="auto"/>
                <w:highlight w:val="none"/>
              </w:rPr>
              <w:t>联系人</w:t>
            </w:r>
          </w:p>
        </w:tc>
        <w:tc>
          <w:tcPr>
            <w:tcW w:w="2887" w:type="dxa"/>
            <w:gridSpan w:val="2"/>
            <w:vAlign w:val="center"/>
          </w:tcPr>
          <w:p>
            <w:pPr>
              <w:pStyle w:val="47"/>
              <w:spacing w:line="480" w:lineRule="exact"/>
              <w:rPr>
                <w:color w:val="auto"/>
                <w:highlight w:val="none"/>
              </w:rPr>
            </w:pPr>
          </w:p>
        </w:tc>
        <w:tc>
          <w:tcPr>
            <w:tcW w:w="1548" w:type="dxa"/>
            <w:vAlign w:val="center"/>
          </w:tcPr>
          <w:p>
            <w:pPr>
              <w:pStyle w:val="47"/>
              <w:spacing w:line="480" w:lineRule="exact"/>
              <w:rPr>
                <w:color w:val="auto"/>
                <w:highlight w:val="none"/>
              </w:rPr>
            </w:pPr>
            <w:r>
              <w:rPr>
                <w:rFonts w:hint="eastAsia"/>
                <w:color w:val="auto"/>
                <w:highlight w:val="none"/>
              </w:rPr>
              <w:t>电话</w:t>
            </w:r>
          </w:p>
        </w:tc>
        <w:tc>
          <w:tcPr>
            <w:tcW w:w="2626" w:type="dxa"/>
            <w:gridSpan w:val="3"/>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770" w:type="dxa"/>
            <w:vMerge w:val="continue"/>
            <w:vAlign w:val="center"/>
          </w:tcPr>
          <w:p>
            <w:pPr>
              <w:pStyle w:val="47"/>
              <w:spacing w:line="480" w:lineRule="exact"/>
              <w:rPr>
                <w:color w:val="auto"/>
                <w:highlight w:val="none"/>
              </w:rPr>
            </w:pPr>
          </w:p>
        </w:tc>
        <w:tc>
          <w:tcPr>
            <w:tcW w:w="1125" w:type="dxa"/>
            <w:vAlign w:val="center"/>
          </w:tcPr>
          <w:p>
            <w:pPr>
              <w:pStyle w:val="47"/>
              <w:spacing w:line="480" w:lineRule="exact"/>
              <w:rPr>
                <w:color w:val="auto"/>
                <w:highlight w:val="none"/>
              </w:rPr>
            </w:pPr>
            <w:r>
              <w:rPr>
                <w:rFonts w:hint="eastAsia"/>
                <w:color w:val="auto"/>
                <w:highlight w:val="none"/>
              </w:rPr>
              <w:t>传真</w:t>
            </w:r>
          </w:p>
        </w:tc>
        <w:tc>
          <w:tcPr>
            <w:tcW w:w="2887" w:type="dxa"/>
            <w:gridSpan w:val="2"/>
            <w:vAlign w:val="center"/>
          </w:tcPr>
          <w:p>
            <w:pPr>
              <w:pStyle w:val="47"/>
              <w:spacing w:line="480" w:lineRule="exact"/>
              <w:rPr>
                <w:color w:val="auto"/>
                <w:highlight w:val="none"/>
              </w:rPr>
            </w:pPr>
          </w:p>
        </w:tc>
        <w:tc>
          <w:tcPr>
            <w:tcW w:w="1548" w:type="dxa"/>
            <w:vAlign w:val="center"/>
          </w:tcPr>
          <w:p>
            <w:pPr>
              <w:pStyle w:val="47"/>
              <w:spacing w:line="480" w:lineRule="exact"/>
              <w:rPr>
                <w:color w:val="auto"/>
                <w:highlight w:val="none"/>
              </w:rPr>
            </w:pPr>
            <w:r>
              <w:rPr>
                <w:rFonts w:hint="eastAsia"/>
                <w:color w:val="auto"/>
                <w:highlight w:val="none"/>
              </w:rPr>
              <w:t>网址</w:t>
            </w:r>
          </w:p>
        </w:tc>
        <w:tc>
          <w:tcPr>
            <w:tcW w:w="2626" w:type="dxa"/>
            <w:gridSpan w:val="3"/>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70" w:type="dxa"/>
            <w:vAlign w:val="center"/>
          </w:tcPr>
          <w:p>
            <w:pPr>
              <w:pStyle w:val="47"/>
              <w:spacing w:line="480" w:lineRule="exact"/>
              <w:rPr>
                <w:color w:val="auto"/>
                <w:highlight w:val="none"/>
              </w:rPr>
            </w:pPr>
            <w:r>
              <w:rPr>
                <w:rFonts w:hint="eastAsia"/>
                <w:color w:val="auto"/>
                <w:highlight w:val="none"/>
              </w:rPr>
              <w:t>法定代表人</w:t>
            </w:r>
          </w:p>
        </w:tc>
        <w:tc>
          <w:tcPr>
            <w:tcW w:w="1125" w:type="dxa"/>
            <w:vAlign w:val="center"/>
          </w:tcPr>
          <w:p>
            <w:pPr>
              <w:pStyle w:val="47"/>
              <w:spacing w:line="480" w:lineRule="exact"/>
              <w:rPr>
                <w:color w:val="auto"/>
                <w:highlight w:val="none"/>
              </w:rPr>
            </w:pPr>
            <w:r>
              <w:rPr>
                <w:rFonts w:hint="eastAsia"/>
                <w:color w:val="auto"/>
                <w:highlight w:val="none"/>
              </w:rPr>
              <w:t>姓名</w:t>
            </w:r>
          </w:p>
        </w:tc>
        <w:tc>
          <w:tcPr>
            <w:tcW w:w="1432" w:type="dxa"/>
            <w:vAlign w:val="center"/>
          </w:tcPr>
          <w:p>
            <w:pPr>
              <w:pStyle w:val="47"/>
              <w:spacing w:line="480" w:lineRule="exact"/>
              <w:rPr>
                <w:color w:val="auto"/>
                <w:highlight w:val="none"/>
              </w:rPr>
            </w:pPr>
          </w:p>
        </w:tc>
        <w:tc>
          <w:tcPr>
            <w:tcW w:w="1455" w:type="dxa"/>
            <w:vAlign w:val="center"/>
          </w:tcPr>
          <w:p>
            <w:pPr>
              <w:pStyle w:val="47"/>
              <w:spacing w:line="480" w:lineRule="exact"/>
              <w:rPr>
                <w:color w:val="auto"/>
                <w:highlight w:val="none"/>
              </w:rPr>
            </w:pPr>
            <w:r>
              <w:rPr>
                <w:rFonts w:hint="eastAsia"/>
                <w:color w:val="auto"/>
                <w:highlight w:val="none"/>
              </w:rPr>
              <w:t>技术职称</w:t>
            </w:r>
          </w:p>
        </w:tc>
        <w:tc>
          <w:tcPr>
            <w:tcW w:w="1548" w:type="dxa"/>
            <w:vAlign w:val="center"/>
          </w:tcPr>
          <w:p>
            <w:pPr>
              <w:pStyle w:val="47"/>
              <w:spacing w:line="480" w:lineRule="exact"/>
              <w:rPr>
                <w:color w:val="auto"/>
                <w:highlight w:val="none"/>
              </w:rPr>
            </w:pPr>
          </w:p>
        </w:tc>
        <w:tc>
          <w:tcPr>
            <w:tcW w:w="1364" w:type="dxa"/>
            <w:gridSpan w:val="2"/>
            <w:vAlign w:val="center"/>
          </w:tcPr>
          <w:p>
            <w:pPr>
              <w:pStyle w:val="47"/>
              <w:spacing w:line="480" w:lineRule="exact"/>
              <w:rPr>
                <w:color w:val="auto"/>
                <w:highlight w:val="none"/>
              </w:rPr>
            </w:pPr>
            <w:r>
              <w:rPr>
                <w:rFonts w:hint="eastAsia"/>
                <w:color w:val="auto"/>
                <w:highlight w:val="none"/>
              </w:rPr>
              <w:t>电话</w:t>
            </w:r>
          </w:p>
        </w:tc>
        <w:tc>
          <w:tcPr>
            <w:tcW w:w="1262" w:type="dxa"/>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70" w:type="dxa"/>
            <w:vAlign w:val="center"/>
          </w:tcPr>
          <w:p>
            <w:pPr>
              <w:pStyle w:val="47"/>
              <w:spacing w:line="480" w:lineRule="exact"/>
              <w:rPr>
                <w:color w:val="auto"/>
                <w:highlight w:val="none"/>
              </w:rPr>
            </w:pPr>
            <w:r>
              <w:rPr>
                <w:rFonts w:hint="eastAsia"/>
                <w:color w:val="auto"/>
                <w:highlight w:val="none"/>
              </w:rPr>
              <w:t>技术负责人</w:t>
            </w:r>
          </w:p>
        </w:tc>
        <w:tc>
          <w:tcPr>
            <w:tcW w:w="1125" w:type="dxa"/>
            <w:vAlign w:val="center"/>
          </w:tcPr>
          <w:p>
            <w:pPr>
              <w:pStyle w:val="47"/>
              <w:spacing w:line="480" w:lineRule="exact"/>
              <w:rPr>
                <w:color w:val="auto"/>
                <w:highlight w:val="none"/>
              </w:rPr>
            </w:pPr>
            <w:r>
              <w:rPr>
                <w:rFonts w:hint="eastAsia"/>
                <w:color w:val="auto"/>
                <w:highlight w:val="none"/>
              </w:rPr>
              <w:t>姓名</w:t>
            </w:r>
          </w:p>
        </w:tc>
        <w:tc>
          <w:tcPr>
            <w:tcW w:w="1432" w:type="dxa"/>
            <w:vAlign w:val="center"/>
          </w:tcPr>
          <w:p>
            <w:pPr>
              <w:pStyle w:val="47"/>
              <w:spacing w:line="480" w:lineRule="exact"/>
              <w:rPr>
                <w:color w:val="auto"/>
                <w:highlight w:val="none"/>
              </w:rPr>
            </w:pPr>
          </w:p>
        </w:tc>
        <w:tc>
          <w:tcPr>
            <w:tcW w:w="1455" w:type="dxa"/>
            <w:vAlign w:val="center"/>
          </w:tcPr>
          <w:p>
            <w:pPr>
              <w:pStyle w:val="47"/>
              <w:spacing w:line="480" w:lineRule="exact"/>
              <w:rPr>
                <w:color w:val="auto"/>
                <w:highlight w:val="none"/>
              </w:rPr>
            </w:pPr>
            <w:r>
              <w:rPr>
                <w:rFonts w:hint="eastAsia"/>
                <w:color w:val="auto"/>
                <w:highlight w:val="none"/>
              </w:rPr>
              <w:t>技术职称</w:t>
            </w:r>
          </w:p>
        </w:tc>
        <w:tc>
          <w:tcPr>
            <w:tcW w:w="1548" w:type="dxa"/>
            <w:vAlign w:val="center"/>
          </w:tcPr>
          <w:p>
            <w:pPr>
              <w:pStyle w:val="47"/>
              <w:spacing w:line="480" w:lineRule="exact"/>
              <w:rPr>
                <w:color w:val="auto"/>
                <w:highlight w:val="none"/>
              </w:rPr>
            </w:pPr>
          </w:p>
        </w:tc>
        <w:tc>
          <w:tcPr>
            <w:tcW w:w="1364" w:type="dxa"/>
            <w:gridSpan w:val="2"/>
            <w:vAlign w:val="center"/>
          </w:tcPr>
          <w:p>
            <w:pPr>
              <w:pStyle w:val="47"/>
              <w:spacing w:line="480" w:lineRule="exact"/>
              <w:rPr>
                <w:color w:val="auto"/>
                <w:highlight w:val="none"/>
              </w:rPr>
            </w:pPr>
            <w:r>
              <w:rPr>
                <w:rFonts w:hint="eastAsia"/>
                <w:color w:val="auto"/>
                <w:highlight w:val="none"/>
              </w:rPr>
              <w:t>电话</w:t>
            </w:r>
          </w:p>
        </w:tc>
        <w:tc>
          <w:tcPr>
            <w:tcW w:w="1262" w:type="dxa"/>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7"/>
              <w:spacing w:line="480" w:lineRule="exact"/>
              <w:rPr>
                <w:color w:val="auto"/>
                <w:highlight w:val="none"/>
              </w:rPr>
            </w:pPr>
            <w:r>
              <w:rPr>
                <w:rFonts w:hint="eastAsia"/>
                <w:color w:val="auto"/>
                <w:highlight w:val="none"/>
              </w:rPr>
              <w:t>成立时间</w:t>
            </w:r>
          </w:p>
        </w:tc>
        <w:tc>
          <w:tcPr>
            <w:tcW w:w="2557" w:type="dxa"/>
            <w:gridSpan w:val="2"/>
            <w:vAlign w:val="center"/>
          </w:tcPr>
          <w:p>
            <w:pPr>
              <w:pStyle w:val="47"/>
              <w:spacing w:line="480" w:lineRule="exact"/>
              <w:rPr>
                <w:color w:val="auto"/>
                <w:highlight w:val="none"/>
              </w:rPr>
            </w:pPr>
          </w:p>
        </w:tc>
        <w:tc>
          <w:tcPr>
            <w:tcW w:w="5629" w:type="dxa"/>
            <w:gridSpan w:val="5"/>
            <w:vAlign w:val="center"/>
          </w:tcPr>
          <w:p>
            <w:pPr>
              <w:pStyle w:val="47"/>
              <w:spacing w:line="480" w:lineRule="exact"/>
              <w:rPr>
                <w:color w:val="auto"/>
                <w:highlight w:val="none"/>
              </w:rPr>
            </w:pPr>
            <w:r>
              <w:rPr>
                <w:rFonts w:hint="eastAsia"/>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7"/>
              <w:spacing w:line="480" w:lineRule="exact"/>
              <w:rPr>
                <w:color w:val="auto"/>
                <w:highlight w:val="none"/>
              </w:rPr>
            </w:pPr>
            <w:r>
              <w:rPr>
                <w:rFonts w:hint="eastAsia"/>
                <w:color w:val="auto"/>
                <w:highlight w:val="none"/>
              </w:rPr>
              <w:t>企业资质等级</w:t>
            </w:r>
          </w:p>
        </w:tc>
        <w:tc>
          <w:tcPr>
            <w:tcW w:w="2557" w:type="dxa"/>
            <w:gridSpan w:val="2"/>
            <w:vAlign w:val="center"/>
          </w:tcPr>
          <w:p>
            <w:pPr>
              <w:pStyle w:val="47"/>
              <w:spacing w:line="480" w:lineRule="exact"/>
              <w:rPr>
                <w:color w:val="auto"/>
                <w:highlight w:val="none"/>
              </w:rPr>
            </w:pPr>
          </w:p>
        </w:tc>
        <w:tc>
          <w:tcPr>
            <w:tcW w:w="1455" w:type="dxa"/>
            <w:vMerge w:val="restart"/>
            <w:vAlign w:val="center"/>
          </w:tcPr>
          <w:p>
            <w:pPr>
              <w:pStyle w:val="47"/>
              <w:spacing w:line="480" w:lineRule="exact"/>
              <w:rPr>
                <w:color w:val="auto"/>
                <w:highlight w:val="none"/>
              </w:rPr>
            </w:pPr>
            <w:r>
              <w:rPr>
                <w:rFonts w:hint="eastAsia"/>
                <w:color w:val="auto"/>
                <w:highlight w:val="none"/>
              </w:rPr>
              <w:t>其中</w:t>
            </w:r>
          </w:p>
        </w:tc>
        <w:tc>
          <w:tcPr>
            <w:tcW w:w="1734" w:type="dxa"/>
            <w:gridSpan w:val="2"/>
            <w:vAlign w:val="center"/>
          </w:tcPr>
          <w:p>
            <w:pPr>
              <w:pStyle w:val="47"/>
              <w:spacing w:line="480" w:lineRule="exact"/>
              <w:rPr>
                <w:color w:val="auto"/>
                <w:highlight w:val="none"/>
              </w:rPr>
            </w:pPr>
            <w:r>
              <w:rPr>
                <w:rFonts w:hint="eastAsia"/>
                <w:color w:val="auto"/>
                <w:highlight w:val="none"/>
              </w:rPr>
              <w:t>项目经理</w:t>
            </w:r>
          </w:p>
        </w:tc>
        <w:tc>
          <w:tcPr>
            <w:tcW w:w="2440" w:type="dxa"/>
            <w:gridSpan w:val="2"/>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7"/>
              <w:spacing w:line="480" w:lineRule="exact"/>
              <w:rPr>
                <w:color w:val="auto"/>
                <w:highlight w:val="none"/>
              </w:rPr>
            </w:pPr>
            <w:r>
              <w:rPr>
                <w:rFonts w:hint="eastAsia"/>
                <w:color w:val="auto"/>
                <w:highlight w:val="none"/>
              </w:rPr>
              <w:t>营业执照号/统一社会信用代码</w:t>
            </w:r>
          </w:p>
        </w:tc>
        <w:tc>
          <w:tcPr>
            <w:tcW w:w="2557" w:type="dxa"/>
            <w:gridSpan w:val="2"/>
            <w:vAlign w:val="center"/>
          </w:tcPr>
          <w:p>
            <w:pPr>
              <w:pStyle w:val="47"/>
              <w:spacing w:line="480" w:lineRule="exact"/>
              <w:rPr>
                <w:color w:val="auto"/>
                <w:highlight w:val="none"/>
              </w:rPr>
            </w:pPr>
          </w:p>
        </w:tc>
        <w:tc>
          <w:tcPr>
            <w:tcW w:w="1455" w:type="dxa"/>
            <w:vMerge w:val="continue"/>
            <w:vAlign w:val="center"/>
          </w:tcPr>
          <w:p>
            <w:pPr>
              <w:pStyle w:val="47"/>
              <w:spacing w:line="480" w:lineRule="exact"/>
              <w:rPr>
                <w:color w:val="auto"/>
                <w:highlight w:val="none"/>
              </w:rPr>
            </w:pPr>
          </w:p>
        </w:tc>
        <w:tc>
          <w:tcPr>
            <w:tcW w:w="1734" w:type="dxa"/>
            <w:gridSpan w:val="2"/>
            <w:vAlign w:val="center"/>
          </w:tcPr>
          <w:p>
            <w:pPr>
              <w:pStyle w:val="47"/>
              <w:spacing w:line="480" w:lineRule="exact"/>
              <w:rPr>
                <w:color w:val="auto"/>
                <w:highlight w:val="none"/>
              </w:rPr>
            </w:pPr>
            <w:r>
              <w:rPr>
                <w:rFonts w:hint="eastAsia"/>
                <w:color w:val="auto"/>
                <w:highlight w:val="none"/>
              </w:rPr>
              <w:t>高级职称人员</w:t>
            </w:r>
          </w:p>
        </w:tc>
        <w:tc>
          <w:tcPr>
            <w:tcW w:w="2440" w:type="dxa"/>
            <w:gridSpan w:val="2"/>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7"/>
              <w:spacing w:line="480" w:lineRule="exact"/>
              <w:rPr>
                <w:color w:val="auto"/>
                <w:highlight w:val="none"/>
              </w:rPr>
            </w:pPr>
            <w:r>
              <w:rPr>
                <w:rFonts w:hint="eastAsia"/>
                <w:color w:val="auto"/>
                <w:highlight w:val="none"/>
              </w:rPr>
              <w:t>注册资金</w:t>
            </w:r>
          </w:p>
        </w:tc>
        <w:tc>
          <w:tcPr>
            <w:tcW w:w="2557" w:type="dxa"/>
            <w:gridSpan w:val="2"/>
            <w:vAlign w:val="center"/>
          </w:tcPr>
          <w:p>
            <w:pPr>
              <w:pStyle w:val="47"/>
              <w:spacing w:line="480" w:lineRule="exact"/>
              <w:rPr>
                <w:color w:val="auto"/>
                <w:highlight w:val="none"/>
              </w:rPr>
            </w:pPr>
          </w:p>
        </w:tc>
        <w:tc>
          <w:tcPr>
            <w:tcW w:w="1455" w:type="dxa"/>
            <w:vMerge w:val="continue"/>
            <w:vAlign w:val="center"/>
          </w:tcPr>
          <w:p>
            <w:pPr>
              <w:pStyle w:val="47"/>
              <w:spacing w:line="480" w:lineRule="exact"/>
              <w:rPr>
                <w:color w:val="auto"/>
                <w:highlight w:val="none"/>
              </w:rPr>
            </w:pPr>
          </w:p>
        </w:tc>
        <w:tc>
          <w:tcPr>
            <w:tcW w:w="1734" w:type="dxa"/>
            <w:gridSpan w:val="2"/>
            <w:vAlign w:val="center"/>
          </w:tcPr>
          <w:p>
            <w:pPr>
              <w:pStyle w:val="47"/>
              <w:spacing w:line="480" w:lineRule="exact"/>
              <w:rPr>
                <w:color w:val="auto"/>
                <w:highlight w:val="none"/>
              </w:rPr>
            </w:pPr>
            <w:r>
              <w:rPr>
                <w:rFonts w:hint="eastAsia"/>
                <w:color w:val="auto"/>
                <w:highlight w:val="none"/>
              </w:rPr>
              <w:t>中级职称人员</w:t>
            </w:r>
          </w:p>
        </w:tc>
        <w:tc>
          <w:tcPr>
            <w:tcW w:w="2440" w:type="dxa"/>
            <w:gridSpan w:val="2"/>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7"/>
              <w:spacing w:line="480" w:lineRule="exact"/>
              <w:rPr>
                <w:color w:val="auto"/>
                <w:highlight w:val="none"/>
              </w:rPr>
            </w:pPr>
            <w:r>
              <w:rPr>
                <w:rFonts w:hint="eastAsia"/>
                <w:color w:val="auto"/>
                <w:highlight w:val="none"/>
              </w:rPr>
              <w:t>开户银行</w:t>
            </w:r>
          </w:p>
        </w:tc>
        <w:tc>
          <w:tcPr>
            <w:tcW w:w="2557" w:type="dxa"/>
            <w:gridSpan w:val="2"/>
            <w:vAlign w:val="center"/>
          </w:tcPr>
          <w:p>
            <w:pPr>
              <w:pStyle w:val="47"/>
              <w:spacing w:line="480" w:lineRule="exact"/>
              <w:rPr>
                <w:color w:val="auto"/>
                <w:highlight w:val="none"/>
              </w:rPr>
            </w:pPr>
          </w:p>
        </w:tc>
        <w:tc>
          <w:tcPr>
            <w:tcW w:w="1455" w:type="dxa"/>
            <w:vMerge w:val="continue"/>
            <w:vAlign w:val="center"/>
          </w:tcPr>
          <w:p>
            <w:pPr>
              <w:pStyle w:val="47"/>
              <w:spacing w:line="480" w:lineRule="exact"/>
              <w:rPr>
                <w:color w:val="auto"/>
                <w:highlight w:val="none"/>
              </w:rPr>
            </w:pPr>
          </w:p>
        </w:tc>
        <w:tc>
          <w:tcPr>
            <w:tcW w:w="1734" w:type="dxa"/>
            <w:gridSpan w:val="2"/>
            <w:vAlign w:val="center"/>
          </w:tcPr>
          <w:p>
            <w:pPr>
              <w:pStyle w:val="47"/>
              <w:spacing w:line="480" w:lineRule="exact"/>
              <w:rPr>
                <w:color w:val="auto"/>
                <w:highlight w:val="none"/>
              </w:rPr>
            </w:pPr>
            <w:r>
              <w:rPr>
                <w:rFonts w:hint="eastAsia"/>
                <w:color w:val="auto"/>
                <w:highlight w:val="none"/>
              </w:rPr>
              <w:t>初级职称人员</w:t>
            </w:r>
          </w:p>
        </w:tc>
        <w:tc>
          <w:tcPr>
            <w:tcW w:w="2440" w:type="dxa"/>
            <w:gridSpan w:val="2"/>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7"/>
              <w:spacing w:line="480" w:lineRule="exact"/>
              <w:rPr>
                <w:color w:val="auto"/>
                <w:highlight w:val="none"/>
              </w:rPr>
            </w:pPr>
            <w:r>
              <w:rPr>
                <w:rFonts w:hint="eastAsia"/>
                <w:color w:val="auto"/>
                <w:highlight w:val="none"/>
              </w:rPr>
              <w:t>账号</w:t>
            </w:r>
          </w:p>
        </w:tc>
        <w:tc>
          <w:tcPr>
            <w:tcW w:w="2557" w:type="dxa"/>
            <w:gridSpan w:val="2"/>
            <w:vAlign w:val="center"/>
          </w:tcPr>
          <w:p>
            <w:pPr>
              <w:pStyle w:val="47"/>
              <w:spacing w:line="480" w:lineRule="exact"/>
              <w:rPr>
                <w:color w:val="auto"/>
                <w:highlight w:val="none"/>
              </w:rPr>
            </w:pPr>
          </w:p>
        </w:tc>
        <w:tc>
          <w:tcPr>
            <w:tcW w:w="1455" w:type="dxa"/>
            <w:vMerge w:val="continue"/>
            <w:vAlign w:val="center"/>
          </w:tcPr>
          <w:p>
            <w:pPr>
              <w:pStyle w:val="47"/>
              <w:spacing w:line="480" w:lineRule="exact"/>
              <w:rPr>
                <w:color w:val="auto"/>
                <w:highlight w:val="none"/>
              </w:rPr>
            </w:pPr>
          </w:p>
        </w:tc>
        <w:tc>
          <w:tcPr>
            <w:tcW w:w="1734" w:type="dxa"/>
            <w:gridSpan w:val="2"/>
            <w:vAlign w:val="center"/>
          </w:tcPr>
          <w:p>
            <w:pPr>
              <w:pStyle w:val="47"/>
              <w:spacing w:line="480" w:lineRule="exact"/>
              <w:rPr>
                <w:color w:val="auto"/>
                <w:highlight w:val="none"/>
              </w:rPr>
            </w:pPr>
            <w:r>
              <w:rPr>
                <w:rFonts w:hint="eastAsia"/>
                <w:color w:val="auto"/>
                <w:highlight w:val="none"/>
              </w:rPr>
              <w:t>技工</w:t>
            </w:r>
          </w:p>
        </w:tc>
        <w:tc>
          <w:tcPr>
            <w:tcW w:w="2440" w:type="dxa"/>
            <w:gridSpan w:val="2"/>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770" w:type="dxa"/>
            <w:vAlign w:val="center"/>
          </w:tcPr>
          <w:p>
            <w:pPr>
              <w:pStyle w:val="47"/>
              <w:spacing w:line="480" w:lineRule="exact"/>
              <w:rPr>
                <w:color w:val="auto"/>
                <w:highlight w:val="none"/>
              </w:rPr>
            </w:pPr>
            <w:r>
              <w:rPr>
                <w:rFonts w:hint="eastAsia"/>
                <w:color w:val="auto"/>
                <w:highlight w:val="none"/>
              </w:rPr>
              <w:t>经营范围</w:t>
            </w:r>
          </w:p>
        </w:tc>
        <w:tc>
          <w:tcPr>
            <w:tcW w:w="8186" w:type="dxa"/>
            <w:gridSpan w:val="7"/>
            <w:vAlign w:val="center"/>
          </w:tcPr>
          <w:p>
            <w:pPr>
              <w:pStyle w:val="47"/>
              <w:spacing w:line="48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770" w:type="dxa"/>
            <w:vAlign w:val="center"/>
          </w:tcPr>
          <w:p>
            <w:pPr>
              <w:pStyle w:val="47"/>
              <w:spacing w:line="480" w:lineRule="exact"/>
              <w:rPr>
                <w:color w:val="auto"/>
                <w:highlight w:val="none"/>
              </w:rPr>
            </w:pPr>
            <w:r>
              <w:rPr>
                <w:rFonts w:hint="eastAsia"/>
                <w:color w:val="auto"/>
                <w:highlight w:val="none"/>
              </w:rPr>
              <w:t>备注</w:t>
            </w:r>
          </w:p>
        </w:tc>
        <w:tc>
          <w:tcPr>
            <w:tcW w:w="8186" w:type="dxa"/>
            <w:gridSpan w:val="7"/>
          </w:tcPr>
          <w:p>
            <w:pPr>
              <w:pStyle w:val="47"/>
              <w:spacing w:line="480" w:lineRule="exact"/>
              <w:rPr>
                <w:color w:val="auto"/>
                <w:highlight w:val="none"/>
              </w:rPr>
            </w:pPr>
          </w:p>
        </w:tc>
      </w:tr>
    </w:tbl>
    <w:p>
      <w:pPr>
        <w:pStyle w:val="49"/>
        <w:ind w:firstLine="482"/>
        <w:rPr>
          <w:color w:val="auto"/>
          <w:highlight w:val="none"/>
        </w:rPr>
      </w:pPr>
      <w:r>
        <w:rPr>
          <w:rFonts w:hint="eastAsia"/>
          <w:color w:val="auto"/>
          <w:highlight w:val="none"/>
        </w:rPr>
        <w:t>注：</w:t>
      </w:r>
      <w:r>
        <w:rPr>
          <w:rFonts w:hint="eastAsia" w:asciiTheme="minorEastAsia" w:hAnsiTheme="minorEastAsia" w:eastAsiaTheme="minorEastAsia" w:cstheme="minorEastAsia"/>
          <w:bCs/>
          <w:color w:val="auto"/>
          <w:highlight w:val="none"/>
        </w:rPr>
        <w:t>供应商根据实际情况据实填写此表，若未填报完善不影响谈判资质及效力；空白项用“/”填写</w:t>
      </w:r>
      <w:r>
        <w:rPr>
          <w:rFonts w:hint="eastAsia"/>
          <w:color w:val="auto"/>
          <w:highlight w:val="none"/>
        </w:rPr>
        <w:t>。</w:t>
      </w:r>
    </w:p>
    <w:p>
      <w:pPr>
        <w:pStyle w:val="45"/>
        <w:rPr>
          <w:color w:val="auto"/>
          <w:highlight w:val="none"/>
        </w:rPr>
      </w:pPr>
    </w:p>
    <w:p>
      <w:pPr>
        <w:pStyle w:val="48"/>
        <w:rPr>
          <w:color w:val="auto"/>
          <w:highlight w:val="none"/>
        </w:rPr>
      </w:pPr>
      <w:r>
        <w:rPr>
          <w:rFonts w:hint="eastAsia"/>
          <w:color w:val="auto"/>
          <w:highlight w:val="none"/>
        </w:rPr>
        <w:t>供应商名称：</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(盖章)</w:t>
      </w:r>
    </w:p>
    <w:p>
      <w:pPr>
        <w:pStyle w:val="48"/>
        <w:rPr>
          <w:color w:val="auto"/>
          <w:highlight w:val="none"/>
        </w:rPr>
      </w:pPr>
      <w:r>
        <w:rPr>
          <w:rFonts w:hint="eastAsia"/>
          <w:color w:val="auto"/>
          <w:highlight w:val="none"/>
        </w:rPr>
        <w:t>法定代表人/单位负责人或授权代表：</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(签字或盖章)</w:t>
      </w:r>
    </w:p>
    <w:p>
      <w:pPr>
        <w:pStyle w:val="48"/>
        <w:rPr>
          <w:color w:val="auto"/>
          <w:highlight w:val="none"/>
        </w:rPr>
      </w:pPr>
      <w:r>
        <w:rPr>
          <w:rFonts w:hint="eastAsia"/>
          <w:color w:val="auto"/>
          <w:highlight w:val="none"/>
        </w:rPr>
        <w:t>谈判日期：</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 xml:space="preserve">       </w:t>
      </w:r>
    </w:p>
    <w:p>
      <w:pPr>
        <w:pStyle w:val="45"/>
        <w:rPr>
          <w:color w:val="auto"/>
          <w:highlight w:val="none"/>
        </w:rPr>
      </w:pPr>
    </w:p>
    <w:p>
      <w:pPr>
        <w:pStyle w:val="45"/>
        <w:rPr>
          <w:color w:val="auto"/>
          <w:highlight w:val="none"/>
        </w:rPr>
      </w:pPr>
    </w:p>
    <w:p>
      <w:pPr>
        <w:pStyle w:val="46"/>
        <w:numPr>
          <w:ilvl w:val="0"/>
          <w:numId w:val="30"/>
        </w:numPr>
        <w:spacing w:before="120" w:after="120"/>
        <w:ind w:firstLine="0"/>
        <w:rPr>
          <w:color w:val="auto"/>
          <w:highlight w:val="none"/>
        </w:rPr>
        <w:sectPr>
          <w:pgSz w:w="11906" w:h="16838"/>
          <w:pgMar w:top="1440" w:right="1080" w:bottom="1440" w:left="1080" w:header="851" w:footer="992" w:gutter="0"/>
          <w:cols w:space="0" w:num="1"/>
          <w:titlePg/>
          <w:docGrid w:linePitch="312" w:charSpace="0"/>
        </w:sectPr>
      </w:pPr>
      <w:bookmarkStart w:id="289" w:name="_Toc217446087"/>
      <w:bookmarkStart w:id="290" w:name="_Toc11461"/>
      <w:bookmarkStart w:id="291" w:name="_Toc25577"/>
      <w:bookmarkStart w:id="292" w:name="_Toc319440168"/>
      <w:bookmarkStart w:id="293" w:name="_Toc7835"/>
      <w:bookmarkStart w:id="294" w:name="_Toc307564875"/>
      <w:bookmarkStart w:id="295" w:name="_Toc307501130"/>
      <w:bookmarkStart w:id="296" w:name="_Toc327196312"/>
      <w:bookmarkStart w:id="297" w:name="_Toc319440166"/>
      <w:bookmarkStart w:id="298" w:name="_Toc24507"/>
      <w:bookmarkStart w:id="299" w:name="_Toc327196310"/>
      <w:bookmarkStart w:id="300" w:name="_Toc21006"/>
      <w:bookmarkStart w:id="301" w:name="_Toc26124"/>
    </w:p>
    <w:p>
      <w:pPr>
        <w:pStyle w:val="46"/>
        <w:numPr>
          <w:ilvl w:val="0"/>
          <w:numId w:val="30"/>
        </w:numPr>
        <w:spacing w:before="120" w:after="120"/>
        <w:ind w:firstLine="0"/>
        <w:rPr>
          <w:color w:val="auto"/>
          <w:highlight w:val="none"/>
        </w:rPr>
      </w:pPr>
      <w:bookmarkStart w:id="302" w:name="_Toc24285"/>
      <w:bookmarkStart w:id="303" w:name="_Toc28814"/>
      <w:bookmarkStart w:id="304" w:name="_Toc12899"/>
      <w:bookmarkStart w:id="305" w:name="_Toc4041"/>
      <w:r>
        <w:rPr>
          <w:rFonts w:hint="eastAsia"/>
          <w:color w:val="auto"/>
          <w:highlight w:val="none"/>
        </w:rPr>
        <w:t>技术、服务、商务要求应答表</w:t>
      </w:r>
      <w:bookmarkEnd w:id="302"/>
      <w:bookmarkEnd w:id="303"/>
      <w:bookmarkEnd w:id="304"/>
      <w:bookmarkEnd w:id="305"/>
    </w:p>
    <w:p>
      <w:pPr>
        <w:pStyle w:val="45"/>
        <w:textAlignment w:val="baseline"/>
        <w:rPr>
          <w:color w:val="auto"/>
          <w:highlight w:val="none"/>
          <w:u w:val="single"/>
        </w:rPr>
      </w:pPr>
      <w:r>
        <w:rPr>
          <w:rFonts w:hint="eastAsia"/>
          <w:color w:val="auto"/>
          <w:highlight w:val="none"/>
        </w:rPr>
        <w:t>项目名称：</w:t>
      </w:r>
      <w:r>
        <w:rPr>
          <w:rFonts w:hint="eastAsia"/>
          <w:color w:val="auto"/>
          <w:highlight w:val="none"/>
          <w:u w:val="single" w:color="000000"/>
        </w:rPr>
        <w:t xml:space="preserve">                             </w:t>
      </w:r>
      <w:r>
        <w:rPr>
          <w:rFonts w:hint="eastAsia"/>
          <w:color w:val="auto"/>
          <w:highlight w:val="none"/>
        </w:rPr>
        <w:t xml:space="preserve"> </w:t>
      </w:r>
    </w:p>
    <w:p>
      <w:pPr>
        <w:pStyle w:val="45"/>
        <w:textAlignment w:val="baseline"/>
        <w:rPr>
          <w:color w:val="auto"/>
          <w:highlight w:val="none"/>
        </w:rPr>
      </w:pPr>
      <w:r>
        <w:rPr>
          <w:rFonts w:hint="eastAsia"/>
          <w:color w:val="auto"/>
          <w:highlight w:val="none"/>
        </w:rPr>
        <w:t>项目编号：</w:t>
      </w:r>
      <w:r>
        <w:rPr>
          <w:rFonts w:hint="eastAsia"/>
          <w:color w:val="auto"/>
          <w:highlight w:val="none"/>
          <w:u w:val="single" w:color="000000"/>
        </w:rPr>
        <w:t xml:space="preserve">                             </w:t>
      </w:r>
    </w:p>
    <w:tbl>
      <w:tblPr>
        <w:tblStyle w:val="24"/>
        <w:tblW w:w="9838" w:type="dxa"/>
        <w:tblInd w:w="2" w:type="dxa"/>
        <w:tblLayout w:type="fixed"/>
        <w:tblCellMar>
          <w:top w:w="0" w:type="dxa"/>
          <w:left w:w="108" w:type="dxa"/>
          <w:bottom w:w="0" w:type="dxa"/>
          <w:right w:w="108" w:type="dxa"/>
        </w:tblCellMar>
      </w:tblPr>
      <w:tblGrid>
        <w:gridCol w:w="1001"/>
        <w:gridCol w:w="3416"/>
        <w:gridCol w:w="3943"/>
        <w:gridCol w:w="1478"/>
      </w:tblGrid>
      <w:tr>
        <w:tblPrEx>
          <w:tblCellMar>
            <w:top w:w="0" w:type="dxa"/>
            <w:left w:w="108" w:type="dxa"/>
            <w:bottom w:w="0" w:type="dxa"/>
            <w:right w:w="108" w:type="dxa"/>
          </w:tblCellMar>
        </w:tblPrEx>
        <w:trPr>
          <w:trHeight w:val="81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序号</w:t>
            </w:r>
          </w:p>
        </w:tc>
        <w:tc>
          <w:tcPr>
            <w:tcW w:w="3416"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项目</w:t>
            </w:r>
          </w:p>
        </w:tc>
        <w:tc>
          <w:tcPr>
            <w:tcW w:w="3943"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响应内容</w:t>
            </w: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备注</w:t>
            </w:r>
          </w:p>
        </w:tc>
      </w:tr>
      <w:tr>
        <w:tblPrEx>
          <w:tblCellMar>
            <w:top w:w="0" w:type="dxa"/>
            <w:left w:w="108" w:type="dxa"/>
            <w:bottom w:w="0" w:type="dxa"/>
            <w:right w:w="108" w:type="dxa"/>
          </w:tblCellMar>
        </w:tblPrEx>
        <w:trPr>
          <w:trHeight w:val="81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1</w:t>
            </w:r>
          </w:p>
        </w:tc>
        <w:tc>
          <w:tcPr>
            <w:tcW w:w="3416" w:type="dxa"/>
            <w:tcBorders>
              <w:top w:val="single" w:color="auto" w:sz="4" w:space="0"/>
              <w:left w:val="nil"/>
              <w:bottom w:val="single" w:color="auto" w:sz="4" w:space="0"/>
              <w:right w:val="single" w:color="auto" w:sz="4" w:space="0"/>
            </w:tcBorders>
            <w:vAlign w:val="center"/>
          </w:tcPr>
          <w:p>
            <w:pPr>
              <w:spacing w:line="240" w:lineRule="auto"/>
              <w:jc w:val="center"/>
              <w:textAlignment w:val="baseline"/>
              <w:rPr>
                <w:color w:val="auto"/>
                <w:sz w:val="21"/>
                <w:szCs w:val="21"/>
                <w:highlight w:val="none"/>
              </w:rPr>
            </w:pPr>
            <w:r>
              <w:rPr>
                <w:rFonts w:hint="eastAsia"/>
                <w:color w:val="auto"/>
                <w:sz w:val="21"/>
                <w:szCs w:val="21"/>
                <w:highlight w:val="none"/>
              </w:rPr>
              <w:t>项目负责人(项目经理)</w:t>
            </w:r>
          </w:p>
        </w:tc>
        <w:tc>
          <w:tcPr>
            <w:tcW w:w="3943" w:type="dxa"/>
            <w:tcBorders>
              <w:top w:val="single" w:color="auto" w:sz="4" w:space="0"/>
              <w:left w:val="nil"/>
              <w:bottom w:val="single" w:color="auto" w:sz="4" w:space="0"/>
              <w:right w:val="single" w:color="auto" w:sz="4" w:space="0"/>
            </w:tcBorders>
            <w:vAlign w:val="center"/>
          </w:tcPr>
          <w:p>
            <w:pPr>
              <w:spacing w:line="240" w:lineRule="auto"/>
              <w:ind w:right="24"/>
              <w:textAlignment w:val="baseline"/>
              <w:rPr>
                <w:color w:val="auto"/>
                <w:sz w:val="21"/>
                <w:szCs w:val="21"/>
                <w:highlight w:val="none"/>
              </w:rPr>
            </w:pPr>
            <w:r>
              <w:rPr>
                <w:rFonts w:hint="eastAsia"/>
                <w:color w:val="auto"/>
                <w:sz w:val="21"/>
                <w:szCs w:val="21"/>
                <w:highlight w:val="none"/>
              </w:rPr>
              <w:t>姓名：</w:t>
            </w: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r>
      <w:tr>
        <w:tblPrEx>
          <w:tblCellMar>
            <w:top w:w="0" w:type="dxa"/>
            <w:left w:w="108" w:type="dxa"/>
            <w:bottom w:w="0" w:type="dxa"/>
            <w:right w:w="108" w:type="dxa"/>
          </w:tblCellMar>
        </w:tblPrEx>
        <w:trPr>
          <w:trHeight w:val="81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2</w:t>
            </w:r>
          </w:p>
        </w:tc>
        <w:tc>
          <w:tcPr>
            <w:tcW w:w="3416" w:type="dxa"/>
            <w:tcBorders>
              <w:top w:val="single" w:color="auto" w:sz="4" w:space="0"/>
              <w:left w:val="nil"/>
              <w:bottom w:val="single" w:color="auto" w:sz="4" w:space="0"/>
              <w:right w:val="single" w:color="auto" w:sz="4" w:space="0"/>
            </w:tcBorders>
            <w:vAlign w:val="center"/>
          </w:tcPr>
          <w:p>
            <w:pPr>
              <w:spacing w:line="240" w:lineRule="auto"/>
              <w:jc w:val="center"/>
              <w:textAlignment w:val="baseline"/>
              <w:rPr>
                <w:color w:val="auto"/>
                <w:sz w:val="21"/>
                <w:szCs w:val="21"/>
                <w:highlight w:val="none"/>
              </w:rPr>
            </w:pPr>
            <w:r>
              <w:rPr>
                <w:rFonts w:hint="eastAsia"/>
                <w:color w:val="auto"/>
                <w:sz w:val="21"/>
                <w:szCs w:val="21"/>
                <w:highlight w:val="none"/>
              </w:rPr>
              <w:t>技术负责人</w:t>
            </w:r>
          </w:p>
        </w:tc>
        <w:tc>
          <w:tcPr>
            <w:tcW w:w="3943" w:type="dxa"/>
            <w:tcBorders>
              <w:top w:val="single" w:color="auto" w:sz="4" w:space="0"/>
              <w:left w:val="nil"/>
              <w:bottom w:val="single" w:color="auto" w:sz="4" w:space="0"/>
              <w:right w:val="single" w:color="auto" w:sz="4" w:space="0"/>
            </w:tcBorders>
            <w:vAlign w:val="center"/>
          </w:tcPr>
          <w:p>
            <w:pPr>
              <w:spacing w:line="240" w:lineRule="auto"/>
              <w:ind w:right="24"/>
              <w:textAlignment w:val="baseline"/>
              <w:rPr>
                <w:color w:val="auto"/>
                <w:sz w:val="21"/>
                <w:szCs w:val="21"/>
                <w:highlight w:val="none"/>
              </w:rPr>
            </w:pPr>
            <w:r>
              <w:rPr>
                <w:rFonts w:hint="eastAsia"/>
                <w:color w:val="auto"/>
                <w:sz w:val="21"/>
                <w:szCs w:val="21"/>
                <w:highlight w:val="none"/>
              </w:rPr>
              <w:t>姓名：</w:t>
            </w: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r>
      <w:tr>
        <w:tblPrEx>
          <w:tblCellMar>
            <w:top w:w="0" w:type="dxa"/>
            <w:left w:w="108" w:type="dxa"/>
            <w:bottom w:w="0" w:type="dxa"/>
            <w:right w:w="108" w:type="dxa"/>
          </w:tblCellMar>
        </w:tblPrEx>
        <w:trPr>
          <w:trHeight w:val="81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3</w:t>
            </w:r>
          </w:p>
        </w:tc>
        <w:tc>
          <w:tcPr>
            <w:tcW w:w="3416"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工期</w:t>
            </w:r>
          </w:p>
        </w:tc>
        <w:tc>
          <w:tcPr>
            <w:tcW w:w="3943" w:type="dxa"/>
            <w:tcBorders>
              <w:top w:val="single" w:color="auto" w:sz="4" w:space="0"/>
              <w:left w:val="nil"/>
              <w:bottom w:val="single" w:color="auto" w:sz="4" w:space="0"/>
              <w:right w:val="single" w:color="auto" w:sz="4" w:space="0"/>
            </w:tcBorders>
            <w:vAlign w:val="center"/>
          </w:tcPr>
          <w:p>
            <w:pPr>
              <w:spacing w:line="240" w:lineRule="auto"/>
              <w:ind w:right="-93" w:firstLine="630" w:firstLineChars="300"/>
              <w:textAlignment w:val="baseline"/>
              <w:rPr>
                <w:color w:val="auto"/>
                <w:sz w:val="21"/>
                <w:szCs w:val="21"/>
                <w:highlight w:val="none"/>
              </w:rPr>
            </w:pP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r>
      <w:tr>
        <w:tblPrEx>
          <w:tblCellMar>
            <w:top w:w="0" w:type="dxa"/>
            <w:left w:w="108" w:type="dxa"/>
            <w:bottom w:w="0" w:type="dxa"/>
            <w:right w:w="108" w:type="dxa"/>
          </w:tblCellMar>
        </w:tblPrEx>
        <w:trPr>
          <w:trHeight w:val="81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4</w:t>
            </w:r>
          </w:p>
        </w:tc>
        <w:tc>
          <w:tcPr>
            <w:tcW w:w="3416"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缺陷责任期</w:t>
            </w:r>
          </w:p>
        </w:tc>
        <w:tc>
          <w:tcPr>
            <w:tcW w:w="3943"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r>
      <w:tr>
        <w:tblPrEx>
          <w:tblCellMar>
            <w:top w:w="0" w:type="dxa"/>
            <w:left w:w="108" w:type="dxa"/>
            <w:bottom w:w="0" w:type="dxa"/>
            <w:right w:w="108" w:type="dxa"/>
          </w:tblCellMar>
        </w:tblPrEx>
        <w:trPr>
          <w:trHeight w:val="81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6</w:t>
            </w:r>
          </w:p>
        </w:tc>
        <w:tc>
          <w:tcPr>
            <w:tcW w:w="3416"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kern w:val="0"/>
                <w:sz w:val="21"/>
                <w:szCs w:val="21"/>
                <w:highlight w:val="none"/>
              </w:rPr>
            </w:pPr>
            <w:r>
              <w:rPr>
                <w:rFonts w:hint="eastAsia"/>
                <w:color w:val="auto"/>
                <w:kern w:val="0"/>
                <w:sz w:val="21"/>
                <w:szCs w:val="21"/>
                <w:highlight w:val="none"/>
              </w:rPr>
              <w:t>履约保证金</w:t>
            </w:r>
          </w:p>
        </w:tc>
        <w:tc>
          <w:tcPr>
            <w:tcW w:w="3943" w:type="dxa"/>
            <w:tcBorders>
              <w:top w:val="single" w:color="auto" w:sz="4" w:space="0"/>
              <w:left w:val="nil"/>
              <w:bottom w:val="single" w:color="auto" w:sz="4" w:space="0"/>
              <w:right w:val="single" w:color="auto" w:sz="4" w:space="0"/>
            </w:tcBorders>
            <w:vAlign w:val="center"/>
          </w:tcPr>
          <w:p>
            <w:pPr>
              <w:spacing w:line="240" w:lineRule="auto"/>
              <w:jc w:val="center"/>
              <w:textAlignment w:val="baseline"/>
              <w:rPr>
                <w:color w:val="auto"/>
                <w:sz w:val="21"/>
                <w:szCs w:val="21"/>
                <w:highlight w:val="none"/>
              </w:rPr>
            </w:pP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r>
      <w:tr>
        <w:tblPrEx>
          <w:tblCellMar>
            <w:top w:w="0" w:type="dxa"/>
            <w:left w:w="108" w:type="dxa"/>
            <w:bottom w:w="0" w:type="dxa"/>
            <w:right w:w="108" w:type="dxa"/>
          </w:tblCellMar>
        </w:tblPrEx>
        <w:trPr>
          <w:trHeight w:val="81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7</w:t>
            </w:r>
          </w:p>
        </w:tc>
        <w:tc>
          <w:tcPr>
            <w:tcW w:w="3416"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kern w:val="0"/>
                <w:sz w:val="21"/>
                <w:szCs w:val="21"/>
                <w:highlight w:val="none"/>
              </w:rPr>
            </w:pPr>
            <w:r>
              <w:rPr>
                <w:rFonts w:hint="eastAsia"/>
                <w:color w:val="auto"/>
                <w:kern w:val="0"/>
                <w:sz w:val="21"/>
                <w:szCs w:val="21"/>
                <w:highlight w:val="none"/>
              </w:rPr>
              <w:t>商务要求</w:t>
            </w:r>
          </w:p>
        </w:tc>
        <w:tc>
          <w:tcPr>
            <w:tcW w:w="3943" w:type="dxa"/>
            <w:tcBorders>
              <w:top w:val="single" w:color="auto" w:sz="4" w:space="0"/>
              <w:left w:val="nil"/>
              <w:bottom w:val="single" w:color="auto" w:sz="4" w:space="0"/>
              <w:right w:val="single" w:color="auto" w:sz="4" w:space="0"/>
            </w:tcBorders>
            <w:vAlign w:val="center"/>
          </w:tcPr>
          <w:p>
            <w:pPr>
              <w:spacing w:line="240" w:lineRule="auto"/>
              <w:jc w:val="center"/>
              <w:textAlignment w:val="baseline"/>
              <w:rPr>
                <w:color w:val="auto"/>
                <w:sz w:val="21"/>
                <w:szCs w:val="21"/>
                <w:highlight w:val="none"/>
              </w:rPr>
            </w:pP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r>
      <w:tr>
        <w:tblPrEx>
          <w:tblCellMar>
            <w:top w:w="0" w:type="dxa"/>
            <w:left w:w="108" w:type="dxa"/>
            <w:bottom w:w="0" w:type="dxa"/>
            <w:right w:w="108" w:type="dxa"/>
          </w:tblCellMar>
        </w:tblPrEx>
        <w:trPr>
          <w:trHeight w:val="566"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8</w:t>
            </w:r>
          </w:p>
        </w:tc>
        <w:tc>
          <w:tcPr>
            <w:tcW w:w="3416"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kern w:val="0"/>
                <w:sz w:val="21"/>
                <w:szCs w:val="21"/>
                <w:highlight w:val="none"/>
              </w:rPr>
            </w:pPr>
            <w:r>
              <w:rPr>
                <w:rFonts w:hint="eastAsia"/>
                <w:color w:val="auto"/>
                <w:kern w:val="0"/>
                <w:sz w:val="21"/>
                <w:szCs w:val="21"/>
                <w:highlight w:val="none"/>
              </w:rPr>
              <w:t>技术、服务要求</w:t>
            </w:r>
          </w:p>
        </w:tc>
        <w:tc>
          <w:tcPr>
            <w:tcW w:w="3943" w:type="dxa"/>
            <w:tcBorders>
              <w:top w:val="single" w:color="auto" w:sz="4" w:space="0"/>
              <w:left w:val="nil"/>
              <w:bottom w:val="single" w:color="auto" w:sz="4" w:space="0"/>
              <w:right w:val="single" w:color="auto" w:sz="4" w:space="0"/>
            </w:tcBorders>
            <w:vAlign w:val="center"/>
          </w:tcPr>
          <w:p>
            <w:pPr>
              <w:spacing w:line="240" w:lineRule="auto"/>
              <w:jc w:val="center"/>
              <w:textAlignment w:val="baseline"/>
              <w:rPr>
                <w:color w:val="auto"/>
                <w:sz w:val="21"/>
                <w:szCs w:val="21"/>
                <w:highlight w:val="none"/>
              </w:rPr>
            </w:pP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r>
      <w:tr>
        <w:tblPrEx>
          <w:tblCellMar>
            <w:top w:w="0" w:type="dxa"/>
            <w:left w:w="108" w:type="dxa"/>
            <w:bottom w:w="0" w:type="dxa"/>
            <w:right w:w="108" w:type="dxa"/>
          </w:tblCellMar>
        </w:tblPrEx>
        <w:trPr>
          <w:trHeight w:val="566"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9</w:t>
            </w:r>
          </w:p>
        </w:tc>
        <w:tc>
          <w:tcPr>
            <w:tcW w:w="3416"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kern w:val="0"/>
                <w:sz w:val="21"/>
                <w:szCs w:val="21"/>
                <w:highlight w:val="none"/>
              </w:rPr>
            </w:pPr>
            <w:r>
              <w:rPr>
                <w:rFonts w:hint="eastAsia"/>
                <w:color w:val="auto"/>
                <w:kern w:val="0"/>
                <w:sz w:val="21"/>
                <w:szCs w:val="21"/>
                <w:highlight w:val="none"/>
              </w:rPr>
              <w:t>履约验收</w:t>
            </w:r>
          </w:p>
        </w:tc>
        <w:tc>
          <w:tcPr>
            <w:tcW w:w="3943" w:type="dxa"/>
            <w:tcBorders>
              <w:top w:val="single" w:color="auto" w:sz="4" w:space="0"/>
              <w:left w:val="nil"/>
              <w:bottom w:val="single" w:color="auto" w:sz="4" w:space="0"/>
              <w:right w:val="single" w:color="auto" w:sz="4" w:space="0"/>
            </w:tcBorders>
            <w:vAlign w:val="center"/>
          </w:tcPr>
          <w:p>
            <w:pPr>
              <w:spacing w:line="240" w:lineRule="auto"/>
              <w:jc w:val="center"/>
              <w:textAlignment w:val="baseline"/>
              <w:rPr>
                <w:color w:val="auto"/>
                <w:sz w:val="21"/>
                <w:szCs w:val="21"/>
                <w:highlight w:val="none"/>
              </w:rPr>
            </w:pP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p>
        </w:tc>
      </w:tr>
      <w:tr>
        <w:tblPrEx>
          <w:tblCellMar>
            <w:top w:w="0" w:type="dxa"/>
            <w:left w:w="108" w:type="dxa"/>
            <w:bottom w:w="0" w:type="dxa"/>
            <w:right w:w="108" w:type="dxa"/>
          </w:tblCellMar>
        </w:tblPrEx>
        <w:trPr>
          <w:trHeight w:val="492"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w:t>
            </w:r>
          </w:p>
        </w:tc>
        <w:tc>
          <w:tcPr>
            <w:tcW w:w="3416"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kern w:val="0"/>
                <w:sz w:val="21"/>
                <w:szCs w:val="21"/>
                <w:highlight w:val="none"/>
              </w:rPr>
            </w:pPr>
            <w:r>
              <w:rPr>
                <w:rFonts w:hint="eastAsia"/>
                <w:color w:val="auto"/>
                <w:kern w:val="0"/>
                <w:sz w:val="21"/>
                <w:szCs w:val="21"/>
                <w:highlight w:val="none"/>
              </w:rPr>
              <w:t>…</w:t>
            </w:r>
          </w:p>
        </w:tc>
        <w:tc>
          <w:tcPr>
            <w:tcW w:w="3943" w:type="dxa"/>
            <w:tcBorders>
              <w:top w:val="single" w:color="auto" w:sz="4" w:space="0"/>
              <w:left w:val="nil"/>
              <w:bottom w:val="single" w:color="auto" w:sz="4" w:space="0"/>
              <w:right w:val="single" w:color="auto" w:sz="4" w:space="0"/>
            </w:tcBorders>
            <w:vAlign w:val="center"/>
          </w:tcPr>
          <w:p>
            <w:pPr>
              <w:spacing w:line="240" w:lineRule="auto"/>
              <w:jc w:val="center"/>
              <w:textAlignment w:val="baseline"/>
              <w:rPr>
                <w:color w:val="auto"/>
                <w:sz w:val="21"/>
                <w:szCs w:val="21"/>
                <w:highlight w:val="none"/>
              </w:rPr>
            </w:pPr>
            <w:r>
              <w:rPr>
                <w:rFonts w:hint="eastAsia"/>
                <w:color w:val="auto"/>
                <w:sz w:val="21"/>
                <w:szCs w:val="21"/>
                <w:highlight w:val="none"/>
              </w:rPr>
              <w:t>…</w:t>
            </w:r>
          </w:p>
        </w:tc>
        <w:tc>
          <w:tcPr>
            <w:tcW w:w="1478" w:type="dxa"/>
            <w:tcBorders>
              <w:top w:val="single" w:color="auto" w:sz="4" w:space="0"/>
              <w:left w:val="nil"/>
              <w:bottom w:val="single" w:color="auto" w:sz="4" w:space="0"/>
              <w:right w:val="single" w:color="auto" w:sz="4" w:space="0"/>
            </w:tcBorders>
            <w:vAlign w:val="center"/>
          </w:tcPr>
          <w:p>
            <w:pPr>
              <w:spacing w:line="240" w:lineRule="auto"/>
              <w:ind w:right="24"/>
              <w:jc w:val="center"/>
              <w:textAlignment w:val="baseline"/>
              <w:rPr>
                <w:color w:val="auto"/>
                <w:sz w:val="21"/>
                <w:szCs w:val="21"/>
                <w:highlight w:val="none"/>
              </w:rPr>
            </w:pPr>
            <w:r>
              <w:rPr>
                <w:rFonts w:hint="eastAsia"/>
                <w:color w:val="auto"/>
                <w:sz w:val="21"/>
                <w:szCs w:val="21"/>
                <w:highlight w:val="none"/>
              </w:rPr>
              <w:t>…</w:t>
            </w:r>
          </w:p>
        </w:tc>
      </w:tr>
    </w:tbl>
    <w:p>
      <w:pPr>
        <w:pStyle w:val="49"/>
        <w:ind w:firstLine="482"/>
        <w:textAlignment w:val="baseline"/>
        <w:rPr>
          <w:color w:val="auto"/>
          <w:highlight w:val="none"/>
        </w:rPr>
      </w:pPr>
      <w:r>
        <w:rPr>
          <w:rFonts w:hint="eastAsia"/>
          <w:color w:val="auto"/>
          <w:highlight w:val="none"/>
        </w:rPr>
        <w:t>注：供应商必须根据谈判文件要求据实逐条填写，不得虚假应答，否则，其响应文件无效并按规定追究其相关责任。</w:t>
      </w:r>
    </w:p>
    <w:p>
      <w:pPr>
        <w:pStyle w:val="49"/>
        <w:ind w:firstLine="482"/>
        <w:textAlignment w:val="baseline"/>
        <w:rPr>
          <w:color w:val="auto"/>
          <w:highlight w:val="none"/>
        </w:rPr>
      </w:pPr>
    </w:p>
    <w:p>
      <w:pPr>
        <w:pStyle w:val="45"/>
        <w:textAlignment w:val="baseline"/>
        <w:rPr>
          <w:color w:val="auto"/>
          <w:highlight w:val="none"/>
        </w:rPr>
      </w:pPr>
    </w:p>
    <w:p>
      <w:pPr>
        <w:pStyle w:val="45"/>
        <w:textAlignment w:val="baseline"/>
        <w:rPr>
          <w:color w:val="auto"/>
          <w:highlight w:val="none"/>
        </w:rPr>
      </w:pPr>
    </w:p>
    <w:p>
      <w:pPr>
        <w:pStyle w:val="48"/>
        <w:textAlignment w:val="baseline"/>
        <w:rPr>
          <w:color w:val="auto"/>
          <w:highlight w:val="none"/>
        </w:rPr>
      </w:pPr>
      <w:r>
        <w:rPr>
          <w:rFonts w:hint="eastAsia"/>
          <w:color w:val="auto"/>
          <w:highlight w:val="none"/>
        </w:rPr>
        <w:t>供应商名称：</w:t>
      </w:r>
      <w:r>
        <w:rPr>
          <w:rFonts w:hint="eastAsia"/>
          <w:bCs/>
          <w:color w:val="auto"/>
          <w:highlight w:val="none"/>
          <w:u w:val="single" w:color="000000"/>
        </w:rPr>
        <w:t xml:space="preserve">                 </w:t>
      </w:r>
      <w:r>
        <w:rPr>
          <w:rFonts w:hint="eastAsia"/>
          <w:color w:val="auto"/>
          <w:highlight w:val="none"/>
        </w:rPr>
        <w:t>(盖章)</w:t>
      </w:r>
    </w:p>
    <w:p>
      <w:pPr>
        <w:pStyle w:val="48"/>
        <w:textAlignment w:val="baseline"/>
        <w:rPr>
          <w:color w:val="auto"/>
          <w:highlight w:val="none"/>
        </w:rPr>
      </w:pPr>
      <w:r>
        <w:rPr>
          <w:rFonts w:hint="eastAsia"/>
          <w:color w:val="auto"/>
          <w:highlight w:val="none"/>
        </w:rPr>
        <w:t>法定代表人/单位负责人或授权代表：</w:t>
      </w:r>
      <w:r>
        <w:rPr>
          <w:rFonts w:hint="eastAsia"/>
          <w:bCs/>
          <w:color w:val="auto"/>
          <w:highlight w:val="none"/>
          <w:u w:val="single" w:color="000000"/>
        </w:rPr>
        <w:t xml:space="preserve">                 </w:t>
      </w:r>
      <w:r>
        <w:rPr>
          <w:rFonts w:hint="eastAsia"/>
          <w:color w:val="auto"/>
          <w:highlight w:val="none"/>
        </w:rPr>
        <w:t>(签字或盖章)</w:t>
      </w:r>
    </w:p>
    <w:p>
      <w:pPr>
        <w:wordWrap w:val="0"/>
        <w:topLinePunct/>
        <w:ind w:firstLine="480" w:firstLineChars="200"/>
        <w:rPr>
          <w:rFonts w:cs="宋体"/>
          <w:color w:val="auto"/>
          <w:kern w:val="0"/>
          <w:highlight w:val="none"/>
        </w:rPr>
      </w:pPr>
      <w:r>
        <w:rPr>
          <w:rFonts w:hint="eastAsia"/>
          <w:color w:val="auto"/>
          <w:highlight w:val="none"/>
        </w:rPr>
        <w:t>谈判日期：</w:t>
      </w:r>
      <w:r>
        <w:rPr>
          <w:rFonts w:hint="eastAsia"/>
          <w:bCs/>
          <w:color w:val="auto"/>
          <w:highlight w:val="none"/>
          <w:u w:val="single" w:color="000000"/>
        </w:rPr>
        <w:t xml:space="preserve">                </w:t>
      </w:r>
      <w:r>
        <w:rPr>
          <w:rFonts w:hint="eastAsia" w:cs="宋体"/>
          <w:color w:val="auto"/>
          <w:kern w:val="0"/>
          <w:highlight w:val="none"/>
        </w:rPr>
        <w:t>。</w:t>
      </w:r>
    </w:p>
    <w:p>
      <w:pPr>
        <w:spacing w:line="400" w:lineRule="exact"/>
        <w:rPr>
          <w:rFonts w:cs="宋体"/>
          <w:color w:val="auto"/>
          <w:highlight w:val="none"/>
        </w:rPr>
      </w:pPr>
    </w:p>
    <w:p>
      <w:pPr>
        <w:spacing w:line="400" w:lineRule="exact"/>
        <w:rPr>
          <w:rFonts w:cs="宋体"/>
          <w:color w:val="auto"/>
          <w:highlight w:val="none"/>
        </w:rPr>
      </w:pPr>
    </w:p>
    <w:p>
      <w:pPr>
        <w:widowControl/>
        <w:shd w:val="clear" w:color="auto" w:fill="FFFFFF"/>
        <w:spacing w:line="360" w:lineRule="atLeast"/>
        <w:ind w:firstLine="470" w:firstLineChars="196"/>
        <w:rPr>
          <w:rFonts w:cs="宋体"/>
          <w:color w:val="auto"/>
          <w:highlight w:val="none"/>
        </w:rPr>
      </w:pPr>
    </w:p>
    <w:p>
      <w:pPr>
        <w:pStyle w:val="46"/>
        <w:numPr>
          <w:ilvl w:val="0"/>
          <w:numId w:val="30"/>
        </w:numPr>
        <w:spacing w:before="120" w:after="120"/>
        <w:ind w:firstLine="0"/>
        <w:rPr>
          <w:rFonts w:cs="宋体"/>
          <w:color w:val="auto"/>
          <w:w w:val="95"/>
          <w:kern w:val="0"/>
          <w:szCs w:val="20"/>
          <w:highlight w:val="none"/>
        </w:rPr>
      </w:pPr>
      <w:bookmarkStart w:id="306" w:name="_Toc16940"/>
      <w:bookmarkStart w:id="307" w:name="_Toc26706"/>
      <w:bookmarkStart w:id="308" w:name="_Toc28501"/>
      <w:bookmarkStart w:id="309" w:name="_Toc15135"/>
      <w:r>
        <w:rPr>
          <w:rFonts w:hint="eastAsia" w:cs="宋体"/>
          <w:color w:val="auto"/>
          <w:w w:val="95"/>
          <w:kern w:val="0"/>
          <w:szCs w:val="20"/>
          <w:highlight w:val="none"/>
        </w:rPr>
        <w:t>项目管理机构</w:t>
      </w:r>
      <w:bookmarkEnd w:id="306"/>
      <w:bookmarkEnd w:id="307"/>
      <w:bookmarkEnd w:id="308"/>
      <w:bookmarkEnd w:id="309"/>
    </w:p>
    <w:p>
      <w:pPr>
        <w:pStyle w:val="45"/>
        <w:numPr>
          <w:ilvl w:val="0"/>
          <w:numId w:val="33"/>
        </w:numPr>
        <w:tabs>
          <w:tab w:val="clear" w:pos="312"/>
        </w:tabs>
        <w:ind w:left="0" w:firstLine="482" w:firstLineChars="200"/>
        <w:outlineLvl w:val="3"/>
        <w:rPr>
          <w:rFonts w:asciiTheme="minorEastAsia" w:hAnsiTheme="minorEastAsia" w:eastAsiaTheme="minorEastAsia" w:cstheme="minorEastAsia"/>
          <w:b/>
          <w:bCs/>
          <w:color w:val="auto"/>
          <w:highlight w:val="none"/>
        </w:rPr>
      </w:pPr>
      <w:bookmarkStart w:id="310" w:name="_Toc7302"/>
      <w:r>
        <w:rPr>
          <w:rFonts w:hint="eastAsia" w:asciiTheme="minorEastAsia" w:hAnsiTheme="minorEastAsia" w:eastAsiaTheme="minorEastAsia" w:cstheme="minorEastAsia"/>
          <w:b/>
          <w:bCs/>
          <w:color w:val="auto"/>
          <w:highlight w:val="none"/>
        </w:rPr>
        <w:t>项目管理机构组成表</w:t>
      </w:r>
      <w:bookmarkEnd w:id="310"/>
    </w:p>
    <w:tbl>
      <w:tblPr>
        <w:tblStyle w:val="24"/>
        <w:tblW w:w="5002" w:type="pct"/>
        <w:jc w:val="center"/>
        <w:tblLayout w:type="autofit"/>
        <w:tblCellMar>
          <w:top w:w="0" w:type="dxa"/>
          <w:left w:w="0" w:type="dxa"/>
          <w:bottom w:w="0" w:type="dxa"/>
          <w:right w:w="0" w:type="dxa"/>
        </w:tblCellMar>
      </w:tblPr>
      <w:tblGrid>
        <w:gridCol w:w="892"/>
        <w:gridCol w:w="1766"/>
        <w:gridCol w:w="1482"/>
        <w:gridCol w:w="1330"/>
        <w:gridCol w:w="1356"/>
        <w:gridCol w:w="1182"/>
        <w:gridCol w:w="1752"/>
      </w:tblGrid>
      <w:tr>
        <w:tblPrEx>
          <w:tblCellMar>
            <w:top w:w="0" w:type="dxa"/>
            <w:left w:w="0" w:type="dxa"/>
            <w:bottom w:w="0" w:type="dxa"/>
            <w:right w:w="0" w:type="dxa"/>
          </w:tblCellMar>
        </w:tblPrEx>
        <w:trPr>
          <w:trHeight w:val="614" w:hRule="atLeast"/>
          <w:jc w:val="center"/>
        </w:trPr>
        <w:tc>
          <w:tcPr>
            <w:tcW w:w="457" w:type="pct"/>
            <w:vMerge w:val="restart"/>
            <w:tcBorders>
              <w:top w:val="single" w:color="auto" w:sz="4" w:space="0"/>
              <w:left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序号</w:t>
            </w:r>
          </w:p>
        </w:tc>
        <w:tc>
          <w:tcPr>
            <w:tcW w:w="904" w:type="pct"/>
            <w:vMerge w:val="restart"/>
            <w:tcBorders>
              <w:top w:val="single" w:color="auto" w:sz="4" w:space="0"/>
              <w:left w:val="nil"/>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职务</w:t>
            </w:r>
          </w:p>
        </w:tc>
        <w:tc>
          <w:tcPr>
            <w:tcW w:w="759" w:type="pct"/>
            <w:vMerge w:val="restart"/>
            <w:tcBorders>
              <w:top w:val="single" w:color="auto" w:sz="4" w:space="0"/>
              <w:left w:val="nil"/>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姓名</w:t>
            </w:r>
          </w:p>
        </w:tc>
        <w:tc>
          <w:tcPr>
            <w:tcW w:w="1375" w:type="pct"/>
            <w:gridSpan w:val="2"/>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执业或职业资格</w:t>
            </w:r>
          </w:p>
        </w:tc>
        <w:tc>
          <w:tcPr>
            <w:tcW w:w="1502" w:type="pct"/>
            <w:gridSpan w:val="2"/>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职称</w:t>
            </w:r>
          </w:p>
        </w:tc>
      </w:tr>
      <w:tr>
        <w:tblPrEx>
          <w:tblCellMar>
            <w:top w:w="0" w:type="dxa"/>
            <w:left w:w="0" w:type="dxa"/>
            <w:bottom w:w="0" w:type="dxa"/>
            <w:right w:w="0" w:type="dxa"/>
          </w:tblCellMar>
        </w:tblPrEx>
        <w:trPr>
          <w:trHeight w:val="614" w:hRule="atLeast"/>
          <w:jc w:val="center"/>
        </w:trPr>
        <w:tc>
          <w:tcPr>
            <w:tcW w:w="457" w:type="pct"/>
            <w:vMerge w:val="continue"/>
            <w:tcBorders>
              <w:left w:val="single" w:color="auto" w:sz="4" w:space="0"/>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904" w:type="pct"/>
            <w:vMerge w:val="continue"/>
            <w:tcBorders>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759" w:type="pct"/>
            <w:vMerge w:val="continue"/>
            <w:tcBorders>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81"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证书名称</w:t>
            </w:r>
          </w:p>
        </w:tc>
        <w:tc>
          <w:tcPr>
            <w:tcW w:w="694"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证书编号</w:t>
            </w:r>
          </w:p>
        </w:tc>
        <w:tc>
          <w:tcPr>
            <w:tcW w:w="605"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职称专业</w:t>
            </w:r>
          </w:p>
        </w:tc>
        <w:tc>
          <w:tcPr>
            <w:tcW w:w="897"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级别</w:t>
            </w:r>
          </w:p>
        </w:tc>
      </w:tr>
      <w:tr>
        <w:tblPrEx>
          <w:tblCellMar>
            <w:top w:w="0" w:type="dxa"/>
            <w:left w:w="0" w:type="dxa"/>
            <w:bottom w:w="0" w:type="dxa"/>
            <w:right w:w="0" w:type="dxa"/>
          </w:tblCellMar>
        </w:tblPrEx>
        <w:trPr>
          <w:trHeight w:val="589"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1</w:t>
            </w:r>
          </w:p>
        </w:tc>
        <w:tc>
          <w:tcPr>
            <w:tcW w:w="904"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项目负责人</w:t>
            </w:r>
          </w:p>
          <w:p>
            <w:pPr>
              <w:spacing w:line="240" w:lineRule="auto"/>
              <w:jc w:val="center"/>
              <w:rPr>
                <w:rFonts w:cs="宋体"/>
                <w:color w:val="auto"/>
                <w:sz w:val="21"/>
                <w:szCs w:val="21"/>
                <w:highlight w:val="none"/>
              </w:rPr>
            </w:pPr>
            <w:r>
              <w:rPr>
                <w:rFonts w:hint="eastAsia" w:cs="宋体"/>
                <w:color w:val="auto"/>
                <w:sz w:val="21"/>
                <w:szCs w:val="21"/>
                <w:highlight w:val="none"/>
              </w:rPr>
              <w:t>(项目经理)</w:t>
            </w:r>
          </w:p>
        </w:tc>
        <w:tc>
          <w:tcPr>
            <w:tcW w:w="759"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81"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94"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05"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897"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r>
      <w:tr>
        <w:tblPrEx>
          <w:tblCellMar>
            <w:top w:w="0" w:type="dxa"/>
            <w:left w:w="0" w:type="dxa"/>
            <w:bottom w:w="0" w:type="dxa"/>
            <w:right w:w="0" w:type="dxa"/>
          </w:tblCellMar>
        </w:tblPrEx>
        <w:trPr>
          <w:trHeight w:val="589"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2</w:t>
            </w:r>
          </w:p>
        </w:tc>
        <w:tc>
          <w:tcPr>
            <w:tcW w:w="904"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项目技术负责人</w:t>
            </w:r>
          </w:p>
        </w:tc>
        <w:tc>
          <w:tcPr>
            <w:tcW w:w="759"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81"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94"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05"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897" w:type="pct"/>
            <w:tcBorders>
              <w:top w:val="single" w:color="auto" w:sz="4" w:space="0"/>
              <w:left w:val="nil"/>
              <w:bottom w:val="single" w:color="auto" w:sz="4" w:space="0"/>
              <w:right w:val="single" w:color="auto" w:sz="4" w:space="0"/>
            </w:tcBorders>
          </w:tcPr>
          <w:p>
            <w:pPr>
              <w:spacing w:line="240" w:lineRule="auto"/>
              <w:jc w:val="center"/>
              <w:rPr>
                <w:rFonts w:cs="宋体"/>
                <w:color w:val="auto"/>
                <w:sz w:val="21"/>
                <w:szCs w:val="21"/>
                <w:highlight w:val="none"/>
              </w:rPr>
            </w:pPr>
          </w:p>
        </w:tc>
      </w:tr>
      <w:tr>
        <w:tblPrEx>
          <w:tblCellMar>
            <w:top w:w="0" w:type="dxa"/>
            <w:left w:w="0" w:type="dxa"/>
            <w:bottom w:w="0" w:type="dxa"/>
            <w:right w:w="0" w:type="dxa"/>
          </w:tblCellMar>
        </w:tblPrEx>
        <w:trPr>
          <w:trHeight w:val="589"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w:t>
            </w:r>
          </w:p>
        </w:tc>
        <w:tc>
          <w:tcPr>
            <w:tcW w:w="904"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r>
              <w:rPr>
                <w:rFonts w:hint="eastAsia" w:cs="宋体"/>
                <w:color w:val="auto"/>
                <w:sz w:val="21"/>
                <w:szCs w:val="21"/>
                <w:highlight w:val="none"/>
              </w:rPr>
              <w:t>…</w:t>
            </w:r>
          </w:p>
        </w:tc>
        <w:tc>
          <w:tcPr>
            <w:tcW w:w="759"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81"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94"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605" w:type="pct"/>
            <w:tcBorders>
              <w:top w:val="single" w:color="auto" w:sz="4" w:space="0"/>
              <w:left w:val="nil"/>
              <w:bottom w:val="single" w:color="auto" w:sz="4" w:space="0"/>
              <w:right w:val="single" w:color="auto" w:sz="4" w:space="0"/>
            </w:tcBorders>
            <w:vAlign w:val="center"/>
          </w:tcPr>
          <w:p>
            <w:pPr>
              <w:spacing w:line="240" w:lineRule="auto"/>
              <w:jc w:val="center"/>
              <w:rPr>
                <w:rFonts w:cs="宋体"/>
                <w:color w:val="auto"/>
                <w:sz w:val="21"/>
                <w:szCs w:val="21"/>
                <w:highlight w:val="none"/>
              </w:rPr>
            </w:pPr>
          </w:p>
        </w:tc>
        <w:tc>
          <w:tcPr>
            <w:tcW w:w="897" w:type="pct"/>
            <w:tcBorders>
              <w:top w:val="single" w:color="auto" w:sz="4" w:space="0"/>
              <w:left w:val="nil"/>
              <w:bottom w:val="single" w:color="auto" w:sz="4" w:space="0"/>
              <w:right w:val="single" w:color="auto" w:sz="4" w:space="0"/>
            </w:tcBorders>
          </w:tcPr>
          <w:p>
            <w:pPr>
              <w:spacing w:line="240" w:lineRule="auto"/>
              <w:jc w:val="center"/>
              <w:rPr>
                <w:rFonts w:cs="宋体"/>
                <w:color w:val="auto"/>
                <w:sz w:val="21"/>
                <w:szCs w:val="21"/>
                <w:highlight w:val="none"/>
              </w:rPr>
            </w:pPr>
          </w:p>
        </w:tc>
      </w:tr>
    </w:tbl>
    <w:p>
      <w:pPr>
        <w:pStyle w:val="45"/>
        <w:ind w:firstLine="480" w:firstLineChars="200"/>
        <w:rPr>
          <w:snapToGrid/>
          <w:color w:val="auto"/>
          <w:highlight w:val="none"/>
        </w:rPr>
      </w:pPr>
      <w:r>
        <w:rPr>
          <w:rFonts w:hint="eastAsia"/>
          <w:snapToGrid/>
          <w:color w:val="auto"/>
          <w:highlight w:val="none"/>
        </w:rPr>
        <w:t>注：</w:t>
      </w:r>
      <w:r>
        <w:rPr>
          <w:rFonts w:hint="eastAsia"/>
          <w:snapToGrid/>
          <w:color w:val="auto"/>
          <w:highlight w:val="none"/>
        </w:rPr>
        <w:fldChar w:fldCharType="begin"/>
      </w:r>
      <w:r>
        <w:rPr>
          <w:rFonts w:hint="eastAsia"/>
          <w:snapToGrid/>
          <w:color w:val="auto"/>
          <w:highlight w:val="none"/>
        </w:rPr>
        <w:instrText xml:space="preserve"> = 1 \* GB3 \* MERGEFORMAT </w:instrText>
      </w:r>
      <w:r>
        <w:rPr>
          <w:rFonts w:hint="eastAsia"/>
          <w:snapToGrid/>
          <w:color w:val="auto"/>
          <w:highlight w:val="none"/>
        </w:rPr>
        <w:fldChar w:fldCharType="separate"/>
      </w:r>
      <w:r>
        <w:rPr>
          <w:rFonts w:hint="eastAsia"/>
          <w:snapToGrid/>
          <w:color w:val="auto"/>
          <w:highlight w:val="none"/>
        </w:rPr>
        <w:t>①</w:t>
      </w:r>
      <w:r>
        <w:rPr>
          <w:rFonts w:hint="eastAsia"/>
          <w:snapToGrid/>
          <w:color w:val="auto"/>
          <w:highlight w:val="none"/>
        </w:rPr>
        <w:fldChar w:fldCharType="end"/>
      </w:r>
      <w:r>
        <w:rPr>
          <w:rFonts w:hint="eastAsia"/>
          <w:snapToGrid/>
          <w:color w:val="auto"/>
          <w:highlight w:val="none"/>
        </w:rPr>
        <w:t>如需办理施工许可证，人员配备需满足办理施工许可证相关要求。</w:t>
      </w:r>
      <w:r>
        <w:rPr>
          <w:rFonts w:hint="eastAsia"/>
          <w:snapToGrid/>
          <w:color w:val="auto"/>
          <w:highlight w:val="none"/>
        </w:rPr>
        <w:fldChar w:fldCharType="begin"/>
      </w:r>
      <w:r>
        <w:rPr>
          <w:rFonts w:hint="eastAsia"/>
          <w:snapToGrid/>
          <w:color w:val="auto"/>
          <w:highlight w:val="none"/>
        </w:rPr>
        <w:instrText xml:space="preserve"> = 2 \* GB3 \* MERGEFORMAT </w:instrText>
      </w:r>
      <w:r>
        <w:rPr>
          <w:rFonts w:hint="eastAsia"/>
          <w:snapToGrid/>
          <w:color w:val="auto"/>
          <w:highlight w:val="none"/>
        </w:rPr>
        <w:fldChar w:fldCharType="separate"/>
      </w:r>
      <w:r>
        <w:rPr>
          <w:rFonts w:hint="eastAsia"/>
          <w:snapToGrid/>
          <w:color w:val="auto"/>
          <w:highlight w:val="none"/>
        </w:rPr>
        <w:t>②</w:t>
      </w:r>
      <w:r>
        <w:rPr>
          <w:rFonts w:hint="eastAsia"/>
          <w:snapToGrid/>
          <w:color w:val="auto"/>
          <w:highlight w:val="none"/>
        </w:rPr>
        <w:fldChar w:fldCharType="end"/>
      </w:r>
      <w:r>
        <w:rPr>
          <w:rFonts w:hint="eastAsia"/>
          <w:snapToGrid/>
          <w:color w:val="auto"/>
          <w:highlight w:val="none"/>
        </w:rPr>
        <w:t>供应商根据自身实际情况填写，对不涉及的内容可填写“/”。</w:t>
      </w:r>
    </w:p>
    <w:p>
      <w:pPr>
        <w:pStyle w:val="48"/>
        <w:rPr>
          <w:color w:val="auto"/>
          <w:highlight w:val="none"/>
        </w:rPr>
      </w:pPr>
    </w:p>
    <w:p>
      <w:pPr>
        <w:pStyle w:val="48"/>
        <w:rPr>
          <w:color w:val="auto"/>
          <w:highlight w:val="none"/>
        </w:rPr>
      </w:pPr>
    </w:p>
    <w:p>
      <w:pPr>
        <w:pStyle w:val="48"/>
        <w:rPr>
          <w:color w:val="auto"/>
          <w:highlight w:val="none"/>
        </w:rPr>
      </w:pPr>
      <w:r>
        <w:rPr>
          <w:rFonts w:hint="eastAsia"/>
          <w:color w:val="auto"/>
          <w:highlight w:val="none"/>
        </w:rPr>
        <w:t>供应商名称：</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(盖章)</w:t>
      </w:r>
    </w:p>
    <w:p>
      <w:pPr>
        <w:pStyle w:val="48"/>
        <w:rPr>
          <w:color w:val="auto"/>
          <w:highlight w:val="none"/>
        </w:rPr>
      </w:pPr>
      <w:r>
        <w:rPr>
          <w:rFonts w:hint="eastAsia"/>
          <w:color w:val="auto"/>
          <w:highlight w:val="none"/>
        </w:rPr>
        <w:t>法定代表人/单位负责人或授权代表：</w:t>
      </w:r>
      <w:r>
        <w:rPr>
          <w:rFonts w:hint="eastAsia" w:asciiTheme="minorEastAsia" w:hAnsiTheme="minorEastAsia" w:eastAsiaTheme="minorEastAsia" w:cstheme="minorEastAsia"/>
          <w:color w:val="auto"/>
          <w:highlight w:val="none"/>
          <w:u w:val="single"/>
        </w:rPr>
        <w:t xml:space="preserve">            </w:t>
      </w:r>
      <w:r>
        <w:rPr>
          <w:rFonts w:hint="eastAsia"/>
          <w:color w:val="auto"/>
          <w:highlight w:val="none"/>
        </w:rPr>
        <w:t>(签字或盖章)</w:t>
      </w:r>
    </w:p>
    <w:p>
      <w:pPr>
        <w:pStyle w:val="48"/>
        <w:rPr>
          <w:color w:val="auto"/>
          <w:highlight w:val="none"/>
        </w:rPr>
      </w:pPr>
      <w:r>
        <w:rPr>
          <w:rFonts w:hint="eastAsia"/>
          <w:color w:val="auto"/>
          <w:highlight w:val="none"/>
        </w:rPr>
        <w:t>谈判日期：</w:t>
      </w:r>
      <w:r>
        <w:rPr>
          <w:rFonts w:hint="eastAsia" w:asciiTheme="minorEastAsia" w:hAnsiTheme="minorEastAsia" w:eastAsiaTheme="minorEastAsia" w:cstheme="minorEastAsia"/>
          <w:color w:val="auto"/>
          <w:highlight w:val="none"/>
          <w:u w:val="single"/>
        </w:rPr>
        <w:t xml:space="preserve">            </w:t>
      </w:r>
    </w:p>
    <w:p>
      <w:pPr>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pPr>
        <w:pStyle w:val="45"/>
        <w:numPr>
          <w:ilvl w:val="0"/>
          <w:numId w:val="33"/>
        </w:numPr>
        <w:tabs>
          <w:tab w:val="clear" w:pos="312"/>
        </w:tabs>
        <w:ind w:left="0" w:firstLine="482" w:firstLineChars="200"/>
        <w:outlineLvl w:val="3"/>
        <w:rPr>
          <w:rFonts w:asciiTheme="minorEastAsia" w:hAnsiTheme="minorEastAsia" w:eastAsiaTheme="minorEastAsia" w:cstheme="minorEastAsia"/>
          <w:b/>
          <w:bCs/>
          <w:color w:val="auto"/>
          <w:highlight w:val="none"/>
        </w:rPr>
      </w:pPr>
      <w:bookmarkStart w:id="311" w:name="_Toc29862"/>
      <w:r>
        <w:rPr>
          <w:rFonts w:hint="eastAsia" w:asciiTheme="minorEastAsia" w:hAnsiTheme="minorEastAsia" w:eastAsiaTheme="minorEastAsia" w:cstheme="minorEastAsia"/>
          <w:b/>
          <w:bCs/>
          <w:color w:val="auto"/>
          <w:highlight w:val="none"/>
        </w:rPr>
        <w:t>主要人员简历表</w:t>
      </w:r>
      <w:bookmarkEnd w:id="311"/>
    </w:p>
    <w:tbl>
      <w:tblPr>
        <w:tblStyle w:val="24"/>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240" w:type="dxa"/>
            <w:gridSpan w:val="2"/>
            <w:tcBorders>
              <w:top w:val="single" w:color="auto" w:sz="4" w:space="0"/>
              <w:left w:val="nil"/>
              <w:bottom w:val="single" w:color="auto" w:sz="4" w:space="0"/>
              <w:right w:val="single" w:color="auto" w:sz="4" w:space="0"/>
            </w:tcBorders>
          </w:tcPr>
          <w:p>
            <w:pPr>
              <w:spacing w:line="240" w:lineRule="auto"/>
              <w:jc w:val="center"/>
              <w:rPr>
                <w:rFonts w:asciiTheme="minorEastAsia" w:hAnsiTheme="minorEastAsia" w:eastAsiaTheme="minorEastAsia" w:cstheme="minorEastAsia"/>
                <w:color w:val="auto"/>
                <w:sz w:val="21"/>
                <w:szCs w:val="21"/>
                <w:highlight w:val="none"/>
              </w:rPr>
            </w:pPr>
          </w:p>
        </w:tc>
        <w:tc>
          <w:tcPr>
            <w:tcW w:w="1134"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年龄</w:t>
            </w:r>
          </w:p>
        </w:tc>
        <w:tc>
          <w:tcPr>
            <w:tcW w:w="5437" w:type="dxa"/>
            <w:gridSpan w:val="3"/>
            <w:tcBorders>
              <w:top w:val="single" w:color="auto" w:sz="4" w:space="0"/>
              <w:left w:val="nil"/>
              <w:bottom w:val="single" w:color="auto" w:sz="4" w:space="0"/>
              <w:right w:val="single" w:color="auto" w:sz="4" w:space="0"/>
            </w:tcBorders>
          </w:tcPr>
          <w:p>
            <w:pPr>
              <w:spacing w:line="240" w:lineRule="auto"/>
              <w:jc w:val="center"/>
              <w:rPr>
                <w:rFonts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1240" w:type="dxa"/>
            <w:gridSpan w:val="2"/>
            <w:tcBorders>
              <w:top w:val="single" w:color="auto" w:sz="4" w:space="0"/>
              <w:left w:val="nil"/>
              <w:bottom w:val="single" w:color="auto" w:sz="4" w:space="0"/>
              <w:right w:val="single" w:color="auto" w:sz="4" w:space="0"/>
            </w:tcBorders>
          </w:tcPr>
          <w:p>
            <w:pPr>
              <w:spacing w:line="240" w:lineRule="auto"/>
              <w:jc w:val="center"/>
              <w:rPr>
                <w:rFonts w:asciiTheme="minorEastAsia" w:hAnsiTheme="minorEastAsia" w:eastAsiaTheme="minorEastAsia" w:cstheme="minorEastAsia"/>
                <w:color w:val="auto"/>
                <w:sz w:val="21"/>
                <w:szCs w:val="21"/>
                <w:highlight w:val="none"/>
              </w:rPr>
            </w:pPr>
          </w:p>
        </w:tc>
        <w:tc>
          <w:tcPr>
            <w:tcW w:w="1134"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职务</w:t>
            </w:r>
          </w:p>
        </w:tc>
        <w:tc>
          <w:tcPr>
            <w:tcW w:w="1276" w:type="dxa"/>
            <w:tcBorders>
              <w:top w:val="single" w:color="auto" w:sz="4" w:space="0"/>
              <w:left w:val="nil"/>
              <w:bottom w:val="single" w:color="auto" w:sz="4" w:space="0"/>
              <w:right w:val="single" w:color="auto" w:sz="4" w:space="0"/>
            </w:tcBorders>
          </w:tcPr>
          <w:p>
            <w:pPr>
              <w:spacing w:line="240" w:lineRule="auto"/>
              <w:jc w:val="center"/>
              <w:rPr>
                <w:rFonts w:asciiTheme="minorEastAsia" w:hAnsiTheme="minorEastAsia" w:eastAsiaTheme="minorEastAsia" w:cstheme="minorEastAsia"/>
                <w:color w:val="auto"/>
                <w:sz w:val="21"/>
                <w:szCs w:val="21"/>
                <w:highlight w:val="none"/>
              </w:rPr>
            </w:pPr>
          </w:p>
        </w:tc>
        <w:tc>
          <w:tcPr>
            <w:tcW w:w="1843"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拟在本合同任职</w:t>
            </w:r>
          </w:p>
        </w:tc>
        <w:tc>
          <w:tcPr>
            <w:tcW w:w="2318" w:type="dxa"/>
            <w:tcBorders>
              <w:top w:val="single" w:color="auto" w:sz="4" w:space="0"/>
              <w:left w:val="nil"/>
              <w:bottom w:val="single" w:color="auto" w:sz="4" w:space="0"/>
              <w:right w:val="single" w:color="auto" w:sz="4" w:space="0"/>
            </w:tcBorders>
          </w:tcPr>
          <w:p>
            <w:pPr>
              <w:spacing w:line="240" w:lineRule="auto"/>
              <w:jc w:val="center"/>
              <w:rPr>
                <w:rFonts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4200" w:firstLineChars="20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主要工作经历</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p>
        </w:tc>
        <w:tc>
          <w:tcPr>
            <w:tcW w:w="3625" w:type="dxa"/>
            <w:gridSpan w:val="3"/>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1843"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担任职务</w:t>
            </w:r>
          </w:p>
        </w:tc>
        <w:tc>
          <w:tcPr>
            <w:tcW w:w="2318"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3625" w:type="dxa"/>
            <w:gridSpan w:val="3"/>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1843"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2318"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3625" w:type="dxa"/>
            <w:gridSpan w:val="3"/>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1843"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2318"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3625" w:type="dxa"/>
            <w:gridSpan w:val="3"/>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1843"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c>
          <w:tcPr>
            <w:tcW w:w="2318" w:type="dxa"/>
            <w:tcBorders>
              <w:top w:val="single" w:color="auto" w:sz="4" w:space="0"/>
              <w:left w:val="nil"/>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auto"/>
                <w:sz w:val="21"/>
                <w:szCs w:val="21"/>
                <w:highlight w:val="none"/>
              </w:rPr>
            </w:pPr>
          </w:p>
        </w:tc>
      </w:tr>
    </w:tbl>
    <w:p>
      <w:pPr>
        <w:spacing w:line="360" w:lineRule="auto"/>
        <w:ind w:firstLine="480" w:firstLineChars="200"/>
        <w:rPr>
          <w:color w:val="auto"/>
          <w:highlight w:val="none"/>
        </w:rPr>
      </w:pPr>
      <w:r>
        <w:rPr>
          <w:rFonts w:hint="eastAsia"/>
          <w:color w:val="auto"/>
          <w:highlight w:val="none"/>
        </w:rPr>
        <w:t>注：</w:t>
      </w:r>
    </w:p>
    <w:p>
      <w:pPr>
        <w:spacing w:line="360" w:lineRule="auto"/>
        <w:ind w:firstLine="480" w:firstLineChars="200"/>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rPr>
        <w:t>人员应附身份证复印件。</w:t>
      </w:r>
    </w:p>
    <w:p>
      <w:pPr>
        <w:spacing w:line="360" w:lineRule="auto"/>
        <w:ind w:firstLine="480" w:firstLineChars="200"/>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rPr>
        <w:t>人员应附执业或职业资格证或上岗证或职称证复印件。</w:t>
      </w:r>
    </w:p>
    <w:p>
      <w:pPr>
        <w:pStyle w:val="46"/>
        <w:numPr>
          <w:ilvl w:val="0"/>
          <w:numId w:val="30"/>
        </w:numPr>
        <w:spacing w:before="120" w:after="120"/>
        <w:ind w:firstLine="0"/>
        <w:rPr>
          <w:color w:val="auto"/>
          <w:highlight w:val="none"/>
        </w:rPr>
        <w:sectPr>
          <w:pgSz w:w="11906" w:h="16838"/>
          <w:pgMar w:top="1440" w:right="1080" w:bottom="1440" w:left="1080" w:header="851" w:footer="992" w:gutter="0"/>
          <w:cols w:space="0" w:num="1"/>
          <w:titlePg/>
          <w:docGrid w:linePitch="312" w:charSpace="0"/>
        </w:sectPr>
      </w:pPr>
    </w:p>
    <w:bookmarkEnd w:id="289"/>
    <w:bookmarkEnd w:id="290"/>
    <w:bookmarkEnd w:id="291"/>
    <w:bookmarkEnd w:id="292"/>
    <w:bookmarkEnd w:id="293"/>
    <w:bookmarkEnd w:id="294"/>
    <w:bookmarkEnd w:id="295"/>
    <w:bookmarkEnd w:id="296"/>
    <w:bookmarkEnd w:id="297"/>
    <w:bookmarkEnd w:id="298"/>
    <w:bookmarkEnd w:id="299"/>
    <w:bookmarkEnd w:id="300"/>
    <w:bookmarkEnd w:id="301"/>
    <w:p>
      <w:pPr>
        <w:pStyle w:val="46"/>
        <w:numPr>
          <w:ilvl w:val="0"/>
          <w:numId w:val="30"/>
        </w:numPr>
        <w:spacing w:before="120" w:after="120"/>
        <w:ind w:firstLine="0"/>
        <w:rPr>
          <w:color w:val="auto"/>
          <w:highlight w:val="none"/>
        </w:rPr>
      </w:pPr>
      <w:bookmarkStart w:id="312" w:name="_Toc32188"/>
      <w:bookmarkStart w:id="313" w:name="_Toc8008"/>
      <w:bookmarkStart w:id="314" w:name="_Toc881"/>
      <w:bookmarkStart w:id="315" w:name="_Toc18724"/>
      <w:r>
        <w:rPr>
          <w:rFonts w:hint="eastAsia"/>
          <w:color w:val="auto"/>
          <w:highlight w:val="none"/>
        </w:rPr>
        <w:t>招标代理服务费承诺函</w:t>
      </w:r>
      <w:bookmarkEnd w:id="312"/>
      <w:bookmarkEnd w:id="313"/>
    </w:p>
    <w:p>
      <w:pPr>
        <w:pStyle w:val="45"/>
        <w:spacing w:line="520" w:lineRule="exact"/>
        <w:rPr>
          <w:color w:val="auto"/>
          <w:highlight w:val="none"/>
        </w:rPr>
      </w:pPr>
      <w:r>
        <w:rPr>
          <w:rFonts w:hint="eastAsia"/>
          <w:color w:val="auto"/>
          <w:highlight w:val="none"/>
        </w:rPr>
        <w:t>四川乾新招投标代理有限公司：</w:t>
      </w:r>
    </w:p>
    <w:p>
      <w:pPr>
        <w:pStyle w:val="48"/>
        <w:spacing w:line="520" w:lineRule="exact"/>
        <w:rPr>
          <w:b/>
          <w:bCs/>
          <w:color w:val="auto"/>
          <w:highlight w:val="none"/>
        </w:rPr>
      </w:pPr>
      <w:r>
        <w:rPr>
          <w:rFonts w:hint="eastAsia"/>
          <w:color w:val="auto"/>
          <w:highlight w:val="none"/>
        </w:rPr>
        <w:t>我公司在贵公司代理的</w:t>
      </w:r>
      <w:r>
        <w:rPr>
          <w:rFonts w:hint="eastAsia"/>
          <w:color w:val="auto"/>
          <w:highlight w:val="none"/>
          <w:u w:val="single"/>
        </w:rPr>
        <w:t xml:space="preserve">                        </w:t>
      </w:r>
      <w:r>
        <w:rPr>
          <w:rFonts w:hint="eastAsia"/>
          <w:color w:val="auto"/>
          <w:highlight w:val="none"/>
        </w:rPr>
        <w:t>项目(项目编号：</w:t>
      </w:r>
      <w:r>
        <w:rPr>
          <w:rFonts w:hint="eastAsia"/>
          <w:color w:val="auto"/>
          <w:highlight w:val="none"/>
          <w:u w:val="single"/>
        </w:rPr>
        <w:t xml:space="preserve">           </w:t>
      </w:r>
      <w:r>
        <w:rPr>
          <w:rFonts w:hint="eastAsia"/>
          <w:color w:val="auto"/>
          <w:highlight w:val="none"/>
        </w:rPr>
        <w:t>)竞争性谈判中若获成交，我们保证在收到成交通知后2个工作日内按要求，以支票、银行汇票、电汇、现金或经贵公司认可的一种方式，向贵公司即四川乾新招投标代理有限公司指定的银行账号，按照谈判</w:t>
      </w:r>
      <w:r>
        <w:rPr>
          <w:rFonts w:hint="eastAsia"/>
          <w:color w:val="auto"/>
          <w:highlight w:val="none"/>
          <w:lang w:val="zh-CN"/>
        </w:rPr>
        <w:t>文件中招标代理</w:t>
      </w:r>
      <w:r>
        <w:rPr>
          <w:rFonts w:hint="eastAsia"/>
          <w:color w:val="auto"/>
          <w:highlight w:val="none"/>
        </w:rPr>
        <w:t>服务费收取标准一次性支付合同全额的招标代理服务费。</w:t>
      </w:r>
      <w:r>
        <w:rPr>
          <w:rFonts w:hint="eastAsia"/>
          <w:b/>
          <w:bCs/>
          <w:color w:val="auto"/>
          <w:highlight w:val="none"/>
        </w:rPr>
        <w:t>如因我公司自身原因造成取消成交资格或自愿放弃成交资格的，我司支付的招标代理服务费不予退还，由此造成的损失由我方自行承担。</w:t>
      </w:r>
    </w:p>
    <w:p>
      <w:pPr>
        <w:pStyle w:val="48"/>
        <w:spacing w:line="520" w:lineRule="exact"/>
        <w:rPr>
          <w:color w:val="auto"/>
          <w:highlight w:val="none"/>
        </w:rPr>
      </w:pPr>
    </w:p>
    <w:p>
      <w:pPr>
        <w:pStyle w:val="48"/>
        <w:spacing w:line="520" w:lineRule="exact"/>
        <w:rPr>
          <w:color w:val="auto"/>
          <w:highlight w:val="none"/>
        </w:rPr>
      </w:pPr>
    </w:p>
    <w:p>
      <w:pPr>
        <w:pStyle w:val="48"/>
        <w:spacing w:line="520" w:lineRule="exact"/>
        <w:rPr>
          <w:color w:val="auto"/>
          <w:highlight w:val="none"/>
        </w:rPr>
      </w:pPr>
      <w:r>
        <w:rPr>
          <w:rFonts w:hint="eastAsia"/>
          <w:color w:val="auto"/>
          <w:highlight w:val="none"/>
        </w:rPr>
        <w:t>特此承诺。</w:t>
      </w:r>
    </w:p>
    <w:p>
      <w:pPr>
        <w:pStyle w:val="45"/>
        <w:spacing w:line="520" w:lineRule="exact"/>
        <w:rPr>
          <w:color w:val="auto"/>
          <w:highlight w:val="none"/>
        </w:rPr>
      </w:pPr>
    </w:p>
    <w:p>
      <w:pPr>
        <w:pStyle w:val="45"/>
        <w:spacing w:line="520" w:lineRule="exact"/>
        <w:rPr>
          <w:color w:val="auto"/>
          <w:highlight w:val="none"/>
        </w:rPr>
      </w:pPr>
    </w:p>
    <w:p>
      <w:pPr>
        <w:spacing w:line="52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color w:val="auto"/>
          <w:highlight w:val="none"/>
        </w:rPr>
        <w:t>(盖章)</w:t>
      </w:r>
    </w:p>
    <w:p>
      <w:pPr>
        <w:spacing w:line="52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w:t>
      </w:r>
      <w:r>
        <w:rPr>
          <w:rFonts w:hint="eastAsia" w:asciiTheme="minorEastAsia" w:hAnsiTheme="minorEastAsia" w:eastAsiaTheme="minorEastAsia" w:cstheme="minorEastAsia"/>
          <w:bCs/>
          <w:color w:val="auto"/>
          <w:highlight w:val="none"/>
          <w:u w:val="single"/>
        </w:rPr>
        <w:t xml:space="preserve">                </w:t>
      </w:r>
    </w:p>
    <w:p>
      <w:pPr>
        <w:spacing w:line="52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bCs/>
          <w:color w:val="auto"/>
          <w:highlight w:val="none"/>
          <w:u w:val="single"/>
        </w:rPr>
        <w:t xml:space="preserve">                </w:t>
      </w:r>
    </w:p>
    <w:p>
      <w:pPr>
        <w:spacing w:line="52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r>
        <w:rPr>
          <w:rFonts w:hint="eastAsia" w:asciiTheme="minorEastAsia" w:hAnsiTheme="minorEastAsia" w:eastAsiaTheme="minorEastAsia" w:cstheme="minorEastAsia"/>
          <w:bCs/>
          <w:color w:val="auto"/>
          <w:highlight w:val="none"/>
          <w:u w:val="single"/>
        </w:rPr>
        <w:t xml:space="preserve">                </w:t>
      </w:r>
    </w:p>
    <w:p>
      <w:pPr>
        <w:spacing w:line="52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  编：</w:t>
      </w:r>
      <w:r>
        <w:rPr>
          <w:rFonts w:hint="eastAsia" w:asciiTheme="minorEastAsia" w:hAnsiTheme="minorEastAsia" w:eastAsiaTheme="minorEastAsia" w:cstheme="minorEastAsia"/>
          <w:bCs/>
          <w:color w:val="auto"/>
          <w:highlight w:val="none"/>
          <w:u w:val="single"/>
        </w:rPr>
        <w:t xml:space="preserve">                </w:t>
      </w:r>
    </w:p>
    <w:p>
      <w:pPr>
        <w:spacing w:line="520" w:lineRule="exact"/>
        <w:ind w:firstLine="480" w:firstLineChars="200"/>
        <w:rPr>
          <w:color w:val="auto"/>
          <w:highlight w:val="none"/>
        </w:rPr>
      </w:pPr>
      <w:r>
        <w:rPr>
          <w:rFonts w:hint="eastAsia" w:asciiTheme="minorEastAsia" w:hAnsiTheme="minorEastAsia" w:eastAsiaTheme="minorEastAsia" w:cstheme="minorEastAsia"/>
          <w:color w:val="auto"/>
          <w:highlight w:val="none"/>
        </w:rPr>
        <w:t>法定代表人</w:t>
      </w:r>
      <w:r>
        <w:rPr>
          <w:rFonts w:hint="eastAsia"/>
          <w:color w:val="auto"/>
          <w:highlight w:val="none"/>
        </w:rPr>
        <w:t>/单位负责人或授权代表：</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(签字或盖章)</w:t>
      </w:r>
    </w:p>
    <w:p>
      <w:pPr>
        <w:spacing w:line="520" w:lineRule="exact"/>
        <w:ind w:firstLine="480" w:firstLineChars="200"/>
        <w:rPr>
          <w:rFonts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highlight w:val="none"/>
        </w:rPr>
        <w:t>承诺日期：</w:t>
      </w:r>
      <w:r>
        <w:rPr>
          <w:rFonts w:hint="eastAsia" w:asciiTheme="minorEastAsia" w:hAnsiTheme="minorEastAsia" w:eastAsiaTheme="minorEastAsia" w:cstheme="minorEastAsia"/>
          <w:bCs/>
          <w:color w:val="auto"/>
          <w:highlight w:val="none"/>
          <w:u w:val="single"/>
        </w:rPr>
        <w:t xml:space="preserve">                </w:t>
      </w:r>
    </w:p>
    <w:p>
      <w:pPr>
        <w:spacing w:line="520" w:lineRule="exact"/>
        <w:rPr>
          <w:rFonts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u w:val="single"/>
        </w:rPr>
        <w:br w:type="page"/>
      </w:r>
    </w:p>
    <w:p>
      <w:pPr>
        <w:pStyle w:val="46"/>
        <w:numPr>
          <w:ilvl w:val="0"/>
          <w:numId w:val="30"/>
        </w:numPr>
        <w:spacing w:before="120" w:after="120"/>
        <w:ind w:firstLine="0"/>
        <w:rPr>
          <w:color w:val="auto"/>
          <w:highlight w:val="none"/>
        </w:rPr>
      </w:pPr>
      <w:bookmarkStart w:id="316" w:name="_Toc9519"/>
      <w:bookmarkStart w:id="317" w:name="_Toc10668"/>
      <w:r>
        <w:rPr>
          <w:rFonts w:hint="eastAsia"/>
          <w:color w:val="auto"/>
          <w:highlight w:val="none"/>
        </w:rPr>
        <w:t>报价表</w:t>
      </w:r>
      <w:bookmarkEnd w:id="316"/>
      <w:bookmarkEnd w:id="317"/>
    </w:p>
    <w:p>
      <w:pPr>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28"/>
          <w:highlight w:val="none"/>
        </w:rPr>
        <w:t>第</w:t>
      </w:r>
      <w:r>
        <w:rPr>
          <w:rFonts w:hint="eastAsia" w:asciiTheme="minorEastAsia" w:hAnsiTheme="minorEastAsia" w:eastAsiaTheme="minorEastAsia" w:cstheme="minorEastAsia"/>
          <w:color w:val="auto"/>
          <w:sz w:val="32"/>
          <w:szCs w:val="28"/>
          <w:highlight w:val="none"/>
          <w:u w:val="single"/>
        </w:rPr>
        <w:t xml:space="preserve"> N </w:t>
      </w:r>
      <w:r>
        <w:rPr>
          <w:rFonts w:hint="eastAsia" w:asciiTheme="minorEastAsia" w:hAnsiTheme="minorEastAsia" w:eastAsiaTheme="minorEastAsia" w:cstheme="minorEastAsia"/>
          <w:color w:val="auto"/>
          <w:sz w:val="32"/>
          <w:szCs w:val="28"/>
          <w:highlight w:val="none"/>
        </w:rPr>
        <w:t>轮报价/最后报价(</w:t>
      </w:r>
      <w:r>
        <w:rPr>
          <w:rFonts w:hint="eastAsia" w:asciiTheme="minorEastAsia" w:hAnsiTheme="minorEastAsia" w:eastAsiaTheme="minorEastAsia" w:cstheme="minorEastAsia"/>
          <w:b/>
          <w:color w:val="auto"/>
          <w:sz w:val="32"/>
          <w:szCs w:val="28"/>
          <w:highlight w:val="none"/>
        </w:rPr>
        <w:t>根据谈判实际情况选择</w:t>
      </w:r>
      <w:r>
        <w:rPr>
          <w:rFonts w:hint="eastAsia" w:asciiTheme="minorEastAsia" w:hAnsiTheme="minorEastAsia" w:eastAsiaTheme="minorEastAsia" w:cstheme="minorEastAsia"/>
          <w:color w:val="auto"/>
          <w:sz w:val="32"/>
          <w:szCs w:val="28"/>
          <w:highlight w:val="none"/>
        </w:rPr>
        <w:t>)</w:t>
      </w:r>
    </w:p>
    <w:p>
      <w:pPr>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u w:val="single"/>
        </w:rPr>
        <w:t xml:space="preserve">                        </w:t>
      </w:r>
    </w:p>
    <w:p>
      <w:pPr>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xml:space="preserve">                        </w:t>
      </w:r>
    </w:p>
    <w:tbl>
      <w:tblPr>
        <w:tblStyle w:val="24"/>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590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743" w:type="dxa"/>
            <w:vAlign w:val="center"/>
          </w:tcPr>
          <w:p>
            <w:pPr>
              <w:pStyle w:val="47"/>
              <w:rPr>
                <w:b/>
                <w:bCs/>
                <w:color w:val="auto"/>
                <w:highlight w:val="none"/>
              </w:rPr>
            </w:pPr>
            <w:r>
              <w:rPr>
                <w:rFonts w:hint="eastAsia"/>
                <w:b/>
                <w:bCs/>
                <w:color w:val="auto"/>
                <w:highlight w:val="none"/>
              </w:rPr>
              <w:t>工程名称</w:t>
            </w:r>
          </w:p>
        </w:tc>
        <w:tc>
          <w:tcPr>
            <w:tcW w:w="5909" w:type="dxa"/>
            <w:vAlign w:val="center"/>
          </w:tcPr>
          <w:p>
            <w:pPr>
              <w:pStyle w:val="47"/>
              <w:rPr>
                <w:b/>
                <w:bCs/>
                <w:color w:val="auto"/>
                <w:highlight w:val="none"/>
              </w:rPr>
            </w:pPr>
            <w:r>
              <w:rPr>
                <w:rFonts w:hint="eastAsia"/>
                <w:b/>
                <w:bCs/>
                <w:color w:val="auto"/>
                <w:highlight w:val="none"/>
              </w:rPr>
              <w:t>报价(元)</w:t>
            </w:r>
          </w:p>
        </w:tc>
        <w:tc>
          <w:tcPr>
            <w:tcW w:w="1255" w:type="dxa"/>
            <w:vAlign w:val="center"/>
          </w:tcPr>
          <w:p>
            <w:pPr>
              <w:pStyle w:val="47"/>
              <w:rPr>
                <w:b/>
                <w:bCs/>
                <w:color w:val="auto"/>
                <w:highlight w:val="none"/>
              </w:rPr>
            </w:pPr>
            <w:r>
              <w:rPr>
                <w:rFonts w:hint="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2743" w:type="dxa"/>
            <w:vAlign w:val="center"/>
          </w:tcPr>
          <w:p>
            <w:pPr>
              <w:pStyle w:val="47"/>
              <w:spacing w:line="240" w:lineRule="auto"/>
              <w:rPr>
                <w:b/>
                <w:bCs/>
                <w:color w:val="auto"/>
                <w:highlight w:val="none"/>
              </w:rPr>
            </w:pPr>
            <w:r>
              <w:rPr>
                <w:rFonts w:hint="eastAsia"/>
                <w:b/>
                <w:bCs/>
                <w:color w:val="auto"/>
                <w:highlight w:val="none"/>
              </w:rPr>
              <w:t>沥青路面维修工程</w:t>
            </w:r>
          </w:p>
        </w:tc>
        <w:tc>
          <w:tcPr>
            <w:tcW w:w="5909" w:type="dxa"/>
            <w:vAlign w:val="center"/>
          </w:tcPr>
          <w:p>
            <w:pPr>
              <w:pStyle w:val="47"/>
              <w:jc w:val="left"/>
              <w:rPr>
                <w:b/>
                <w:bCs/>
                <w:color w:val="auto"/>
                <w:highlight w:val="none"/>
              </w:rPr>
            </w:pPr>
            <w:r>
              <w:rPr>
                <w:rFonts w:hint="eastAsia"/>
                <w:b/>
                <w:bCs/>
                <w:color w:val="auto"/>
                <w:highlight w:val="none"/>
              </w:rPr>
              <w:t>小写：</w:t>
            </w:r>
          </w:p>
          <w:p>
            <w:pPr>
              <w:pStyle w:val="47"/>
              <w:jc w:val="left"/>
              <w:rPr>
                <w:b/>
                <w:bCs/>
                <w:color w:val="auto"/>
                <w:highlight w:val="none"/>
              </w:rPr>
            </w:pPr>
            <w:r>
              <w:rPr>
                <w:rFonts w:hint="eastAsia"/>
                <w:b/>
                <w:bCs/>
                <w:color w:val="auto"/>
                <w:highlight w:val="none"/>
              </w:rPr>
              <w:t>大写：</w:t>
            </w:r>
          </w:p>
        </w:tc>
        <w:tc>
          <w:tcPr>
            <w:tcW w:w="1255" w:type="dxa"/>
          </w:tcPr>
          <w:p>
            <w:pPr>
              <w:pStyle w:val="47"/>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08" w:type="dxa"/>
            <w:gridSpan w:val="3"/>
            <w:vAlign w:val="center"/>
          </w:tcPr>
          <w:p>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工期：供应商接到采购人书面通知(开工令)后开工，自收到开工令后15个日历天内竣工。</w:t>
            </w:r>
          </w:p>
        </w:tc>
      </w:tr>
    </w:tbl>
    <w:p>
      <w:pPr>
        <w:pStyle w:val="49"/>
        <w:ind w:firstLine="482"/>
        <w:rPr>
          <w:color w:val="auto"/>
          <w:highlight w:val="none"/>
        </w:rPr>
      </w:pPr>
      <w:r>
        <w:rPr>
          <w:rFonts w:hint="eastAsia"/>
          <w:color w:val="auto"/>
          <w:highlight w:val="none"/>
        </w:rPr>
        <w:t>注：①最后报价表格式在供应商通过</w:t>
      </w:r>
      <w:r>
        <w:rPr>
          <w:rFonts w:hint="eastAsia" w:cs="宋体"/>
          <w:color w:val="auto"/>
          <w:highlight w:val="none"/>
        </w:rPr>
        <w:t>有效性、完整性、响应程度审查以</w:t>
      </w:r>
      <w:r>
        <w:rPr>
          <w:rFonts w:hint="eastAsia" w:cs="宋体"/>
          <w:color w:val="auto"/>
          <w:highlight w:val="none"/>
          <w:lang w:val="zh-CN"/>
        </w:rPr>
        <w:t>实质性审查</w:t>
      </w:r>
      <w:r>
        <w:rPr>
          <w:rFonts w:hint="eastAsia"/>
          <w:color w:val="auto"/>
          <w:highlight w:val="none"/>
        </w:rPr>
        <w:t>后，由采购代理机构现场提供；</w:t>
      </w:r>
    </w:p>
    <w:p>
      <w:pPr>
        <w:pStyle w:val="49"/>
        <w:ind w:firstLine="482"/>
        <w:rPr>
          <w:color w:val="auto"/>
          <w:highlight w:val="none"/>
        </w:rPr>
      </w:pPr>
      <w:r>
        <w:rPr>
          <w:rFonts w:hint="eastAsia"/>
          <w:color w:val="auto"/>
          <w:highlight w:val="none"/>
        </w:rPr>
        <w:t>②报价填写完成后，经供应商法定代表人或单位负责人或授权代表签字并捺印后密封递交给采购代理机构工作人员，由其收集齐后集中递交谈判小组。供应商在响应文件中提交此表的，不影响其响应文件的有效性，其最后报价以谈判小组要求提交的“最后报价”为准；</w:t>
      </w:r>
    </w:p>
    <w:p>
      <w:pPr>
        <w:pStyle w:val="49"/>
        <w:ind w:firstLine="482"/>
        <w:rPr>
          <w:color w:val="auto"/>
          <w:highlight w:val="none"/>
        </w:rPr>
      </w:pPr>
      <w:r>
        <w:rPr>
          <w:rFonts w:hint="eastAsia"/>
          <w:color w:val="auto"/>
          <w:highlight w:val="none"/>
        </w:rPr>
        <w:t>③报价应包含完成谈判文件规定的所有项目内容的费用</w:t>
      </w:r>
      <w:r>
        <w:rPr>
          <w:rFonts w:hint="eastAsia"/>
          <w:color w:val="auto"/>
          <w:highlight w:val="none"/>
          <w:lang w:val="zh-CN"/>
        </w:rPr>
        <w:t>。</w:t>
      </w:r>
    </w:p>
    <w:p>
      <w:pPr>
        <w:tabs>
          <w:tab w:val="left" w:pos="540"/>
          <w:tab w:val="left" w:pos="900"/>
          <w:tab w:val="clear" w:pos="0"/>
        </w:tabs>
        <w:rPr>
          <w:rFonts w:asciiTheme="minorEastAsia" w:hAnsiTheme="minorEastAsia" w:eastAsiaTheme="minorEastAsia" w:cstheme="minorEastAsia"/>
          <w:color w:val="auto"/>
          <w:highlight w:val="none"/>
        </w:rPr>
      </w:pPr>
    </w:p>
    <w:p>
      <w:pPr>
        <w:tabs>
          <w:tab w:val="left" w:pos="540"/>
          <w:tab w:val="left" w:pos="900"/>
          <w:tab w:val="clear" w:pos="0"/>
        </w:tabs>
        <w:rPr>
          <w:rFonts w:asciiTheme="minorEastAsia" w:hAnsiTheme="minorEastAsia" w:eastAsiaTheme="minorEastAsia" w:cstheme="minorEastAsia"/>
          <w:color w:val="auto"/>
          <w:highlight w:val="none"/>
        </w:rPr>
      </w:pPr>
    </w:p>
    <w:p>
      <w:pPr>
        <w:pStyle w:val="48"/>
        <w:rPr>
          <w:color w:val="auto"/>
          <w:highlight w:val="none"/>
          <w:u w:val="single"/>
        </w:rPr>
      </w:pPr>
      <w:r>
        <w:rPr>
          <w:rFonts w:hint="eastAsia"/>
          <w:color w:val="auto"/>
          <w:highlight w:val="none"/>
        </w:rPr>
        <w:t>供应商名称：</w:t>
      </w:r>
      <w:r>
        <w:rPr>
          <w:rFonts w:hint="eastAsia"/>
          <w:color w:val="auto"/>
          <w:highlight w:val="none"/>
          <w:u w:val="single"/>
        </w:rPr>
        <w:t xml:space="preserve">                      </w:t>
      </w:r>
    </w:p>
    <w:p>
      <w:pPr>
        <w:pStyle w:val="48"/>
        <w:rPr>
          <w:color w:val="auto"/>
          <w:highlight w:val="none"/>
        </w:rPr>
      </w:pPr>
      <w:r>
        <w:rPr>
          <w:rFonts w:hint="eastAsia"/>
          <w:color w:val="auto"/>
          <w:highlight w:val="none"/>
        </w:rPr>
        <w:t>法定代表人/单位负责人或授权代表：</w:t>
      </w:r>
      <w:r>
        <w:rPr>
          <w:rFonts w:hint="eastAsia"/>
          <w:color w:val="auto"/>
          <w:highlight w:val="none"/>
          <w:u w:val="single"/>
        </w:rPr>
        <w:t xml:space="preserve">                  </w:t>
      </w:r>
      <w:r>
        <w:rPr>
          <w:rFonts w:hint="eastAsia"/>
          <w:color w:val="auto"/>
          <w:highlight w:val="none"/>
        </w:rPr>
        <w:t>(签名并捺印)</w:t>
      </w:r>
    </w:p>
    <w:p>
      <w:pPr>
        <w:pStyle w:val="48"/>
        <w:rPr>
          <w:color w:val="auto"/>
          <w:highlight w:val="none"/>
        </w:rPr>
      </w:pPr>
      <w:r>
        <w:rPr>
          <w:rFonts w:hint="eastAsia"/>
          <w:color w:val="auto"/>
          <w:highlight w:val="none"/>
        </w:rPr>
        <w:t>报价日期：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45"/>
        <w:rPr>
          <w:color w:val="auto"/>
          <w:highlight w:val="none"/>
        </w:rPr>
      </w:pPr>
      <w:r>
        <w:rPr>
          <w:rFonts w:hint="eastAsia"/>
          <w:color w:val="auto"/>
          <w:highlight w:val="none"/>
        </w:rPr>
        <w:t xml:space="preserve">                </w:t>
      </w:r>
    </w:p>
    <w:p>
      <w:pPr>
        <w:pStyle w:val="45"/>
        <w:rPr>
          <w:color w:val="auto"/>
          <w:highlight w:val="none"/>
        </w:rPr>
      </w:pPr>
    </w:p>
    <w:bookmarkEnd w:id="314"/>
    <w:bookmarkEnd w:id="315"/>
    <w:p>
      <w:pPr>
        <w:pStyle w:val="50"/>
        <w:spacing w:before="120" w:after="120"/>
        <w:rPr>
          <w:color w:val="auto"/>
          <w:highlight w:val="none"/>
        </w:rPr>
      </w:pPr>
      <w:bookmarkStart w:id="318" w:name="_Toc24888"/>
      <w:r>
        <w:rPr>
          <w:rFonts w:hint="eastAsia"/>
          <w:color w:val="auto"/>
          <w:highlight w:val="none"/>
        </w:rPr>
        <w:br w:type="page"/>
      </w:r>
      <w:bookmarkEnd w:id="318"/>
      <w:bookmarkStart w:id="319" w:name="_Toc22998"/>
      <w:bookmarkStart w:id="320" w:name="_Toc8561"/>
      <w:bookmarkStart w:id="321" w:name="_Toc18196"/>
      <w:r>
        <w:rPr>
          <w:rFonts w:hint="eastAsia"/>
          <w:color w:val="auto"/>
          <w:highlight w:val="none"/>
        </w:rPr>
        <w:t>资格性证明文件</w:t>
      </w:r>
      <w:bookmarkEnd w:id="319"/>
      <w:bookmarkEnd w:id="320"/>
      <w:bookmarkEnd w:id="321"/>
    </w:p>
    <w:p>
      <w:pPr>
        <w:pStyle w:val="52"/>
        <w:numPr>
          <w:ilvl w:val="1"/>
          <w:numId w:val="34"/>
        </w:numPr>
        <w:spacing w:line="520" w:lineRule="exact"/>
        <w:ind w:firstLine="482"/>
        <w:rPr>
          <w:b/>
          <w:bCs/>
          <w:color w:val="auto"/>
          <w:highlight w:val="none"/>
        </w:rPr>
      </w:pPr>
      <w:bookmarkStart w:id="322" w:name="_Toc20678"/>
      <w:bookmarkStart w:id="323" w:name="_Toc10631"/>
      <w:bookmarkStart w:id="324" w:name="_Toc141"/>
      <w:bookmarkStart w:id="325" w:name="_Toc32482"/>
      <w:r>
        <w:rPr>
          <w:rFonts w:hint="eastAsia"/>
          <w:b/>
          <w:bCs/>
          <w:color w:val="auto"/>
          <w:highlight w:val="none"/>
        </w:rPr>
        <w:t>供应商应当提供的资格证明材料及其他类似效力要求的相关证明材料</w:t>
      </w:r>
    </w:p>
    <w:bookmarkEnd w:id="322"/>
    <w:bookmarkEnd w:id="323"/>
    <w:bookmarkEnd w:id="324"/>
    <w:p>
      <w:pPr>
        <w:pStyle w:val="35"/>
        <w:numPr>
          <w:ilvl w:val="1"/>
          <w:numId w:val="35"/>
        </w:numPr>
        <w:spacing w:line="520" w:lineRule="exact"/>
        <w:ind w:firstLine="482"/>
        <w:rPr>
          <w:b/>
          <w:bCs/>
          <w:color w:val="auto"/>
          <w:highlight w:val="none"/>
        </w:rPr>
      </w:pPr>
      <w:r>
        <w:rPr>
          <w:rFonts w:hint="eastAsia"/>
          <w:b/>
          <w:bCs/>
          <w:color w:val="auto"/>
          <w:highlight w:val="none"/>
        </w:rPr>
        <w:t>供应商具有独立承担民事责任的能力的证明材料；</w:t>
      </w:r>
    </w:p>
    <w:p>
      <w:pPr>
        <w:pStyle w:val="48"/>
        <w:spacing w:line="520" w:lineRule="exact"/>
        <w:rPr>
          <w:color w:val="auto"/>
          <w:highlight w:val="none"/>
        </w:rPr>
      </w:pPr>
      <w:r>
        <w:rPr>
          <w:rFonts w:hint="eastAsia"/>
          <w:color w:val="auto"/>
          <w:highlight w:val="none"/>
        </w:rPr>
        <w:t>①供应商若为</w:t>
      </w:r>
      <w:r>
        <w:rPr>
          <w:rFonts w:hint="eastAsia"/>
          <w:b/>
          <w:bCs/>
          <w:color w:val="auto"/>
          <w:highlight w:val="none"/>
        </w:rPr>
        <w:t>企业法人</w:t>
      </w:r>
      <w:r>
        <w:rPr>
          <w:rFonts w:hint="eastAsia"/>
          <w:color w:val="auto"/>
          <w:highlight w:val="none"/>
        </w:rPr>
        <w:t>：提供“营业执照”副本复印件；未换证的提供“营业执照副本、税务登记证副本、组织机构代码证副本”复印件；②若为</w:t>
      </w:r>
      <w:r>
        <w:rPr>
          <w:rFonts w:hint="eastAsia"/>
          <w:b/>
          <w:bCs/>
          <w:color w:val="auto"/>
          <w:highlight w:val="none"/>
        </w:rPr>
        <w:t>自然人</w:t>
      </w:r>
      <w:r>
        <w:rPr>
          <w:rFonts w:hint="eastAsia"/>
          <w:color w:val="auto"/>
          <w:highlight w:val="none"/>
        </w:rPr>
        <w:t>：提供“身份证明材料”。</w:t>
      </w:r>
    </w:p>
    <w:p>
      <w:pPr>
        <w:pStyle w:val="49"/>
        <w:spacing w:line="520" w:lineRule="exact"/>
        <w:ind w:firstLine="482"/>
        <w:rPr>
          <w:color w:val="auto"/>
          <w:highlight w:val="none"/>
        </w:rPr>
      </w:pPr>
      <w:r>
        <w:rPr>
          <w:rFonts w:hint="eastAsia"/>
          <w:color w:val="auto"/>
          <w:highlight w:val="none"/>
        </w:rPr>
        <w:t>注：1.以上证明材料应满足此条要求①发证机关有年检要求的，应按规定通过年检；②在有效期内；③复印件加盖供应商公章；</w:t>
      </w:r>
    </w:p>
    <w:p>
      <w:pPr>
        <w:pStyle w:val="49"/>
        <w:spacing w:line="520" w:lineRule="exact"/>
        <w:ind w:firstLine="482"/>
        <w:rPr>
          <w:color w:val="auto"/>
          <w:highlight w:val="none"/>
        </w:rPr>
      </w:pPr>
      <w:r>
        <w:rPr>
          <w:rFonts w:hint="eastAsia"/>
          <w:color w:val="auto"/>
          <w:highlight w:val="none"/>
        </w:rPr>
        <w:t>2.企业若已更换为三证合一的则提供营业执照副本复印件，自然人提供身份证明均具备此条同等效力；</w:t>
      </w:r>
    </w:p>
    <w:p>
      <w:pPr>
        <w:pStyle w:val="49"/>
        <w:spacing w:line="520" w:lineRule="exact"/>
        <w:ind w:firstLine="482"/>
        <w:rPr>
          <w:color w:val="auto"/>
          <w:highlight w:val="none"/>
        </w:rPr>
      </w:pPr>
      <w:r>
        <w:rPr>
          <w:rFonts w:hint="eastAsia"/>
          <w:color w:val="auto"/>
          <w:highlight w:val="none"/>
        </w:rPr>
        <w:t>3.</w:t>
      </w:r>
      <w:r>
        <w:rPr>
          <w:color w:val="auto"/>
          <w:highlight w:val="none"/>
        </w:rPr>
        <w:t>根据国务院办公厅关于加快推进“多证合一”改革的指导意见</w:t>
      </w:r>
      <w:r>
        <w:rPr>
          <w:rFonts w:hint="eastAsia"/>
          <w:color w:val="auto"/>
          <w:highlight w:val="none"/>
        </w:rPr>
        <w:t>(</w:t>
      </w:r>
      <w:r>
        <w:rPr>
          <w:color w:val="auto"/>
          <w:highlight w:val="none"/>
        </w:rPr>
        <w:t>国办发</w:t>
      </w:r>
      <w:r>
        <w:rPr>
          <w:rFonts w:hint="eastAsia"/>
          <w:color w:val="auto"/>
          <w:highlight w:val="none"/>
        </w:rPr>
        <w:t>〔</w:t>
      </w:r>
      <w:r>
        <w:rPr>
          <w:color w:val="auto"/>
          <w:highlight w:val="none"/>
        </w:rPr>
        <w:t>2017</w:t>
      </w:r>
      <w:r>
        <w:rPr>
          <w:rFonts w:hint="eastAsia"/>
          <w:color w:val="auto"/>
          <w:highlight w:val="none"/>
        </w:rPr>
        <w:t>〕</w:t>
      </w:r>
      <w:r>
        <w:rPr>
          <w:color w:val="auto"/>
          <w:highlight w:val="none"/>
        </w:rPr>
        <w:t>41号</w:t>
      </w:r>
      <w:r>
        <w:rPr>
          <w:rFonts w:hint="eastAsia"/>
          <w:color w:val="auto"/>
          <w:highlight w:val="none"/>
        </w:rPr>
        <w:t>)</w:t>
      </w:r>
      <w:r>
        <w:rPr>
          <w:color w:val="auto"/>
          <w:highlight w:val="none"/>
        </w:rPr>
        <w:t>等政策要求，若资格要求涉及的登记、备案等有关事项和各类证照已实行多证合一</w:t>
      </w:r>
      <w:r>
        <w:rPr>
          <w:rFonts w:hint="eastAsia"/>
          <w:color w:val="auto"/>
          <w:highlight w:val="none"/>
        </w:rPr>
        <w:t>的，提供多证合一证照副本复印件。</w:t>
      </w:r>
    </w:p>
    <w:p>
      <w:pPr>
        <w:pStyle w:val="35"/>
        <w:numPr>
          <w:ilvl w:val="1"/>
          <w:numId w:val="35"/>
        </w:numPr>
        <w:spacing w:line="520" w:lineRule="exact"/>
        <w:ind w:firstLine="482"/>
        <w:rPr>
          <w:b/>
          <w:bCs/>
          <w:color w:val="auto"/>
          <w:highlight w:val="none"/>
        </w:rPr>
      </w:pPr>
      <w:r>
        <w:rPr>
          <w:rFonts w:hint="eastAsia"/>
          <w:b/>
          <w:bCs/>
          <w:color w:val="auto"/>
          <w:highlight w:val="none"/>
        </w:rPr>
        <w:t>供应商具有良好的商业信誉和健全的财务会计制度的证明材料；</w:t>
      </w:r>
    </w:p>
    <w:p>
      <w:pPr>
        <w:pStyle w:val="48"/>
        <w:spacing w:line="520" w:lineRule="exact"/>
        <w:rPr>
          <w:color w:val="auto"/>
          <w:highlight w:val="none"/>
        </w:rPr>
      </w:pPr>
      <w:r>
        <w:rPr>
          <w:rFonts w:hint="eastAsia"/>
          <w:color w:val="auto"/>
          <w:highlight w:val="none"/>
        </w:rPr>
        <w:t>1.供应商具有良好商业信誉的证明材料</w:t>
      </w:r>
    </w:p>
    <w:p>
      <w:pPr>
        <w:pStyle w:val="48"/>
        <w:spacing w:line="520" w:lineRule="exact"/>
        <w:rPr>
          <w:color w:val="auto"/>
          <w:highlight w:val="none"/>
        </w:rPr>
      </w:pPr>
      <w:r>
        <w:rPr>
          <w:rFonts w:hint="eastAsia"/>
          <w:color w:val="auto"/>
          <w:highlight w:val="none"/>
        </w:rPr>
        <w:t>提供具有良好的商业信誉的承诺函。</w:t>
      </w:r>
    </w:p>
    <w:p>
      <w:pPr>
        <w:pStyle w:val="48"/>
        <w:spacing w:line="520" w:lineRule="exact"/>
        <w:ind w:firstLine="482"/>
        <w:rPr>
          <w:b/>
          <w:bCs/>
          <w:color w:val="auto"/>
          <w:highlight w:val="none"/>
        </w:rPr>
      </w:pPr>
      <w:r>
        <w:rPr>
          <w:rFonts w:hint="eastAsia"/>
          <w:b/>
          <w:bCs/>
          <w:color w:val="auto"/>
          <w:highlight w:val="none"/>
        </w:rPr>
        <w:t>注：格式自拟，或参照《承诺及声明函》的格式提供承诺函。</w:t>
      </w:r>
    </w:p>
    <w:p>
      <w:pPr>
        <w:pStyle w:val="48"/>
        <w:spacing w:line="520" w:lineRule="exact"/>
        <w:rPr>
          <w:color w:val="auto"/>
          <w:highlight w:val="none"/>
        </w:rPr>
      </w:pPr>
      <w:r>
        <w:rPr>
          <w:rFonts w:hint="eastAsia"/>
          <w:color w:val="auto"/>
          <w:highlight w:val="none"/>
        </w:rPr>
        <w:t>2.供应商具有健全的财务会计制度的证明材料</w:t>
      </w:r>
    </w:p>
    <w:p>
      <w:pPr>
        <w:pStyle w:val="48"/>
        <w:spacing w:line="520" w:lineRule="exact"/>
        <w:rPr>
          <w:color w:val="auto"/>
          <w:highlight w:val="none"/>
        </w:rPr>
      </w:pPr>
      <w:r>
        <w:rPr>
          <w:rFonts w:hint="eastAsia"/>
          <w:color w:val="auto"/>
          <w:highlight w:val="none"/>
        </w:rPr>
        <w:t>(1)供应商提供2022年度经过会计师事务所审计的财务报告复印件(经审计的有效财务报告应包括报告及报告中所附的完整内容，并由注册会计师签名、盖章以及会计师事务所盖章)；</w:t>
      </w:r>
    </w:p>
    <w:p>
      <w:pPr>
        <w:pStyle w:val="48"/>
        <w:spacing w:line="520" w:lineRule="exact"/>
        <w:rPr>
          <w:color w:val="auto"/>
          <w:highlight w:val="none"/>
        </w:rPr>
      </w:pPr>
      <w:r>
        <w:rPr>
          <w:rFonts w:hint="eastAsia"/>
          <w:color w:val="auto"/>
          <w:highlight w:val="none"/>
        </w:rPr>
        <w:t>(2)供应商提供2022年度供应商内部的财务报表复印件(至少包含资产负债表)；</w:t>
      </w:r>
    </w:p>
    <w:p>
      <w:pPr>
        <w:pStyle w:val="48"/>
        <w:spacing w:line="520" w:lineRule="exact"/>
        <w:rPr>
          <w:color w:val="auto"/>
          <w:highlight w:val="none"/>
        </w:rPr>
      </w:pPr>
      <w:r>
        <w:rPr>
          <w:rFonts w:hint="eastAsia"/>
          <w:color w:val="auto"/>
          <w:highlight w:val="none"/>
        </w:rPr>
        <w:t>(3)供应商提供响应文件递交截止日前一年内银行为其出具的资信证明复印件；</w:t>
      </w:r>
    </w:p>
    <w:p>
      <w:pPr>
        <w:pStyle w:val="48"/>
        <w:spacing w:line="520" w:lineRule="exact"/>
        <w:rPr>
          <w:color w:val="auto"/>
          <w:highlight w:val="none"/>
        </w:rPr>
      </w:pPr>
      <w:r>
        <w:rPr>
          <w:rFonts w:hint="eastAsia"/>
          <w:color w:val="auto"/>
          <w:highlight w:val="none"/>
        </w:rPr>
        <w:t>(4)供应商注册时间截至响应文件递交截止日不足一年的，可提供公司章程复印件；</w:t>
      </w:r>
    </w:p>
    <w:p>
      <w:pPr>
        <w:pStyle w:val="48"/>
        <w:spacing w:line="520" w:lineRule="exact"/>
        <w:rPr>
          <w:color w:val="auto"/>
          <w:highlight w:val="none"/>
        </w:rPr>
      </w:pPr>
      <w:r>
        <w:rPr>
          <w:rFonts w:hint="eastAsia"/>
          <w:color w:val="auto"/>
          <w:highlight w:val="none"/>
        </w:rPr>
        <w:t>(5)供应商提供具有健全的财务会计制度的承诺函。</w:t>
      </w:r>
    </w:p>
    <w:p>
      <w:pPr>
        <w:pStyle w:val="49"/>
        <w:spacing w:line="520" w:lineRule="exact"/>
        <w:ind w:firstLine="482"/>
        <w:rPr>
          <w:color w:val="auto"/>
          <w:highlight w:val="none"/>
        </w:rPr>
      </w:pPr>
      <w:r>
        <w:rPr>
          <w:rFonts w:hint="eastAsia"/>
          <w:bCs/>
          <w:color w:val="auto"/>
          <w:highlight w:val="none"/>
        </w:rPr>
        <w:t>注：具有健全的财务会计制度的证明材料中第(1)-(5)项具有同等的效力，供应商可根据自身实际情况选择提供其中任意一项。</w:t>
      </w:r>
    </w:p>
    <w:p>
      <w:pPr>
        <w:pStyle w:val="35"/>
        <w:numPr>
          <w:ilvl w:val="1"/>
          <w:numId w:val="35"/>
        </w:numPr>
        <w:spacing w:line="520" w:lineRule="exact"/>
        <w:ind w:firstLine="482"/>
        <w:rPr>
          <w:b/>
          <w:bCs/>
          <w:color w:val="auto"/>
          <w:highlight w:val="none"/>
        </w:rPr>
      </w:pPr>
      <w:r>
        <w:rPr>
          <w:rFonts w:hint="eastAsia"/>
          <w:b/>
          <w:bCs/>
          <w:color w:val="auto"/>
          <w:highlight w:val="none"/>
        </w:rPr>
        <w:t>供应商具有履行合同所必需的设备和专业技术能力证明材料；</w:t>
      </w:r>
    </w:p>
    <w:p>
      <w:pPr>
        <w:pStyle w:val="38"/>
        <w:numPr>
          <w:ilvl w:val="2"/>
          <w:numId w:val="0"/>
        </w:numPr>
        <w:spacing w:line="520" w:lineRule="exact"/>
        <w:ind w:firstLine="480" w:firstLineChars="200"/>
        <w:rPr>
          <w:color w:val="auto"/>
          <w:highlight w:val="none"/>
        </w:rPr>
      </w:pPr>
      <w:r>
        <w:rPr>
          <w:rFonts w:hint="eastAsia"/>
          <w:color w:val="auto"/>
          <w:highlight w:val="none"/>
        </w:rPr>
        <w:t>提供具有履行合同所必需的设备和专业技术能力的承诺函。</w:t>
      </w:r>
    </w:p>
    <w:p>
      <w:pPr>
        <w:pStyle w:val="49"/>
        <w:spacing w:line="520" w:lineRule="exact"/>
        <w:ind w:firstLine="482"/>
        <w:rPr>
          <w:color w:val="auto"/>
          <w:highlight w:val="none"/>
        </w:rPr>
      </w:pPr>
      <w:r>
        <w:rPr>
          <w:rFonts w:hint="eastAsia"/>
          <w:color w:val="auto"/>
          <w:highlight w:val="none"/>
        </w:rPr>
        <w:t>注：</w:t>
      </w:r>
      <w:r>
        <w:rPr>
          <w:rFonts w:hint="eastAsia" w:asciiTheme="minorEastAsia" w:hAnsiTheme="minorEastAsia" w:eastAsiaTheme="minorEastAsia" w:cstheme="minorEastAsia"/>
          <w:bCs/>
          <w:color w:val="auto"/>
          <w:highlight w:val="none"/>
        </w:rPr>
        <w:t>格式自拟，或参照《承诺及声明函》</w:t>
      </w:r>
      <w:r>
        <w:rPr>
          <w:rFonts w:hint="eastAsia"/>
          <w:color w:val="auto"/>
          <w:highlight w:val="none"/>
        </w:rPr>
        <w:t>的格式</w:t>
      </w:r>
      <w:r>
        <w:rPr>
          <w:rFonts w:hint="eastAsia" w:asciiTheme="minorEastAsia" w:hAnsiTheme="minorEastAsia" w:eastAsiaTheme="minorEastAsia" w:cstheme="minorEastAsia"/>
          <w:bCs/>
          <w:color w:val="auto"/>
          <w:highlight w:val="none"/>
        </w:rPr>
        <w:t>提供承诺函</w:t>
      </w:r>
      <w:r>
        <w:rPr>
          <w:rFonts w:hint="eastAsia"/>
          <w:color w:val="auto"/>
          <w:highlight w:val="none"/>
        </w:rPr>
        <w:t>。</w:t>
      </w:r>
    </w:p>
    <w:p>
      <w:pPr>
        <w:pStyle w:val="35"/>
        <w:numPr>
          <w:ilvl w:val="1"/>
          <w:numId w:val="35"/>
        </w:numPr>
        <w:spacing w:line="520" w:lineRule="exact"/>
        <w:ind w:firstLine="482"/>
        <w:rPr>
          <w:b/>
          <w:bCs/>
          <w:color w:val="auto"/>
          <w:highlight w:val="none"/>
        </w:rPr>
      </w:pPr>
      <w:r>
        <w:rPr>
          <w:rFonts w:hint="eastAsia"/>
          <w:b/>
          <w:bCs/>
          <w:color w:val="auto"/>
          <w:highlight w:val="none"/>
        </w:rPr>
        <w:t>供应商有依法缴纳税收和社会保障资金的良好记录的证明材料；</w:t>
      </w:r>
    </w:p>
    <w:p>
      <w:pPr>
        <w:pStyle w:val="38"/>
        <w:numPr>
          <w:ilvl w:val="2"/>
          <w:numId w:val="0"/>
        </w:numPr>
        <w:spacing w:line="520" w:lineRule="exact"/>
        <w:ind w:firstLine="480" w:firstLineChars="200"/>
        <w:rPr>
          <w:color w:val="auto"/>
          <w:highlight w:val="none"/>
        </w:rPr>
      </w:pPr>
      <w:r>
        <w:rPr>
          <w:rFonts w:hint="eastAsia"/>
          <w:color w:val="auto"/>
          <w:highlight w:val="none"/>
        </w:rPr>
        <w:t>提供有</w:t>
      </w:r>
      <w:r>
        <w:rPr>
          <w:rFonts w:hint="eastAsia"/>
          <w:color w:val="auto"/>
          <w:highlight w:val="none"/>
          <w:lang w:val="zh-CN"/>
        </w:rPr>
        <w:t>依法缴纳税收和社会保障资金的良好记录</w:t>
      </w:r>
      <w:r>
        <w:rPr>
          <w:rFonts w:hint="eastAsia"/>
          <w:color w:val="auto"/>
          <w:highlight w:val="none"/>
        </w:rPr>
        <w:t>的承诺函。</w:t>
      </w:r>
    </w:p>
    <w:p>
      <w:pPr>
        <w:pStyle w:val="49"/>
        <w:spacing w:line="520" w:lineRule="exact"/>
        <w:ind w:firstLine="482"/>
        <w:rPr>
          <w:color w:val="auto"/>
          <w:highlight w:val="none"/>
        </w:rPr>
      </w:pPr>
      <w:r>
        <w:rPr>
          <w:rFonts w:hint="eastAsia"/>
          <w:color w:val="auto"/>
          <w:highlight w:val="none"/>
        </w:rPr>
        <w:t>注：</w:t>
      </w:r>
      <w:r>
        <w:rPr>
          <w:rFonts w:hint="eastAsia" w:asciiTheme="minorEastAsia" w:hAnsiTheme="minorEastAsia" w:eastAsiaTheme="minorEastAsia" w:cstheme="minorEastAsia"/>
          <w:bCs/>
          <w:color w:val="auto"/>
          <w:highlight w:val="none"/>
        </w:rPr>
        <w:t>格式自拟，或参照《承诺及声明函》</w:t>
      </w:r>
      <w:r>
        <w:rPr>
          <w:rFonts w:hint="eastAsia"/>
          <w:color w:val="auto"/>
          <w:highlight w:val="none"/>
        </w:rPr>
        <w:t>的格式</w:t>
      </w:r>
      <w:r>
        <w:rPr>
          <w:rFonts w:hint="eastAsia" w:asciiTheme="minorEastAsia" w:hAnsiTheme="minorEastAsia" w:eastAsiaTheme="minorEastAsia" w:cstheme="minorEastAsia"/>
          <w:bCs/>
          <w:color w:val="auto"/>
          <w:highlight w:val="none"/>
        </w:rPr>
        <w:t>提供承诺函</w:t>
      </w:r>
      <w:r>
        <w:rPr>
          <w:rFonts w:hint="eastAsia"/>
          <w:color w:val="auto"/>
          <w:highlight w:val="none"/>
        </w:rPr>
        <w:t>。</w:t>
      </w:r>
    </w:p>
    <w:p>
      <w:pPr>
        <w:pStyle w:val="35"/>
        <w:numPr>
          <w:ilvl w:val="1"/>
          <w:numId w:val="35"/>
        </w:numPr>
        <w:spacing w:line="520" w:lineRule="exact"/>
        <w:ind w:firstLine="482"/>
        <w:rPr>
          <w:b/>
          <w:bCs/>
          <w:color w:val="auto"/>
          <w:highlight w:val="none"/>
        </w:rPr>
      </w:pPr>
      <w:r>
        <w:rPr>
          <w:rFonts w:hint="eastAsia"/>
          <w:b/>
          <w:bCs/>
          <w:color w:val="auto"/>
          <w:highlight w:val="none"/>
        </w:rPr>
        <w:t>供应商参加采购活动前三年内，在经营活动中没有重大违法记录的证明材料；</w:t>
      </w:r>
    </w:p>
    <w:p>
      <w:pPr>
        <w:pStyle w:val="48"/>
        <w:spacing w:line="520" w:lineRule="exact"/>
        <w:rPr>
          <w:color w:val="auto"/>
          <w:highlight w:val="none"/>
        </w:rPr>
      </w:pPr>
      <w:r>
        <w:rPr>
          <w:rFonts w:hint="eastAsia"/>
          <w:color w:val="auto"/>
          <w:highlight w:val="none"/>
        </w:rPr>
        <w:t>提供参加本次采购活动前三年内，在经营活动中没有重大违法记录的书面声明(成立不足三年的，从成立之日起计算)。</w:t>
      </w:r>
    </w:p>
    <w:p>
      <w:pPr>
        <w:pStyle w:val="49"/>
        <w:spacing w:line="520" w:lineRule="exact"/>
        <w:ind w:firstLine="482"/>
        <w:rPr>
          <w:color w:val="auto"/>
          <w:highlight w:val="none"/>
        </w:rPr>
      </w:pPr>
      <w:r>
        <w:rPr>
          <w:rFonts w:hint="eastAsia"/>
          <w:color w:val="auto"/>
          <w:highlight w:val="none"/>
        </w:rPr>
        <w:t>注：</w:t>
      </w:r>
      <w:r>
        <w:rPr>
          <w:rFonts w:hint="eastAsia" w:asciiTheme="minorEastAsia" w:hAnsiTheme="minorEastAsia" w:eastAsiaTheme="minorEastAsia" w:cstheme="minorEastAsia"/>
          <w:bCs/>
          <w:color w:val="auto"/>
          <w:highlight w:val="none"/>
        </w:rPr>
        <w:t>格式自拟，或参照《承诺及声明函》</w:t>
      </w:r>
      <w:r>
        <w:rPr>
          <w:rFonts w:hint="eastAsia"/>
          <w:color w:val="auto"/>
          <w:highlight w:val="none"/>
        </w:rPr>
        <w:t>的格式</w:t>
      </w:r>
      <w:r>
        <w:rPr>
          <w:rFonts w:hint="eastAsia" w:asciiTheme="minorEastAsia" w:hAnsiTheme="minorEastAsia" w:eastAsiaTheme="minorEastAsia" w:cstheme="minorEastAsia"/>
          <w:bCs/>
          <w:color w:val="auto"/>
          <w:highlight w:val="none"/>
        </w:rPr>
        <w:t>提供声明函</w:t>
      </w:r>
      <w:r>
        <w:rPr>
          <w:rFonts w:hint="eastAsia"/>
          <w:color w:val="auto"/>
          <w:highlight w:val="none"/>
        </w:rPr>
        <w:t>。</w:t>
      </w:r>
    </w:p>
    <w:p>
      <w:pPr>
        <w:pStyle w:val="35"/>
        <w:adjustRightInd/>
        <w:snapToGrid/>
        <w:spacing w:line="520" w:lineRule="exact"/>
        <w:ind w:firstLine="482"/>
        <w:rPr>
          <w:b/>
          <w:bCs/>
          <w:color w:val="auto"/>
          <w:highlight w:val="none"/>
        </w:rPr>
      </w:pPr>
      <w:r>
        <w:rPr>
          <w:rFonts w:hint="eastAsia"/>
          <w:b/>
          <w:bCs/>
          <w:color w:val="auto"/>
          <w:highlight w:val="none"/>
        </w:rPr>
        <w:t>供应商</w:t>
      </w:r>
      <w:r>
        <w:rPr>
          <w:rFonts w:hint="eastAsia"/>
          <w:b/>
          <w:bCs/>
          <w:color w:val="auto"/>
          <w:highlight w:val="none"/>
          <w:lang w:val="zh-CN"/>
        </w:rPr>
        <w:t>及其现任法定代表人、主要负责人不得具有行贿犯罪记录</w:t>
      </w:r>
      <w:r>
        <w:rPr>
          <w:rFonts w:hint="eastAsia"/>
          <w:b/>
          <w:bCs/>
          <w:color w:val="auto"/>
          <w:highlight w:val="none"/>
        </w:rPr>
        <w:t>的证明材料</w:t>
      </w:r>
      <w:r>
        <w:rPr>
          <w:rFonts w:hint="eastAsia"/>
          <w:b/>
          <w:bCs/>
          <w:color w:val="auto"/>
          <w:highlight w:val="none"/>
          <w:lang w:val="zh-CN"/>
        </w:rPr>
        <w:t>；</w:t>
      </w:r>
    </w:p>
    <w:p>
      <w:pPr>
        <w:pStyle w:val="49"/>
        <w:spacing w:line="520" w:lineRule="exact"/>
        <w:jc w:val="both"/>
        <w:rPr>
          <w:b w:val="0"/>
          <w:bCs/>
          <w:color w:val="auto"/>
          <w:highlight w:val="none"/>
        </w:rPr>
      </w:pPr>
      <w:r>
        <w:rPr>
          <w:rFonts w:hint="eastAsia"/>
          <w:b w:val="0"/>
          <w:bCs/>
          <w:color w:val="auto"/>
          <w:highlight w:val="none"/>
        </w:rPr>
        <w:t>1.在响应文件中作出供应商及其现任法定代表人(姓名和身份证号码)、主要负责人(姓名和身份证号码)10年内(</w:t>
      </w:r>
      <w:r>
        <w:rPr>
          <w:rFonts w:hint="eastAsia"/>
          <w:b w:val="0"/>
          <w:bCs/>
          <w:color w:val="auto"/>
          <w:highlight w:val="none"/>
          <w:lang w:val="zh-CN"/>
        </w:rPr>
        <w:t>若</w:t>
      </w:r>
      <w:r>
        <w:rPr>
          <w:rFonts w:hint="eastAsia"/>
          <w:b w:val="0"/>
          <w:bCs/>
          <w:color w:val="auto"/>
          <w:highlight w:val="none"/>
        </w:rPr>
        <w:t>供应商</w:t>
      </w:r>
      <w:r>
        <w:rPr>
          <w:rFonts w:hint="eastAsia"/>
          <w:b w:val="0"/>
          <w:bCs/>
          <w:color w:val="auto"/>
          <w:highlight w:val="none"/>
          <w:lang w:val="zh-CN"/>
        </w:rPr>
        <w:t>成立不足10年的，</w:t>
      </w:r>
      <w:r>
        <w:rPr>
          <w:rFonts w:hint="eastAsia"/>
          <w:b w:val="0"/>
          <w:bCs/>
          <w:color w:val="auto"/>
          <w:highlight w:val="none"/>
        </w:rPr>
        <w:t>承诺期限为</w:t>
      </w:r>
      <w:r>
        <w:rPr>
          <w:rFonts w:hint="eastAsia"/>
          <w:b w:val="0"/>
          <w:bCs/>
          <w:color w:val="auto"/>
          <w:highlight w:val="none"/>
          <w:lang w:val="zh-CN"/>
        </w:rPr>
        <w:t>成立之日起</w:t>
      </w:r>
      <w:r>
        <w:rPr>
          <w:rFonts w:hint="eastAsia"/>
          <w:b w:val="0"/>
          <w:bCs/>
          <w:color w:val="auto"/>
          <w:highlight w:val="none"/>
        </w:rPr>
        <w:t>至今)无行贿犯罪记录的承诺；</w:t>
      </w:r>
    </w:p>
    <w:p>
      <w:pPr>
        <w:pStyle w:val="49"/>
        <w:spacing w:line="520" w:lineRule="exact"/>
        <w:jc w:val="both"/>
        <w:rPr>
          <w:b w:val="0"/>
          <w:bCs/>
          <w:color w:val="auto"/>
          <w:highlight w:val="none"/>
          <w:lang w:val="zh-CN"/>
        </w:rPr>
      </w:pPr>
      <w:r>
        <w:rPr>
          <w:rFonts w:hint="eastAsia"/>
          <w:b w:val="0"/>
          <w:bCs/>
          <w:color w:val="auto"/>
          <w:highlight w:val="none"/>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color w:val="auto"/>
          <w:highlight w:val="none"/>
          <w:lang w:val="zh-CN"/>
        </w:rPr>
        <w:t>。</w:t>
      </w:r>
    </w:p>
    <w:p>
      <w:pPr>
        <w:pStyle w:val="65"/>
        <w:numPr>
          <w:ilvl w:val="3"/>
          <w:numId w:val="0"/>
        </w:numPr>
        <w:spacing w:line="520" w:lineRule="exact"/>
        <w:ind w:firstLine="482" w:firstLineChars="200"/>
        <w:rPr>
          <w:color w:val="auto"/>
          <w:highlight w:val="none"/>
        </w:rPr>
      </w:pPr>
      <w:r>
        <w:rPr>
          <w:rFonts w:hint="eastAsia"/>
          <w:b/>
          <w:bCs/>
          <w:color w:val="auto"/>
          <w:highlight w:val="none"/>
        </w:rPr>
        <w:t>注：①供应商采用提供承诺函方式响应的，其内容必须符合上述第1款的要求，否则将视为无效承诺；②如供应商未提供有效承诺函，且未</w:t>
      </w:r>
      <w:r>
        <w:rPr>
          <w:rFonts w:hint="eastAsia"/>
          <w:b/>
          <w:color w:val="auto"/>
          <w:highlight w:val="none"/>
        </w:rPr>
        <w:t>在响应文件中书面载明</w:t>
      </w:r>
      <w:r>
        <w:rPr>
          <w:rFonts w:hint="eastAsia"/>
          <w:b/>
          <w:bCs/>
          <w:color w:val="auto"/>
          <w:highlight w:val="none"/>
        </w:rPr>
        <w:t>其“现任法定代表人”(姓名和身份证号码)、“主要负责人”(姓名和身份证号码)信息的，将被视为无效响应。</w:t>
      </w:r>
    </w:p>
    <w:p>
      <w:pPr>
        <w:pStyle w:val="35"/>
        <w:spacing w:line="520" w:lineRule="exact"/>
        <w:ind w:firstLine="482"/>
        <w:rPr>
          <w:b/>
          <w:bCs/>
          <w:color w:val="auto"/>
          <w:highlight w:val="none"/>
        </w:rPr>
      </w:pPr>
      <w:r>
        <w:rPr>
          <w:rFonts w:hint="eastAsia"/>
          <w:b/>
          <w:bCs/>
          <w:color w:val="auto"/>
          <w:highlight w:val="none"/>
        </w:rPr>
        <w:t>法定代表人/单位负责人授权书原件；</w:t>
      </w:r>
    </w:p>
    <w:p>
      <w:pPr>
        <w:pStyle w:val="49"/>
        <w:spacing w:line="520" w:lineRule="exact"/>
        <w:ind w:firstLine="482"/>
        <w:rPr>
          <w:color w:val="auto"/>
          <w:highlight w:val="none"/>
        </w:rPr>
      </w:pPr>
      <w:r>
        <w:rPr>
          <w:rFonts w:hint="eastAsia"/>
          <w:color w:val="auto"/>
          <w:highlight w:val="none"/>
        </w:rPr>
        <w:t>注：①附法定代表人/单位负责人和被授权人身份证正反面复印件；②法定代表人/单位负责人亲自参与谈判时不需要提供。</w:t>
      </w:r>
    </w:p>
    <w:p>
      <w:pPr>
        <w:pStyle w:val="35"/>
        <w:spacing w:line="520" w:lineRule="exact"/>
        <w:ind w:firstLine="482"/>
        <w:rPr>
          <w:b/>
          <w:bCs/>
          <w:color w:val="auto"/>
          <w:highlight w:val="none"/>
        </w:rPr>
      </w:pPr>
      <w:r>
        <w:rPr>
          <w:rFonts w:hint="eastAsia"/>
          <w:b/>
          <w:bCs/>
          <w:color w:val="auto"/>
          <w:highlight w:val="none"/>
        </w:rPr>
        <w:t>法定代表人/单位负责人证明书；</w:t>
      </w:r>
    </w:p>
    <w:p>
      <w:pPr>
        <w:pStyle w:val="49"/>
        <w:spacing w:line="520" w:lineRule="exact"/>
        <w:ind w:firstLine="482"/>
        <w:rPr>
          <w:color w:val="auto"/>
          <w:highlight w:val="none"/>
        </w:rPr>
      </w:pPr>
      <w:r>
        <w:rPr>
          <w:rFonts w:hint="eastAsia"/>
          <w:color w:val="auto"/>
          <w:highlight w:val="none"/>
        </w:rPr>
        <w:t>注：①附法定代表人/单位负责人身份证正反面复印件；②法定代表人/单位负责人亲自参加谈判时提供本证明书。</w:t>
      </w:r>
    </w:p>
    <w:p>
      <w:pPr>
        <w:pStyle w:val="35"/>
        <w:spacing w:line="520" w:lineRule="exact"/>
        <w:ind w:firstLine="482"/>
        <w:rPr>
          <w:b/>
          <w:bCs/>
          <w:color w:val="auto"/>
          <w:highlight w:val="none"/>
        </w:rPr>
      </w:pPr>
      <w:r>
        <w:rPr>
          <w:rFonts w:hint="eastAsia"/>
          <w:b/>
          <w:bCs/>
          <w:color w:val="auto"/>
          <w:highlight w:val="none"/>
        </w:rPr>
        <w:t>法律、</w:t>
      </w:r>
      <w:r>
        <w:rPr>
          <w:color w:val="auto"/>
          <w:highlight w:val="none"/>
        </w:rPr>
        <w:fldChar w:fldCharType="begin"/>
      </w:r>
      <w:r>
        <w:rPr>
          <w:color w:val="auto"/>
          <w:highlight w:val="none"/>
        </w:rPr>
        <w:instrText xml:space="preserve"> HYPERLINK "http://www.lawtime.cn/info/sifakaoshi/xingzhengfa/" \t "_blank" </w:instrText>
      </w:r>
      <w:r>
        <w:rPr>
          <w:color w:val="auto"/>
          <w:highlight w:val="none"/>
        </w:rPr>
        <w:fldChar w:fldCharType="separate"/>
      </w:r>
      <w:r>
        <w:rPr>
          <w:rFonts w:hint="eastAsia"/>
          <w:b/>
          <w:bCs/>
          <w:color w:val="auto"/>
          <w:highlight w:val="none"/>
        </w:rPr>
        <w:t>行政法</w:t>
      </w:r>
      <w:r>
        <w:rPr>
          <w:rFonts w:hint="eastAsia"/>
          <w:b/>
          <w:bCs/>
          <w:color w:val="auto"/>
          <w:highlight w:val="none"/>
        </w:rPr>
        <w:fldChar w:fldCharType="end"/>
      </w:r>
      <w:r>
        <w:rPr>
          <w:rFonts w:hint="eastAsia"/>
          <w:b/>
          <w:bCs/>
          <w:color w:val="auto"/>
          <w:highlight w:val="none"/>
        </w:rPr>
        <w:t>规规定的其他条件的证明材料；</w:t>
      </w:r>
    </w:p>
    <w:p>
      <w:pPr>
        <w:pStyle w:val="48"/>
        <w:spacing w:line="520" w:lineRule="exact"/>
        <w:rPr>
          <w:color w:val="auto"/>
          <w:highlight w:val="none"/>
        </w:rPr>
      </w:pPr>
      <w:r>
        <w:rPr>
          <w:rFonts w:hint="eastAsia"/>
          <w:color w:val="auto"/>
          <w:highlight w:val="none"/>
        </w:rPr>
        <w:t>提供符合法律、</w:t>
      </w:r>
      <w:r>
        <w:rPr>
          <w:color w:val="auto"/>
          <w:highlight w:val="none"/>
        </w:rPr>
        <w:fldChar w:fldCharType="begin"/>
      </w:r>
      <w:r>
        <w:rPr>
          <w:color w:val="auto"/>
          <w:highlight w:val="none"/>
        </w:rPr>
        <w:instrText xml:space="preserve"> HYPERLINK "http://www.lawtime.cn/info/sifakaoshi/xingzhengfa/" \t "_blank" </w:instrText>
      </w:r>
      <w:r>
        <w:rPr>
          <w:color w:val="auto"/>
          <w:highlight w:val="none"/>
        </w:rPr>
        <w:fldChar w:fldCharType="separate"/>
      </w:r>
      <w:r>
        <w:rPr>
          <w:rFonts w:hint="eastAsia"/>
          <w:color w:val="auto"/>
          <w:highlight w:val="none"/>
        </w:rPr>
        <w:t>行政法</w:t>
      </w:r>
      <w:r>
        <w:rPr>
          <w:rFonts w:hint="eastAsia"/>
          <w:color w:val="auto"/>
          <w:highlight w:val="none"/>
        </w:rPr>
        <w:fldChar w:fldCharType="end"/>
      </w:r>
      <w:r>
        <w:rPr>
          <w:rFonts w:hint="eastAsia"/>
          <w:color w:val="auto"/>
          <w:highlight w:val="none"/>
        </w:rPr>
        <w:t>规规定的其他条件的承诺函。</w:t>
      </w:r>
    </w:p>
    <w:p>
      <w:pPr>
        <w:pStyle w:val="49"/>
        <w:spacing w:line="520" w:lineRule="exact"/>
        <w:ind w:firstLine="482"/>
        <w:rPr>
          <w:color w:val="auto"/>
          <w:highlight w:val="none"/>
        </w:rPr>
      </w:pPr>
      <w:r>
        <w:rPr>
          <w:rFonts w:hint="eastAsia"/>
          <w:color w:val="auto"/>
          <w:highlight w:val="none"/>
        </w:rPr>
        <w:t>注：</w:t>
      </w:r>
      <w:r>
        <w:rPr>
          <w:rFonts w:hint="eastAsia" w:asciiTheme="minorEastAsia" w:hAnsiTheme="minorEastAsia" w:eastAsiaTheme="minorEastAsia" w:cstheme="minorEastAsia"/>
          <w:bCs/>
          <w:color w:val="auto"/>
          <w:highlight w:val="none"/>
        </w:rPr>
        <w:t>格式自拟，或参照《承诺及声明函》</w:t>
      </w:r>
      <w:r>
        <w:rPr>
          <w:rFonts w:hint="eastAsia"/>
          <w:color w:val="auto"/>
          <w:highlight w:val="none"/>
        </w:rPr>
        <w:t>的格式</w:t>
      </w:r>
      <w:r>
        <w:rPr>
          <w:rFonts w:hint="eastAsia" w:asciiTheme="minorEastAsia" w:hAnsiTheme="minorEastAsia" w:eastAsiaTheme="minorEastAsia" w:cstheme="minorEastAsia"/>
          <w:bCs/>
          <w:color w:val="auto"/>
          <w:highlight w:val="none"/>
        </w:rPr>
        <w:t>提供承诺函</w:t>
      </w:r>
      <w:r>
        <w:rPr>
          <w:rFonts w:hint="eastAsia"/>
          <w:color w:val="auto"/>
          <w:highlight w:val="none"/>
        </w:rPr>
        <w:t>。</w:t>
      </w:r>
    </w:p>
    <w:p>
      <w:pPr>
        <w:pStyle w:val="35"/>
        <w:spacing w:line="520" w:lineRule="exact"/>
        <w:ind w:firstLine="482"/>
        <w:rPr>
          <w:b/>
          <w:bCs/>
          <w:color w:val="auto"/>
          <w:highlight w:val="none"/>
        </w:rPr>
      </w:pPr>
      <w:r>
        <w:rPr>
          <w:rFonts w:hint="eastAsia" w:cs="Times New Roman"/>
          <w:b/>
          <w:bCs/>
          <w:color w:val="auto"/>
          <w:highlight w:val="none"/>
          <w:lang w:val="zh-CN"/>
        </w:rPr>
        <w:t>落实政策需满足的资格要求；</w:t>
      </w:r>
    </w:p>
    <w:p>
      <w:pPr>
        <w:pStyle w:val="48"/>
        <w:spacing w:line="520" w:lineRule="exact"/>
        <w:rPr>
          <w:color w:val="auto"/>
          <w:highlight w:val="none"/>
        </w:rPr>
      </w:pPr>
      <w:r>
        <w:rPr>
          <w:rFonts w:hint="eastAsia"/>
          <w:color w:val="auto"/>
          <w:highlight w:val="none"/>
          <w:lang w:val="zh-CN"/>
        </w:rPr>
        <w:t>本项目专门面向中小企业采购的项目,供应商应为中小微企业、监狱企业、残疾人福利性单位，提供中小企业声明函</w:t>
      </w:r>
      <w:r>
        <w:rPr>
          <w:rFonts w:hint="eastAsia"/>
          <w:color w:val="auto"/>
          <w:highlight w:val="none"/>
        </w:rPr>
        <w:t>(符合中小企业划分标准的个体工商户可按此格式填报)</w:t>
      </w:r>
      <w:r>
        <w:rPr>
          <w:rFonts w:hint="eastAsia"/>
          <w:color w:val="auto"/>
          <w:highlight w:val="none"/>
          <w:lang w:val="zh-CN"/>
        </w:rPr>
        <w:t>或监狱企业相关证明材料或残疾人福利性单位声明函</w:t>
      </w:r>
      <w:r>
        <w:rPr>
          <w:rFonts w:hint="eastAsia"/>
          <w:color w:val="auto"/>
          <w:highlight w:val="none"/>
        </w:rPr>
        <w:t>。</w:t>
      </w:r>
    </w:p>
    <w:p>
      <w:pPr>
        <w:pStyle w:val="35"/>
        <w:spacing w:line="520" w:lineRule="exact"/>
        <w:ind w:firstLine="482"/>
        <w:rPr>
          <w:b/>
          <w:bCs/>
          <w:color w:val="auto"/>
          <w:highlight w:val="none"/>
        </w:rPr>
      </w:pPr>
      <w:r>
        <w:rPr>
          <w:rFonts w:hint="eastAsia"/>
          <w:b/>
          <w:bCs/>
          <w:color w:val="auto"/>
          <w:highlight w:val="none"/>
        </w:rPr>
        <w:t>根据采购项目的特殊要求，规定供应商的特定条件的证明材料；</w:t>
      </w:r>
    </w:p>
    <w:p>
      <w:pPr>
        <w:pStyle w:val="36"/>
        <w:spacing w:line="520" w:lineRule="exact"/>
        <w:ind w:firstLine="480" w:firstLineChars="200"/>
        <w:rPr>
          <w:color w:val="auto"/>
          <w:highlight w:val="none"/>
        </w:rPr>
      </w:pPr>
      <w:r>
        <w:rPr>
          <w:rFonts w:hint="eastAsia"/>
          <w:color w:val="auto"/>
          <w:highlight w:val="none"/>
        </w:rPr>
        <w:t>1.提供行业行政主管部门颁发的且在有效期内的市政公用工程施工总承包三级及以上资质证书复印件；</w:t>
      </w:r>
    </w:p>
    <w:p>
      <w:pPr>
        <w:pStyle w:val="36"/>
        <w:spacing w:line="520" w:lineRule="exact"/>
        <w:ind w:firstLine="480" w:firstLineChars="200"/>
        <w:rPr>
          <w:color w:val="auto"/>
          <w:highlight w:val="none"/>
        </w:rPr>
      </w:pPr>
      <w:r>
        <w:rPr>
          <w:rFonts w:hint="eastAsia"/>
          <w:color w:val="auto"/>
          <w:highlight w:val="none"/>
        </w:rPr>
        <w:t>2.提供有效的《安全生产许可证》复印件；</w:t>
      </w:r>
    </w:p>
    <w:p>
      <w:pPr>
        <w:pStyle w:val="36"/>
        <w:spacing w:line="520" w:lineRule="exact"/>
        <w:ind w:firstLine="480" w:firstLineChars="200"/>
        <w:rPr>
          <w:color w:val="auto"/>
          <w:highlight w:val="none"/>
        </w:rPr>
      </w:pPr>
      <w:r>
        <w:rPr>
          <w:rFonts w:hint="eastAsia"/>
          <w:color w:val="auto"/>
          <w:highlight w:val="none"/>
        </w:rPr>
        <w:t>3.项目经理：提供市政工程专业二级或以上建造师执业资格并注册证书复印件，提供有效的安全生产考核合格证书(B证)复印件；项目技术负责人：提供建筑工程相关专业中级及以上职称证书复印件；</w:t>
      </w:r>
    </w:p>
    <w:p>
      <w:pPr>
        <w:pStyle w:val="48"/>
        <w:spacing w:line="520" w:lineRule="exact"/>
        <w:rPr>
          <w:color w:val="auto"/>
          <w:highlight w:val="none"/>
        </w:rPr>
      </w:pPr>
      <w:r>
        <w:rPr>
          <w:rFonts w:hint="eastAsia"/>
          <w:color w:val="auto"/>
          <w:highlight w:val="none"/>
        </w:rPr>
        <w:t>4.企业注册地不在四川省行政区域内的省外企业须提供在有效期内的四川省住房和城乡建设厅官网已公开的入川信息网页截图；</w:t>
      </w:r>
    </w:p>
    <w:p>
      <w:pPr>
        <w:pStyle w:val="38"/>
        <w:numPr>
          <w:ilvl w:val="2"/>
          <w:numId w:val="0"/>
        </w:numPr>
        <w:spacing w:line="520" w:lineRule="exact"/>
        <w:ind w:left="480" w:leftChars="200"/>
        <w:rPr>
          <w:color w:val="auto"/>
          <w:highlight w:val="none"/>
        </w:rPr>
      </w:pPr>
      <w:r>
        <w:rPr>
          <w:rFonts w:hint="eastAsia"/>
          <w:color w:val="auto"/>
          <w:highlight w:val="none"/>
        </w:rPr>
        <w:t>5.提供未与其他供应商组成联合体参与本项目谈判的承诺函。</w:t>
      </w:r>
    </w:p>
    <w:p>
      <w:pPr>
        <w:pStyle w:val="49"/>
        <w:spacing w:line="520" w:lineRule="exact"/>
        <w:ind w:firstLine="482"/>
        <w:rPr>
          <w:color w:val="auto"/>
          <w:highlight w:val="none"/>
        </w:rPr>
      </w:pPr>
      <w:r>
        <w:rPr>
          <w:rFonts w:hint="eastAsia"/>
          <w:color w:val="auto"/>
          <w:highlight w:val="none"/>
        </w:rPr>
        <w:t>注：</w:t>
      </w:r>
      <w:r>
        <w:rPr>
          <w:rFonts w:hint="eastAsia" w:asciiTheme="minorEastAsia" w:hAnsiTheme="minorEastAsia" w:eastAsiaTheme="minorEastAsia" w:cstheme="minorEastAsia"/>
          <w:bCs/>
          <w:color w:val="auto"/>
          <w:highlight w:val="none"/>
        </w:rPr>
        <w:t>格式自拟，或参照《承诺及声明函》</w:t>
      </w:r>
      <w:r>
        <w:rPr>
          <w:rFonts w:hint="eastAsia"/>
          <w:color w:val="auto"/>
          <w:highlight w:val="none"/>
        </w:rPr>
        <w:t>的格式</w:t>
      </w:r>
      <w:r>
        <w:rPr>
          <w:rFonts w:hint="eastAsia" w:asciiTheme="minorEastAsia" w:hAnsiTheme="minorEastAsia" w:eastAsiaTheme="minorEastAsia" w:cstheme="minorEastAsia"/>
          <w:bCs/>
          <w:color w:val="auto"/>
          <w:highlight w:val="none"/>
        </w:rPr>
        <w:t>提供承诺函</w:t>
      </w:r>
      <w:r>
        <w:rPr>
          <w:rFonts w:hint="eastAsia"/>
          <w:color w:val="auto"/>
          <w:highlight w:val="none"/>
        </w:rPr>
        <w:t>。</w:t>
      </w:r>
    </w:p>
    <w:p>
      <w:pPr>
        <w:pStyle w:val="35"/>
        <w:spacing w:line="520" w:lineRule="exact"/>
        <w:ind w:firstLine="482"/>
        <w:rPr>
          <w:rFonts w:cs="宋体"/>
          <w:b/>
          <w:bCs/>
          <w:color w:val="auto"/>
          <w:highlight w:val="none"/>
        </w:rPr>
      </w:pPr>
      <w:r>
        <w:rPr>
          <w:rFonts w:hint="eastAsia" w:cs="宋体"/>
          <w:b/>
          <w:bCs/>
          <w:color w:val="auto"/>
          <w:highlight w:val="none"/>
        </w:rPr>
        <w:t>提供有效的谈判保证金提交凭证；</w:t>
      </w:r>
    </w:p>
    <w:p>
      <w:pPr>
        <w:pStyle w:val="38"/>
        <w:numPr>
          <w:ilvl w:val="2"/>
          <w:numId w:val="36"/>
        </w:numPr>
        <w:spacing w:line="520" w:lineRule="exact"/>
        <w:ind w:firstLine="480"/>
        <w:rPr>
          <w:color w:val="auto"/>
          <w:highlight w:val="none"/>
        </w:rPr>
      </w:pPr>
      <w:r>
        <w:rPr>
          <w:rFonts w:hint="eastAsia"/>
          <w:color w:val="auto"/>
          <w:highlight w:val="none"/>
        </w:rPr>
        <w:t>提交谈判保证金的银行回单复印件；</w:t>
      </w:r>
    </w:p>
    <w:p>
      <w:pPr>
        <w:pStyle w:val="38"/>
        <w:numPr>
          <w:ilvl w:val="2"/>
          <w:numId w:val="36"/>
        </w:numPr>
        <w:spacing w:line="520" w:lineRule="exact"/>
        <w:ind w:firstLine="480"/>
        <w:rPr>
          <w:color w:val="auto"/>
          <w:highlight w:val="none"/>
        </w:rPr>
      </w:pPr>
      <w:r>
        <w:rPr>
          <w:rFonts w:hint="eastAsia"/>
          <w:color w:val="auto"/>
          <w:highlight w:val="none"/>
        </w:rPr>
        <w:t>若以保函方式提交谈判保证金的，提供保函原件。</w:t>
      </w:r>
    </w:p>
    <w:p>
      <w:pPr>
        <w:pStyle w:val="49"/>
        <w:spacing w:line="520" w:lineRule="exact"/>
        <w:ind w:firstLine="482"/>
        <w:rPr>
          <w:color w:val="auto"/>
          <w:highlight w:val="none"/>
        </w:rPr>
      </w:pPr>
      <w:r>
        <w:rPr>
          <w:rFonts w:hint="eastAsia"/>
          <w:color w:val="auto"/>
          <w:highlight w:val="none"/>
        </w:rPr>
        <w:t>说明：①供应商提供的以上资格证明材料及其他类似效力要求的相关证明材料均应加盖供应商公章，否则资格审查将视为未通过。本项目资格审查仅限于本章涉及的所有内容，若供应商未按照以上要求提供齐全，其资格审查作未通过处理。</w:t>
      </w:r>
    </w:p>
    <w:p>
      <w:pPr>
        <w:pStyle w:val="49"/>
        <w:spacing w:line="520" w:lineRule="exact"/>
        <w:ind w:firstLine="482"/>
        <w:rPr>
          <w:color w:val="auto"/>
          <w:highlight w:val="none"/>
        </w:rPr>
      </w:pPr>
      <w:r>
        <w:rPr>
          <w:rFonts w:hint="eastAsia"/>
          <w:color w:val="auto"/>
          <w:highlight w:val="none"/>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pPr>
        <w:pStyle w:val="49"/>
        <w:spacing w:line="520" w:lineRule="exact"/>
        <w:ind w:firstLine="482"/>
        <w:rPr>
          <w:color w:val="auto"/>
          <w:highlight w:val="none"/>
        </w:rPr>
      </w:pPr>
      <w:r>
        <w:rPr>
          <w:rFonts w:hint="eastAsia"/>
          <w:color w:val="auto"/>
          <w:highlight w:val="none"/>
        </w:rPr>
        <w:t>③重大违法记录中的较大数额罚款的具体金额标准及范围是：根据</w:t>
      </w:r>
      <w:bookmarkStart w:id="326" w:name="sendNo"/>
      <w:r>
        <w:rPr>
          <w:rFonts w:hint="eastAsia"/>
          <w:color w:val="auto"/>
          <w:highlight w:val="none"/>
        </w:rPr>
        <w:t>财库〔2022〕3 号</w:t>
      </w:r>
      <w:bookmarkEnd w:id="326"/>
      <w:r>
        <w:rPr>
          <w:rFonts w:hint="eastAsia"/>
          <w:color w:val="auto"/>
          <w:highlight w:val="none"/>
        </w:rPr>
        <w:t>文件关于“较大数额罚款”认定为200万元以上的罚款，法律、行政法规以及国务院有关部门明确规定相关领域“较大数额罚款”标准高于200万元的，从其规定。</w:t>
      </w:r>
    </w:p>
    <w:p>
      <w:pPr>
        <w:pStyle w:val="49"/>
        <w:spacing w:line="520" w:lineRule="exact"/>
        <w:ind w:firstLine="482"/>
        <w:rPr>
          <w:color w:val="auto"/>
          <w:highlight w:val="none"/>
        </w:rPr>
      </w:pPr>
      <w:r>
        <w:rPr>
          <w:rFonts w:hint="eastAsia"/>
          <w:color w:val="auto"/>
          <w:highlight w:val="none"/>
        </w:rPr>
        <w:t>④供应商应对其所提供的资格证明材料来源的合法性、真实性承担法律责任。</w:t>
      </w:r>
    </w:p>
    <w:p>
      <w:pPr>
        <w:pStyle w:val="49"/>
        <w:spacing w:line="520" w:lineRule="exact"/>
        <w:ind w:firstLine="482"/>
        <w:rPr>
          <w:color w:val="auto"/>
          <w:highlight w:val="none"/>
        </w:rPr>
      </w:pPr>
      <w:r>
        <w:rPr>
          <w:rFonts w:hint="eastAsia"/>
          <w:color w:val="auto"/>
          <w:highlight w:val="none"/>
        </w:rPr>
        <w:fldChar w:fldCharType="begin"/>
      </w:r>
      <w:r>
        <w:rPr>
          <w:rFonts w:hint="eastAsia"/>
          <w:color w:val="auto"/>
          <w:highlight w:val="none"/>
        </w:rPr>
        <w:instrText xml:space="preserve"> = 5 \* GB3 \* MERGEFORMAT </w:instrText>
      </w:r>
      <w:r>
        <w:rPr>
          <w:rFonts w:hint="eastAsia"/>
          <w:color w:val="auto"/>
          <w:highlight w:val="none"/>
        </w:rPr>
        <w:fldChar w:fldCharType="separate"/>
      </w:r>
      <w:r>
        <w:rPr>
          <w:rFonts w:hint="eastAsia"/>
          <w:color w:val="auto"/>
          <w:highlight w:val="none"/>
        </w:rPr>
        <w:t>⑤</w:t>
      </w:r>
      <w:r>
        <w:rPr>
          <w:rFonts w:hint="eastAsia"/>
          <w:color w:val="auto"/>
          <w:highlight w:val="none"/>
        </w:rPr>
        <w:fldChar w:fldCharType="end"/>
      </w:r>
      <w:r>
        <w:rPr>
          <w:rFonts w:hint="eastAsia"/>
          <w:color w:val="auto"/>
          <w:highlight w:val="none"/>
        </w:rPr>
        <w:t>以上承诺及声明函可参照第三章响应文件格式“承诺及声明函”格式或自拟格式填写均有效。</w:t>
      </w:r>
    </w:p>
    <w:p>
      <w:pPr>
        <w:pStyle w:val="49"/>
        <w:spacing w:line="520" w:lineRule="exact"/>
        <w:ind w:firstLine="482"/>
        <w:rPr>
          <w:color w:val="auto"/>
          <w:highlight w:val="none"/>
        </w:rPr>
      </w:pPr>
      <w:r>
        <w:rPr>
          <w:rFonts w:hint="eastAsia"/>
          <w:color w:val="auto"/>
          <w:highlight w:val="none"/>
        </w:rPr>
        <w:fldChar w:fldCharType="begin"/>
      </w:r>
      <w:r>
        <w:rPr>
          <w:rFonts w:hint="eastAsia"/>
          <w:color w:val="auto"/>
          <w:highlight w:val="none"/>
        </w:rPr>
        <w:instrText xml:space="preserve"> = 6 \* GB3 \* MERGEFORMAT </w:instrText>
      </w:r>
      <w:r>
        <w:rPr>
          <w:rFonts w:hint="eastAsia"/>
          <w:color w:val="auto"/>
          <w:highlight w:val="none"/>
        </w:rPr>
        <w:fldChar w:fldCharType="separate"/>
      </w:r>
      <w:r>
        <w:rPr>
          <w:rFonts w:hint="eastAsia"/>
          <w:color w:val="auto"/>
          <w:highlight w:val="none"/>
        </w:rPr>
        <w:t>⑥</w:t>
      </w:r>
      <w:r>
        <w:rPr>
          <w:rFonts w:hint="eastAsia"/>
          <w:color w:val="auto"/>
          <w:highlight w:val="none"/>
        </w:rPr>
        <w:fldChar w:fldCharType="end"/>
      </w:r>
      <w:r>
        <w:rPr>
          <w:rFonts w:hint="eastAsia"/>
          <w:color w:val="auto"/>
          <w:highlight w:val="none"/>
        </w:rPr>
        <w:t>本章要求提供的相关证明材料应当结合采购项目具体情况和供应商的组织机构性质确定，不得一概而论。</w:t>
      </w:r>
    </w:p>
    <w:p>
      <w:pPr>
        <w:pStyle w:val="50"/>
        <w:numPr>
          <w:ilvl w:val="0"/>
          <w:numId w:val="34"/>
        </w:numPr>
        <w:spacing w:before="120" w:after="120"/>
        <w:rPr>
          <w:color w:val="auto"/>
          <w:highlight w:val="none"/>
        </w:rPr>
      </w:pPr>
      <w:r>
        <w:rPr>
          <w:rFonts w:hint="eastAsia"/>
          <w:color w:val="auto"/>
          <w:highlight w:val="none"/>
        </w:rPr>
        <w:br w:type="page"/>
      </w:r>
      <w:bookmarkEnd w:id="325"/>
      <w:bookmarkStart w:id="327" w:name="_Toc16569"/>
      <w:r>
        <w:rPr>
          <w:rFonts w:hint="eastAsia" w:asciiTheme="minorEastAsia" w:hAnsiTheme="minorEastAsia" w:eastAsiaTheme="minorEastAsia" w:cstheme="minorEastAsia"/>
          <w:color w:val="auto"/>
          <w:szCs w:val="36"/>
          <w:highlight w:val="none"/>
        </w:rPr>
        <w:t>采购项目技术、服务、合同内容条款及商务要求</w:t>
      </w:r>
      <w:bookmarkEnd w:id="327"/>
    </w:p>
    <w:p>
      <w:pPr>
        <w:pStyle w:val="37"/>
        <w:spacing w:line="520" w:lineRule="exact"/>
        <w:ind w:firstLine="482"/>
        <w:textAlignment w:val="baseline"/>
        <w:rPr>
          <w:rFonts w:cs="宋体"/>
          <w:color w:val="auto"/>
          <w:highlight w:val="none"/>
        </w:rPr>
      </w:pPr>
      <w:bookmarkStart w:id="328" w:name="_Hlt101846155"/>
      <w:bookmarkEnd w:id="328"/>
      <w:bookmarkStart w:id="329" w:name="_Toc29518"/>
      <w:bookmarkStart w:id="330" w:name="_Toc11500"/>
      <w:bookmarkStart w:id="331" w:name="_Toc22031"/>
      <w:bookmarkStart w:id="332" w:name="_Toc13430"/>
      <w:bookmarkStart w:id="333" w:name="_Toc487393124"/>
      <w:bookmarkStart w:id="334" w:name="_Toc30018"/>
      <w:bookmarkStart w:id="335" w:name="_Toc309897563"/>
      <w:bookmarkStart w:id="336" w:name="_Toc208849007"/>
      <w:bookmarkStart w:id="337" w:name="_Toc11039"/>
      <w:bookmarkStart w:id="338" w:name="_Toc217446060"/>
      <w:bookmarkStart w:id="339" w:name="_Toc12025"/>
      <w:bookmarkStart w:id="340" w:name="_Toc319439948"/>
      <w:bookmarkStart w:id="341" w:name="_Toc25435"/>
      <w:bookmarkStart w:id="342" w:name="_Toc307564899"/>
      <w:bookmarkStart w:id="343" w:name="_Toc308084645"/>
      <w:bookmarkStart w:id="344" w:name="_Toc307564896"/>
      <w:bookmarkStart w:id="345" w:name="_Toc307501154"/>
      <w:bookmarkStart w:id="346" w:name="_Toc308084648"/>
      <w:bookmarkStart w:id="347" w:name="_Toc29864"/>
      <w:bookmarkStart w:id="348" w:name="_Toc217446099"/>
      <w:bookmarkStart w:id="349" w:name="_Toc1543"/>
      <w:bookmarkStart w:id="350" w:name="_Toc308188201"/>
      <w:bookmarkStart w:id="351" w:name="_Toc327196339"/>
      <w:bookmarkStart w:id="352" w:name="_Toc183582280"/>
      <w:bookmarkStart w:id="353" w:name="_Toc319439946"/>
      <w:bookmarkStart w:id="354" w:name="_Toc23360"/>
      <w:bookmarkStart w:id="355" w:name="_Toc183682415"/>
      <w:bookmarkStart w:id="356" w:name="_Toc1839"/>
      <w:bookmarkStart w:id="357" w:name="_Toc327196343"/>
      <w:bookmarkStart w:id="358" w:name="_Toc319440188"/>
      <w:bookmarkStart w:id="359" w:name="_Toc4553"/>
      <w:bookmarkStart w:id="360" w:name="_Toc2232"/>
      <w:bookmarkStart w:id="361" w:name="_Toc1541"/>
      <w:bookmarkStart w:id="362" w:name="_Toc319440192"/>
      <w:bookmarkStart w:id="363" w:name="_Toc309897566"/>
      <w:bookmarkStart w:id="364" w:name="_Toc25959"/>
      <w:bookmarkStart w:id="365" w:name="_Toc3881"/>
      <w:bookmarkStart w:id="366" w:name="_Toc308188198"/>
      <w:bookmarkStart w:id="367" w:name="_Toc21302"/>
      <w:bookmarkStart w:id="368" w:name="_Toc307501157"/>
      <w:bookmarkStart w:id="369" w:name="_Toc217446097"/>
      <w:bookmarkStart w:id="370" w:name="_Toc26923"/>
      <w:bookmarkStart w:id="371" w:name="_Toc483"/>
      <w:bookmarkStart w:id="372" w:name="_Toc32159"/>
      <w:r>
        <w:rPr>
          <w:rFonts w:hint="eastAsia" w:cs="宋体"/>
          <w:color w:val="auto"/>
          <w:highlight w:val="none"/>
        </w:rPr>
        <w:t>工程概况</w:t>
      </w:r>
      <w:bookmarkEnd w:id="329"/>
      <w:bookmarkEnd w:id="330"/>
      <w:bookmarkEnd w:id="331"/>
      <w:bookmarkEnd w:id="332"/>
      <w:bookmarkEnd w:id="333"/>
      <w:bookmarkEnd w:id="334"/>
    </w:p>
    <w:p>
      <w:pPr>
        <w:pStyle w:val="48"/>
        <w:spacing w:line="520" w:lineRule="exact"/>
        <w:textAlignment w:val="baseline"/>
        <w:rPr>
          <w:rFonts w:cs="宋体"/>
          <w:color w:val="auto"/>
          <w:highlight w:val="none"/>
        </w:rPr>
      </w:pPr>
      <w:bookmarkStart w:id="373" w:name="_Toc2050"/>
      <w:bookmarkStart w:id="374" w:name="_Toc237969084"/>
      <w:bookmarkStart w:id="375" w:name="_Toc202769343"/>
      <w:bookmarkStart w:id="376" w:name="_Toc222915905"/>
      <w:bookmarkStart w:id="377" w:name="_Toc222910130"/>
      <w:bookmarkStart w:id="378" w:name="_Toc206531674"/>
      <w:bookmarkStart w:id="379" w:name="_Toc232226874"/>
      <w:bookmarkStart w:id="380" w:name="_Toc222988507"/>
      <w:bookmarkStart w:id="381" w:name="_Toc18237"/>
      <w:bookmarkStart w:id="382" w:name="_Toc232226810"/>
      <w:r>
        <w:rPr>
          <w:rFonts w:hint="eastAsia" w:cs="宋体"/>
          <w:color w:val="auto"/>
          <w:highlight w:val="none"/>
        </w:rPr>
        <w:t>本工程为学校郫都校区沥青路面维修，主要包含部分沥青路面翻新、修补、路沿石安装、井盖更换等，详见工程量清单。</w:t>
      </w:r>
    </w:p>
    <w:bookmarkEnd w:id="373"/>
    <w:bookmarkEnd w:id="374"/>
    <w:bookmarkEnd w:id="375"/>
    <w:bookmarkEnd w:id="376"/>
    <w:bookmarkEnd w:id="377"/>
    <w:bookmarkEnd w:id="378"/>
    <w:bookmarkEnd w:id="379"/>
    <w:bookmarkEnd w:id="380"/>
    <w:bookmarkEnd w:id="381"/>
    <w:bookmarkEnd w:id="382"/>
    <w:p>
      <w:pPr>
        <w:pStyle w:val="37"/>
        <w:spacing w:line="520" w:lineRule="exact"/>
        <w:ind w:firstLine="482"/>
        <w:textAlignment w:val="baseline"/>
        <w:rPr>
          <w:rFonts w:cs="宋体"/>
          <w:color w:val="auto"/>
          <w:highlight w:val="none"/>
        </w:rPr>
      </w:pPr>
      <w:bookmarkStart w:id="383" w:name="_Toc19254"/>
      <w:bookmarkStart w:id="384" w:name="_Toc29624"/>
      <w:bookmarkStart w:id="385" w:name="_Toc14237"/>
      <w:bookmarkStart w:id="386" w:name="_Toc21685"/>
      <w:bookmarkStart w:id="387" w:name="_Toc487393125"/>
      <w:bookmarkStart w:id="388" w:name="_Toc5195"/>
      <w:bookmarkStart w:id="389" w:name="_Toc202769347"/>
      <w:bookmarkStart w:id="390" w:name="_Toc206531678"/>
      <w:bookmarkStart w:id="391" w:name="_Toc232226878"/>
      <w:bookmarkStart w:id="392" w:name="_Toc168122979"/>
      <w:bookmarkStart w:id="393" w:name="_Toc167882036"/>
      <w:bookmarkStart w:id="394" w:name="_Toc168104491"/>
      <w:bookmarkStart w:id="395" w:name="_Toc232226814"/>
      <w:bookmarkStart w:id="396" w:name="_Toc222915909"/>
      <w:bookmarkStart w:id="397" w:name="_Toc222910134"/>
      <w:bookmarkStart w:id="398" w:name="_Toc237969088"/>
      <w:bookmarkStart w:id="399" w:name="_Toc222988511"/>
      <w:r>
        <w:rPr>
          <w:rFonts w:hint="eastAsia" w:cs="宋体"/>
          <w:color w:val="auto"/>
          <w:highlight w:val="none"/>
        </w:rPr>
        <w:t>建设业主</w:t>
      </w:r>
      <w:bookmarkEnd w:id="383"/>
      <w:bookmarkEnd w:id="384"/>
      <w:bookmarkEnd w:id="385"/>
      <w:bookmarkEnd w:id="386"/>
      <w:bookmarkEnd w:id="387"/>
      <w:bookmarkEnd w:id="388"/>
    </w:p>
    <w:p>
      <w:pPr>
        <w:pStyle w:val="48"/>
        <w:spacing w:line="520" w:lineRule="exact"/>
        <w:textAlignment w:val="baseline"/>
        <w:rPr>
          <w:rFonts w:cs="宋体"/>
          <w:color w:val="auto"/>
          <w:highlight w:val="none"/>
        </w:rPr>
      </w:pPr>
      <w:r>
        <w:rPr>
          <w:rFonts w:hint="eastAsia" w:cs="宋体"/>
          <w:color w:val="auto"/>
          <w:highlight w:val="none"/>
        </w:rPr>
        <w:t>成都市技师学院</w:t>
      </w:r>
    </w:p>
    <w:bookmarkEnd w:id="389"/>
    <w:bookmarkEnd w:id="390"/>
    <w:bookmarkEnd w:id="391"/>
    <w:bookmarkEnd w:id="392"/>
    <w:bookmarkEnd w:id="393"/>
    <w:bookmarkEnd w:id="394"/>
    <w:bookmarkEnd w:id="395"/>
    <w:bookmarkEnd w:id="396"/>
    <w:bookmarkEnd w:id="397"/>
    <w:bookmarkEnd w:id="398"/>
    <w:bookmarkEnd w:id="399"/>
    <w:p>
      <w:pPr>
        <w:pStyle w:val="37"/>
        <w:spacing w:line="520" w:lineRule="exact"/>
        <w:ind w:firstLine="482"/>
        <w:textAlignment w:val="baseline"/>
        <w:rPr>
          <w:rFonts w:cs="宋体"/>
          <w:color w:val="auto"/>
          <w:highlight w:val="none"/>
        </w:rPr>
      </w:pPr>
      <w:bookmarkStart w:id="400" w:name="_Toc20608"/>
      <w:bookmarkStart w:id="401" w:name="_Toc11813"/>
      <w:bookmarkStart w:id="402" w:name="_Toc12364"/>
      <w:bookmarkStart w:id="403" w:name="_Toc18692"/>
      <w:bookmarkStart w:id="404" w:name="_Toc24924"/>
      <w:r>
        <w:rPr>
          <w:rFonts w:hint="eastAsia" w:cs="宋体"/>
          <w:color w:val="auto"/>
          <w:highlight w:val="none"/>
        </w:rPr>
        <w:t>工程地点(范围</w:t>
      </w:r>
      <w:bookmarkEnd w:id="400"/>
      <w:bookmarkEnd w:id="401"/>
      <w:bookmarkEnd w:id="402"/>
      <w:r>
        <w:rPr>
          <w:rFonts w:hint="eastAsia" w:cs="宋体"/>
          <w:color w:val="auto"/>
          <w:highlight w:val="none"/>
        </w:rPr>
        <w:t>)</w:t>
      </w:r>
      <w:bookmarkEnd w:id="403"/>
      <w:bookmarkEnd w:id="404"/>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四川省成都市郫都区港通北三路1899号</w:t>
      </w:r>
    </w:p>
    <w:p>
      <w:pPr>
        <w:pStyle w:val="37"/>
        <w:spacing w:line="520" w:lineRule="exact"/>
        <w:ind w:firstLine="482"/>
        <w:textAlignment w:val="baseline"/>
        <w:rPr>
          <w:rFonts w:cs="宋体"/>
          <w:color w:val="auto"/>
          <w:highlight w:val="none"/>
        </w:rPr>
      </w:pPr>
      <w:bookmarkStart w:id="405" w:name="_Toc22574"/>
      <w:bookmarkStart w:id="406" w:name="_Toc8091"/>
      <w:bookmarkStart w:id="407" w:name="_Toc1324"/>
      <w:bookmarkStart w:id="408" w:name="_Toc23893"/>
      <w:bookmarkStart w:id="409" w:name="_Toc30619"/>
      <w:r>
        <w:rPr>
          <w:rFonts w:hint="eastAsia" w:cs="宋体"/>
          <w:color w:val="auto"/>
          <w:highlight w:val="none"/>
        </w:rPr>
        <w:t>★工程量清单属于本文件的组成部分：另册</w:t>
      </w:r>
      <w:bookmarkEnd w:id="405"/>
      <w:r>
        <w:rPr>
          <w:rFonts w:hint="eastAsia" w:cs="宋体"/>
          <w:color w:val="auto"/>
          <w:highlight w:val="none"/>
        </w:rPr>
        <w:t>。</w:t>
      </w:r>
      <w:bookmarkEnd w:id="406"/>
      <w:bookmarkEnd w:id="407"/>
      <w:bookmarkEnd w:id="408"/>
      <w:bookmarkEnd w:id="409"/>
    </w:p>
    <w:p>
      <w:pPr>
        <w:pStyle w:val="37"/>
        <w:spacing w:line="520" w:lineRule="exact"/>
        <w:ind w:firstLine="482"/>
        <w:textAlignment w:val="baseline"/>
        <w:rPr>
          <w:rFonts w:cs="宋体"/>
          <w:color w:val="auto"/>
          <w:highlight w:val="none"/>
        </w:rPr>
      </w:pPr>
      <w:bookmarkStart w:id="410" w:name="_Toc13938"/>
      <w:bookmarkStart w:id="411" w:name="_Toc10138"/>
      <w:bookmarkStart w:id="412" w:name="_Toc13830"/>
      <w:bookmarkStart w:id="413" w:name="_Toc26407"/>
      <w:r>
        <w:rPr>
          <w:rFonts w:hint="eastAsia" w:cs="宋体"/>
          <w:color w:val="auto"/>
          <w:highlight w:val="none"/>
        </w:rPr>
        <w:t>★工期要求</w:t>
      </w:r>
      <w:bookmarkEnd w:id="410"/>
      <w:bookmarkEnd w:id="411"/>
      <w:bookmarkEnd w:id="412"/>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供应商接到采购人书面通知(开工令)后开工，自收到开工令后15个日历天内竣工。</w:t>
      </w:r>
    </w:p>
    <w:bookmarkEnd w:id="413"/>
    <w:p>
      <w:pPr>
        <w:pStyle w:val="37"/>
        <w:spacing w:line="520" w:lineRule="exact"/>
        <w:ind w:firstLine="482"/>
        <w:textAlignment w:val="baseline"/>
        <w:rPr>
          <w:rFonts w:cs="宋体"/>
          <w:color w:val="auto"/>
          <w:highlight w:val="none"/>
        </w:rPr>
      </w:pPr>
      <w:bookmarkStart w:id="414" w:name="_Toc10197"/>
      <w:bookmarkStart w:id="415" w:name="_Toc12504"/>
      <w:bookmarkStart w:id="416" w:name="_Toc22166"/>
      <w:bookmarkStart w:id="417" w:name="_Toc5944"/>
      <w:bookmarkStart w:id="418" w:name="_Toc11033"/>
      <w:r>
        <w:rPr>
          <w:rFonts w:hint="eastAsia" w:cs="宋体"/>
          <w:color w:val="auto"/>
          <w:highlight w:val="none"/>
        </w:rPr>
        <w:t>★技术、服务要求</w:t>
      </w:r>
      <w:bookmarkEnd w:id="414"/>
      <w:bookmarkEnd w:id="415"/>
      <w:bookmarkEnd w:id="416"/>
      <w:bookmarkEnd w:id="417"/>
      <w:bookmarkEnd w:id="418"/>
    </w:p>
    <w:p>
      <w:pPr>
        <w:pStyle w:val="35"/>
        <w:numPr>
          <w:ilvl w:val="1"/>
          <w:numId w:val="37"/>
        </w:numPr>
        <w:spacing w:line="520" w:lineRule="exact"/>
        <w:ind w:firstLine="482"/>
        <w:textAlignment w:val="baseline"/>
        <w:rPr>
          <w:rFonts w:cs="宋体"/>
          <w:b/>
          <w:bCs/>
          <w:color w:val="auto"/>
          <w:highlight w:val="none"/>
        </w:rPr>
      </w:pPr>
      <w:r>
        <w:rPr>
          <w:rFonts w:hint="eastAsia" w:cs="宋体"/>
          <w:b/>
          <w:bCs/>
          <w:color w:val="auto"/>
          <w:highlight w:val="none"/>
        </w:rPr>
        <w:t>工程质量要求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1.工程质量达到国家现行《城镇道路工程施工与质量验收规范》（CJJ1-2008）合格标准，满足本项目工程量清单、项目特征、工程量清单编制说明要求。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2.供应商所投材料及产品须满足国家标准要求，并且是全新的、未使用过的合格产品。</w:t>
      </w:r>
    </w:p>
    <w:p>
      <w:pPr>
        <w:pStyle w:val="35"/>
        <w:numPr>
          <w:ilvl w:val="1"/>
          <w:numId w:val="37"/>
        </w:numPr>
        <w:spacing w:line="520" w:lineRule="exact"/>
        <w:ind w:firstLine="482"/>
        <w:textAlignment w:val="baseline"/>
        <w:rPr>
          <w:rFonts w:cs="宋体"/>
          <w:b/>
          <w:bCs/>
          <w:color w:val="auto"/>
          <w:highlight w:val="none"/>
        </w:rPr>
      </w:pPr>
      <w:r>
        <w:rPr>
          <w:rFonts w:hint="eastAsia" w:cs="宋体"/>
          <w:b/>
          <w:bCs/>
          <w:color w:val="auto"/>
          <w:highlight w:val="none"/>
        </w:rPr>
        <w:t>材料及技术规范要求(注：供应商应在其他响应文件中针对此项要求单独提供承诺函，格式自拟)</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工程材料由供应商负责采购。供应商为本项目提供的所有材料应符合现行的强制性国家相关标准、行业标准或工程所在地的地方性标准，以及相应规范、规程等。施工过程中及成果满足《城镇道路工程施工与质量验收规范》（CJJ1-2008）等国家标准。</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2.供应商为本项目提供的所有材料中属于《国家强制性产品认证目录》范围内产品的，均通过国家强制性产品认证并取得认证证书。</w:t>
      </w:r>
    </w:p>
    <w:p>
      <w:pPr>
        <w:pStyle w:val="35"/>
        <w:numPr>
          <w:ilvl w:val="1"/>
          <w:numId w:val="37"/>
        </w:numPr>
        <w:spacing w:line="520" w:lineRule="exact"/>
        <w:ind w:firstLine="482"/>
        <w:textAlignment w:val="baseline"/>
        <w:rPr>
          <w:rFonts w:cs="宋体"/>
          <w:b/>
          <w:bCs/>
          <w:color w:val="auto"/>
          <w:highlight w:val="none"/>
        </w:rPr>
      </w:pPr>
      <w:r>
        <w:rPr>
          <w:rFonts w:hint="eastAsia" w:cs="宋体"/>
          <w:b/>
          <w:bCs/>
          <w:color w:val="auto"/>
          <w:highlight w:val="none"/>
        </w:rPr>
        <w:t>工程安全要求(注：供应商应在其他响应文件中针对此项要求单独提供承诺函，格式自拟)</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1.工程在运输、安装、调试、施工等整个工程活动期间，在工程实施地点范围内，高空作业、道路运输等所有安全责任由供应商负责，并承担全部责任。</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2.供应商按有关规定，采取严格的安全措施，承担由于自身安全措施不力造成事故的赔偿等责任和因此发生的费用；非供应商责任造成的伤亡事故，由责任方承担责任和有关费用。</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3.发生重大伤亡事故，供应商应按有关规定立即上报有关部门并通知采购人，同时按政府有关部门要求处理。采购人为供应商的抢救工作提供必要条件。因处理伤亡事故产生的费用由事故责任方承担。</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4.供应商在动力设备、高电压线路、地下管道、密封防震车间、易燃易爆地段以及临时交通要道附近施工前，应向采购人提出安全保护措施，经监理和采购人批准后实施。</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5.供应商应制定突发事件处理预案，施工现场发生事故，供应商应立即响应，如未及时赶到处理相关事故、所造成的全部损失、责任由供应商承担。因供应商原因发生安全事故的，供应商除应承担赔偿责任外，采购人有权解除本项目合同，采购人不予退还供应商履约保证金，并要求供应商按本项目合同总款百分之十支付违约金。</w:t>
      </w:r>
    </w:p>
    <w:p>
      <w:pPr>
        <w:pStyle w:val="35"/>
        <w:numPr>
          <w:ilvl w:val="1"/>
          <w:numId w:val="37"/>
        </w:numPr>
        <w:spacing w:line="520" w:lineRule="exact"/>
        <w:ind w:firstLine="482"/>
        <w:textAlignment w:val="baseline"/>
        <w:rPr>
          <w:rFonts w:cs="宋体"/>
          <w:b/>
          <w:bCs/>
          <w:color w:val="auto"/>
          <w:highlight w:val="none"/>
        </w:rPr>
      </w:pPr>
      <w:r>
        <w:rPr>
          <w:rFonts w:hint="eastAsia" w:cs="宋体"/>
          <w:b/>
          <w:bCs/>
          <w:color w:val="auto"/>
          <w:highlight w:val="none"/>
        </w:rPr>
        <w:t>缺陷责任期：</w:t>
      </w:r>
      <w:r>
        <w:rPr>
          <w:rFonts w:hint="eastAsia" w:cs="宋体"/>
          <w:color w:val="auto"/>
          <w:highlight w:val="none"/>
        </w:rPr>
        <w:t>2年。</w:t>
      </w:r>
    </w:p>
    <w:p>
      <w:pPr>
        <w:pStyle w:val="35"/>
        <w:numPr>
          <w:ilvl w:val="1"/>
          <w:numId w:val="37"/>
        </w:numPr>
        <w:spacing w:line="520" w:lineRule="exact"/>
        <w:ind w:firstLine="482"/>
        <w:textAlignment w:val="baseline"/>
        <w:rPr>
          <w:rFonts w:cs="宋体"/>
          <w:b/>
          <w:bCs/>
          <w:color w:val="auto"/>
          <w:highlight w:val="none"/>
        </w:rPr>
      </w:pPr>
      <w:r>
        <w:rPr>
          <w:rFonts w:hint="eastAsia" w:cs="宋体"/>
          <w:b/>
          <w:bCs/>
          <w:color w:val="auto"/>
          <w:highlight w:val="none"/>
        </w:rPr>
        <w:t>价格调整要求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报价要求：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1.本项目采用工程量清单综合单价法报价。</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 xml:space="preserve">2.本工程所有工程项目的工作内容应包含清单计价规范所列出的工作内容 （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 </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 xml:space="preserve">3.采购过程中，供应商应以工程量清单的项目特征描述为准，填报投标报价的综合单价；当施工中出现需求变更与工程量清单项目特征描述不一致时，采购人、成交供应商双方应按实际施工的项目特征依据合同约定重新确定综合单价。 </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4.工程量清单中所列工程量仅作为各供应商投标报价的共同基础，不能作为最终结算与支付的依据。最终结算以采购人与供应商共同确认的工程量为准。</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5.采购人保留取消工程量清单中某些项目的权利。供应商须充分考虑此风险，在总价措施项目清单计价表相应项目中综合考虑，成交后不得以此作为理由提出任何形式的索赔和调整造价。</w:t>
      </w:r>
    </w:p>
    <w:p>
      <w:pPr>
        <w:pStyle w:val="35"/>
        <w:numPr>
          <w:ilvl w:val="1"/>
          <w:numId w:val="37"/>
        </w:numPr>
        <w:spacing w:line="520" w:lineRule="exact"/>
        <w:ind w:firstLine="482"/>
        <w:textAlignment w:val="baseline"/>
        <w:rPr>
          <w:rFonts w:cs="宋体"/>
          <w:b/>
          <w:bCs/>
          <w:color w:val="auto"/>
          <w:highlight w:val="none"/>
        </w:rPr>
      </w:pPr>
      <w:r>
        <w:rPr>
          <w:rFonts w:hint="eastAsia" w:cs="宋体"/>
          <w:b/>
          <w:bCs/>
          <w:color w:val="auto"/>
          <w:highlight w:val="none"/>
        </w:rPr>
        <w:t>漏项工程处理</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施工过程中，发现工程量清单存在漏项工程的，该漏项工程作为本项目采购需求的组成部分，使用暂列金支付；暂列金已使用完毕的，采购人和供应商可以参照《中华人民共和国政府采购法》的规定签订不超过成交金额百分之十的补充合同。</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2.变更估价的约定：除合同另有规定外，工程变更、设计变更、工程量清单漏项、新增项目的单价确定，按下列方法进行：</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A.工程量清单中已有适用于变更工程的价格，按工程量清单中已有的价格确定。</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B.工程量清单中只有类似于变更工程的价格，可参照类似价格确定。</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类似清单子目单价调整方式：</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承包人协商并报发包人同意后确定变更后的单价或合价；</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C.工程量清单报价中没有适用或类似于变更工程的价格，则按《四川省建设工程工程量清单计价定额》（2020版）及配套文件的相关规定计算出该项目的综合单价后，按本工程扣除暂列金后的招标控制价与扣除暂列金后的承包人总报价总价同比例下浮（主要材料除外），确定为该项目或漏项的最终结算综合单价。</w:t>
      </w:r>
    </w:p>
    <w:p>
      <w:pPr>
        <w:pStyle w:val="35"/>
        <w:numPr>
          <w:ilvl w:val="1"/>
          <w:numId w:val="37"/>
        </w:numPr>
        <w:spacing w:line="520" w:lineRule="exact"/>
        <w:ind w:firstLine="482"/>
        <w:textAlignment w:val="baseline"/>
        <w:rPr>
          <w:rFonts w:cs="宋体"/>
          <w:b/>
          <w:bCs/>
          <w:color w:val="auto"/>
          <w:highlight w:val="none"/>
        </w:rPr>
      </w:pPr>
      <w:r>
        <w:rPr>
          <w:rFonts w:hint="eastAsia" w:cs="宋体"/>
          <w:b/>
          <w:bCs/>
          <w:color w:val="auto"/>
          <w:highlight w:val="none"/>
        </w:rPr>
        <w:t>人员配置要求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除项目经理、技术负责人以外，项目至少需配置安全员（安全员需具备安全生产考核合格证C证）、施工员、资料员。【提供相关证书复印件】。</w:t>
      </w:r>
    </w:p>
    <w:p>
      <w:pPr>
        <w:pStyle w:val="37"/>
        <w:spacing w:line="520" w:lineRule="exact"/>
        <w:ind w:firstLine="482"/>
        <w:textAlignment w:val="baseline"/>
        <w:rPr>
          <w:rFonts w:cs="宋体"/>
          <w:bCs/>
          <w:color w:val="auto"/>
          <w:highlight w:val="none"/>
        </w:rPr>
      </w:pPr>
      <w:bookmarkStart w:id="419" w:name="_Toc32044"/>
      <w:bookmarkStart w:id="420" w:name="_Toc6306"/>
      <w:r>
        <w:rPr>
          <w:rFonts w:hint="eastAsia" w:cs="宋体"/>
          <w:color w:val="auto"/>
          <w:highlight w:val="none"/>
        </w:rPr>
        <w:t>★</w:t>
      </w:r>
      <w:r>
        <w:rPr>
          <w:rFonts w:hint="eastAsia" w:cs="宋体"/>
          <w:bCs/>
          <w:color w:val="auto"/>
          <w:highlight w:val="none"/>
        </w:rPr>
        <w:t>商务要求</w:t>
      </w:r>
      <w:bookmarkEnd w:id="419"/>
      <w:bookmarkEnd w:id="420"/>
    </w:p>
    <w:p>
      <w:pPr>
        <w:pStyle w:val="35"/>
        <w:numPr>
          <w:ilvl w:val="1"/>
          <w:numId w:val="38"/>
        </w:numPr>
        <w:spacing w:line="520" w:lineRule="exact"/>
        <w:ind w:firstLine="482"/>
        <w:textAlignment w:val="baseline"/>
        <w:rPr>
          <w:rFonts w:cs="宋体"/>
          <w:b/>
          <w:bCs/>
          <w:color w:val="auto"/>
          <w:highlight w:val="none"/>
        </w:rPr>
      </w:pPr>
      <w:r>
        <w:rPr>
          <w:rFonts w:hint="eastAsia" w:cs="宋体"/>
          <w:b/>
          <w:bCs/>
          <w:color w:val="auto"/>
          <w:highlight w:val="none"/>
        </w:rPr>
        <w:t>资金支付方式</w:t>
      </w:r>
    </w:p>
    <w:p>
      <w:pPr>
        <w:spacing w:line="520" w:lineRule="exact"/>
        <w:ind w:firstLine="480" w:firstLineChars="200"/>
        <w:textAlignment w:val="baseline"/>
        <w:rPr>
          <w:rFonts w:cs="宋体"/>
          <w:color w:val="auto"/>
          <w:highlight w:val="none"/>
        </w:rPr>
      </w:pPr>
      <w:r>
        <w:rPr>
          <w:rFonts w:hint="eastAsia" w:cs="宋体"/>
          <w:color w:val="auto"/>
          <w:highlight w:val="none"/>
        </w:rPr>
        <w:t>1.工程款分两次银行转账支付。</w:t>
      </w:r>
    </w:p>
    <w:p>
      <w:pPr>
        <w:spacing w:line="520" w:lineRule="exact"/>
        <w:ind w:firstLine="480" w:firstLineChars="200"/>
        <w:textAlignment w:val="baseline"/>
        <w:rPr>
          <w:rFonts w:cs="宋体"/>
          <w:color w:val="auto"/>
          <w:highlight w:val="none"/>
        </w:rPr>
      </w:pPr>
      <w:r>
        <w:rPr>
          <w:rFonts w:hint="eastAsia" w:cs="宋体"/>
          <w:color w:val="auto"/>
          <w:highlight w:val="none"/>
        </w:rPr>
        <w:t>第一次支付：工程合同签订之日起，且自采购人收到供应商出具合法有效完整的等额完税发票之日起 15个日历天内，采购人支付（合同暂定价减暂列金）的40%的合同款。</w:t>
      </w:r>
    </w:p>
    <w:p>
      <w:pPr>
        <w:spacing w:line="520" w:lineRule="exact"/>
        <w:ind w:firstLine="480" w:firstLineChars="200"/>
        <w:textAlignment w:val="baseline"/>
        <w:rPr>
          <w:rFonts w:cs="宋体"/>
          <w:color w:val="auto"/>
          <w:highlight w:val="none"/>
        </w:rPr>
      </w:pPr>
      <w:r>
        <w:rPr>
          <w:rFonts w:hint="eastAsia" w:cs="宋体"/>
          <w:color w:val="auto"/>
          <w:highlight w:val="none"/>
        </w:rPr>
        <w:t xml:space="preserve">第二次支付：工程验收合格后，供应商将结算资料整理后提交采购人，采购人及供应商双方共同确认工程结算价，最终以竣工结算审核报告为准。供应商提供有效增值税发票及请款报告后15个日历天内，支付至结算价的100%。 </w:t>
      </w:r>
    </w:p>
    <w:p>
      <w:pPr>
        <w:spacing w:line="520" w:lineRule="exact"/>
        <w:ind w:firstLine="480" w:firstLineChars="200"/>
        <w:textAlignment w:val="baseline"/>
        <w:rPr>
          <w:rFonts w:cs="宋体"/>
          <w:color w:val="auto"/>
          <w:highlight w:val="none"/>
        </w:rPr>
      </w:pPr>
      <w:r>
        <w:rPr>
          <w:rFonts w:hint="eastAsia" w:cs="宋体"/>
          <w:color w:val="auto"/>
          <w:highlight w:val="none"/>
        </w:rPr>
        <w:t>2.供应商应自行优先支付工人工资和材料款，采购人不承担由于供应商未付工人工资或材料款引起的一切法律责任和纠纷。</w:t>
      </w:r>
    </w:p>
    <w:p>
      <w:pPr>
        <w:spacing w:line="520" w:lineRule="exact"/>
        <w:ind w:firstLine="480" w:firstLineChars="200"/>
        <w:textAlignment w:val="baseline"/>
        <w:rPr>
          <w:rFonts w:cs="宋体"/>
          <w:color w:val="auto"/>
          <w:highlight w:val="none"/>
        </w:rPr>
      </w:pPr>
      <w:r>
        <w:rPr>
          <w:rFonts w:hint="eastAsia" w:cs="宋体"/>
          <w:color w:val="auto"/>
          <w:highlight w:val="none"/>
        </w:rPr>
        <w:t>3.供应商未提供有效增值税发票（普票）及请款报告的，采购人有权拒付，且不承担逾期付款的责任。</w:t>
      </w:r>
    </w:p>
    <w:p>
      <w:pPr>
        <w:pStyle w:val="35"/>
        <w:numPr>
          <w:ilvl w:val="1"/>
          <w:numId w:val="38"/>
        </w:numPr>
        <w:spacing w:line="520" w:lineRule="exact"/>
        <w:ind w:firstLine="482"/>
        <w:textAlignment w:val="baseline"/>
        <w:rPr>
          <w:rFonts w:cs="宋体"/>
          <w:b/>
          <w:bCs/>
          <w:color w:val="auto"/>
          <w:highlight w:val="none"/>
        </w:rPr>
      </w:pPr>
      <w:r>
        <w:rPr>
          <w:rFonts w:hint="eastAsia" w:cs="宋体"/>
          <w:b/>
          <w:bCs/>
          <w:color w:val="auto"/>
          <w:highlight w:val="none"/>
        </w:rPr>
        <w:t>包装和运输要求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供应商为本工程项目实施涉及的商品包装和快递包装，均符合财政部等三部门联合印发商品包装和快递包装政府采购需求标准（试行）（财办库[2020]123号）的要求。包装应适应于远距离运输、防潮、防震、防锈和防野蛮装卸，以确保货物安全无损运抵指定地点。货物在运输途中毁损灭失的风险均由供应商承担。</w:t>
      </w:r>
    </w:p>
    <w:p>
      <w:pPr>
        <w:pStyle w:val="35"/>
        <w:numPr>
          <w:ilvl w:val="1"/>
          <w:numId w:val="38"/>
        </w:numPr>
        <w:spacing w:line="520" w:lineRule="exact"/>
        <w:ind w:firstLine="482"/>
        <w:textAlignment w:val="baseline"/>
        <w:rPr>
          <w:rFonts w:cs="宋体"/>
          <w:b/>
          <w:bCs/>
          <w:color w:val="auto"/>
          <w:highlight w:val="none"/>
        </w:rPr>
      </w:pPr>
      <w:r>
        <w:rPr>
          <w:rFonts w:hint="eastAsia" w:cs="宋体"/>
          <w:b/>
          <w:bCs/>
          <w:color w:val="auto"/>
          <w:highlight w:val="none"/>
        </w:rPr>
        <w:t>售后服务要求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质保期为2年，质保期内应提供售后服务和技术支持服务。供应商需提供电话、远程和上门三种服务模式，电话和远程30分钟内响应，上门6小时内到达。供应商不在约定期限内派人保修的，采购人可委托他人修理，发生的费用从质保金中扣除，扣除每次1000元质保金中作为违约金。质保金不足以支付上述费用时，由供应商进行补足。</w:t>
      </w:r>
    </w:p>
    <w:p>
      <w:pPr>
        <w:pStyle w:val="35"/>
        <w:numPr>
          <w:ilvl w:val="1"/>
          <w:numId w:val="38"/>
        </w:numPr>
        <w:spacing w:line="520" w:lineRule="exact"/>
        <w:ind w:firstLine="482"/>
        <w:textAlignment w:val="baseline"/>
        <w:rPr>
          <w:rFonts w:cs="宋体"/>
          <w:b/>
          <w:bCs/>
          <w:color w:val="auto"/>
          <w:highlight w:val="none"/>
        </w:rPr>
      </w:pPr>
      <w:r>
        <w:rPr>
          <w:rFonts w:hint="eastAsia" w:cs="宋体"/>
          <w:b/>
          <w:bCs/>
          <w:color w:val="auto"/>
          <w:highlight w:val="none"/>
        </w:rPr>
        <w:t>保险要求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供应商应自行为工作人员购买保险。供应商未提交劳动合同、没有为项目经理等缴纳社会保险证明的违约责任，由供应商承担，如由此影响施工进度及为采购人的正常管理工作带来不便的，供应商应承担相应责任。</w:t>
      </w:r>
    </w:p>
    <w:p>
      <w:pPr>
        <w:pStyle w:val="35"/>
        <w:numPr>
          <w:ilvl w:val="1"/>
          <w:numId w:val="38"/>
        </w:numPr>
        <w:spacing w:line="520" w:lineRule="exact"/>
        <w:ind w:firstLine="482"/>
        <w:textAlignment w:val="baseline"/>
        <w:rPr>
          <w:rFonts w:cs="宋体"/>
          <w:b/>
          <w:bCs/>
          <w:color w:val="auto"/>
          <w:highlight w:val="none"/>
        </w:rPr>
      </w:pPr>
      <w:r>
        <w:rPr>
          <w:rFonts w:hint="eastAsia" w:cs="宋体"/>
          <w:b/>
          <w:bCs/>
          <w:color w:val="auto"/>
          <w:highlight w:val="none"/>
        </w:rPr>
        <w:t>其他要求</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1.对施工现场交通和噪音的要求：遵守地方政府和有关部门对施工场地交通和施工噪音等管理规定。施工单位应尽量减小施工对教学秩序的影响。</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2.施工场地整洁卫生的要求：供应商保证施工现场清洁。</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3.保护建筑物结构及相应管线和设备的措施：供应商造成学校管网、电缆、树木、构筑物等损坏的，要在采购人规定期限内进行修复，无法修复的除照价赔偿外，还需要向采购人偿付合同总金额的百分之五的违约金。</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4.供应商提供的主要材料设备应在使用前向采购人提供建筑材料样品、产品合格证书，否则不得使用；竣工时建筑材料的产品合格证书作为结算资料一并提交采购人。</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5.供应商在项目执行过程中定期向采购人通告本项目供货的重大事项及其进度。</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6.供应商拟投入本项目的团队成员详见供应商响应文件。</w:t>
      </w:r>
    </w:p>
    <w:p>
      <w:pPr>
        <w:pStyle w:val="37"/>
        <w:spacing w:line="520" w:lineRule="exact"/>
        <w:ind w:firstLine="482"/>
        <w:textAlignment w:val="baseline"/>
        <w:rPr>
          <w:rFonts w:cs="宋体"/>
          <w:bCs/>
          <w:color w:val="auto"/>
          <w:highlight w:val="none"/>
        </w:rPr>
      </w:pPr>
      <w:bookmarkStart w:id="421" w:name="_Toc24318"/>
      <w:bookmarkStart w:id="422" w:name="_Toc25540"/>
      <w:r>
        <w:rPr>
          <w:rFonts w:hint="eastAsia" w:cs="宋体"/>
          <w:color w:val="auto"/>
          <w:highlight w:val="none"/>
        </w:rPr>
        <w:t>★</w:t>
      </w:r>
      <w:r>
        <w:rPr>
          <w:rFonts w:hint="eastAsia" w:cs="宋体"/>
          <w:bCs/>
          <w:color w:val="auto"/>
          <w:highlight w:val="none"/>
        </w:rPr>
        <w:t>履约验收</w:t>
      </w:r>
      <w:bookmarkEnd w:id="421"/>
    </w:p>
    <w:p>
      <w:pPr>
        <w:pStyle w:val="35"/>
        <w:numPr>
          <w:ilvl w:val="1"/>
          <w:numId w:val="0"/>
        </w:numPr>
        <w:spacing w:line="520" w:lineRule="exact"/>
        <w:ind w:firstLine="482" w:firstLineChars="200"/>
        <w:textAlignment w:val="baseline"/>
        <w:rPr>
          <w:rFonts w:cs="宋体"/>
          <w:b/>
          <w:bCs/>
          <w:color w:val="auto"/>
          <w:highlight w:val="none"/>
        </w:rPr>
      </w:pPr>
      <w:r>
        <w:rPr>
          <w:rFonts w:hint="eastAsia" w:cs="宋体"/>
          <w:b/>
          <w:bCs/>
          <w:color w:val="auto"/>
          <w:highlight w:val="none"/>
        </w:rPr>
        <w:t>(一)验收程序</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工程施工过程中，若有隐蔽工程的，供应商应在隐蔽工程完成后2日内书面通知采购人验收，采购人收到供应商隐蔽工程验收通知后5日内完成隐蔽工程的验收，验收合格方能进入下一道工序。若供应商未通知采购人参加验收，采购人有权要求供应商返工、支付违约金并重新办理验收手续，由此导致超出工程期限的，供应商承担相应的逾期责任，并且因重新返工和办理验收手续所产生的费用也由供应商自行承担。</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工程全部竣工后，供应商应书面通知采购人正式验收，采购人在接到验收通知后20日内组织验收小组进行现场验收。验收合格，双方签署《工程竣工验收报告》。如采购人在指定时间内未能组织验收，需及时通知供应商，另定验收日期，但采购人应承认竣工日期。</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3.质保期内单次售后服务完成后，采购人收到供应商售后服务单次验收申请之日起10日历天内组织售后服务验收。验收合格，则签署《售后服务验收报告单》；若单次售后服务验收不合格，采购人有权要求供应商限期整改，若整改依然不能达到要求的或未在采购人通知的时间内完成整改的，采购人有权按照合同约定追究供应商的违约责任。</w:t>
      </w:r>
    </w:p>
    <w:p>
      <w:pPr>
        <w:pStyle w:val="35"/>
        <w:numPr>
          <w:ilvl w:val="1"/>
          <w:numId w:val="0"/>
        </w:numPr>
        <w:spacing w:line="520" w:lineRule="exact"/>
        <w:ind w:firstLine="482" w:firstLineChars="200"/>
        <w:textAlignment w:val="baseline"/>
        <w:rPr>
          <w:rFonts w:cs="宋体"/>
          <w:b/>
          <w:bCs/>
          <w:color w:val="auto"/>
          <w:highlight w:val="none"/>
        </w:rPr>
      </w:pPr>
      <w:r>
        <w:rPr>
          <w:rFonts w:hint="eastAsia" w:cs="宋体"/>
          <w:b/>
          <w:bCs/>
          <w:color w:val="auto"/>
          <w:highlight w:val="none"/>
        </w:rPr>
        <w:t>(二)验收方式</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工程竣工验收及售后服务验收均为现场验收。</w:t>
      </w:r>
    </w:p>
    <w:p>
      <w:pPr>
        <w:pStyle w:val="35"/>
        <w:numPr>
          <w:ilvl w:val="1"/>
          <w:numId w:val="0"/>
        </w:numPr>
        <w:spacing w:line="520" w:lineRule="exact"/>
        <w:ind w:firstLine="482" w:firstLineChars="200"/>
        <w:textAlignment w:val="baseline"/>
        <w:rPr>
          <w:rFonts w:cs="宋体"/>
          <w:b/>
          <w:bCs/>
          <w:color w:val="auto"/>
          <w:highlight w:val="none"/>
        </w:rPr>
      </w:pPr>
      <w:r>
        <w:rPr>
          <w:rFonts w:hint="eastAsia" w:cs="宋体"/>
          <w:b/>
          <w:bCs/>
          <w:color w:val="auto"/>
          <w:highlight w:val="none"/>
        </w:rPr>
        <w:t>(三)验收内容及标准</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工程内容验收包括①是否按照约定完成施工；②工程和工程量达到采购人的设计使用功能，且符合现行国家施工验收规范、道路工程质量验收标准、质量评定标准及其他相关法律、法规当地行政主管部门颁发的有关文件等要求，③供应商竣工的项目需符合本合同的约定。</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售后服务验收内容包括供应商①是否按时到场开展售后服务②是否按照质量保修书约定承担工程质量保修责任，③质量保修成果是否符合道路工程质量验收标准、质量评定标准及其他相关法律、法规当地行政主管部门颁发的有关文件等要求。</w:t>
      </w:r>
    </w:p>
    <w:p>
      <w:pPr>
        <w:pStyle w:val="35"/>
        <w:numPr>
          <w:ilvl w:val="1"/>
          <w:numId w:val="0"/>
        </w:numPr>
        <w:spacing w:line="520" w:lineRule="exact"/>
        <w:ind w:firstLine="482" w:firstLineChars="200"/>
        <w:textAlignment w:val="baseline"/>
        <w:rPr>
          <w:rFonts w:cs="宋体"/>
          <w:b/>
          <w:bCs/>
          <w:color w:val="auto"/>
          <w:highlight w:val="none"/>
        </w:rPr>
      </w:pPr>
      <w:r>
        <w:rPr>
          <w:rFonts w:hint="eastAsia" w:cs="宋体"/>
          <w:b/>
          <w:bCs/>
          <w:color w:val="auto"/>
          <w:highlight w:val="none"/>
        </w:rPr>
        <w:t>(四)验收不合格的处理方式</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若竣工验收不合格要求整改的，整改时间由采购人根据项目具体情况确定，其返工整改费用由供应商承担，且工期不顺延，同时供应商应当赔偿由此给采购人造成的全部损失。若供应商未在约定时间内完成整改或整改后采购人验收仍无法达到要求的，则视为供应商不能履约，采购人有权终止合同，并按合同约定追究供应商的违约责任。</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若单次售后服务验收不合格，采购人有权要求整改，整改时间由采购人根据项目具体情况确定，其整改费用由供应商承担，若供应商未在约定时间内完成整改或整改后采购人验收仍无法达到要求的，则采购人有权按合同约定追究供应商的违约责任。</w:t>
      </w:r>
    </w:p>
    <w:p>
      <w:pPr>
        <w:pStyle w:val="35"/>
        <w:numPr>
          <w:ilvl w:val="1"/>
          <w:numId w:val="0"/>
        </w:numPr>
        <w:spacing w:line="520" w:lineRule="exact"/>
        <w:ind w:firstLine="482" w:firstLineChars="200"/>
        <w:textAlignment w:val="baseline"/>
        <w:rPr>
          <w:rFonts w:cs="宋体"/>
          <w:b/>
          <w:bCs/>
          <w:color w:val="auto"/>
          <w:highlight w:val="none"/>
        </w:rPr>
      </w:pPr>
      <w:r>
        <w:rPr>
          <w:rFonts w:hint="eastAsia" w:cs="宋体"/>
          <w:b/>
          <w:bCs/>
          <w:color w:val="auto"/>
          <w:highlight w:val="none"/>
        </w:rPr>
        <w:t>(五)供应商提供竣工验收资料的内容</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竣工验收后15日内将施工过程中形成的有关完整资料分类整理，供应商提交的竣工资料和竣工图必须达到《建设工程文件归档规范》(GB/T 50328-2019)要求。供应商应按时递交结算资料，竣工验收后15日内未递交的每逾1日递交应按暂定总金额千分之一向采购人支付违约金（采购人有权直接从应付款项中扣除）；逾期超过15日且采购人提醒仍不递交的，采购人有权没收供应商履约保证金，且不予支付供应商剩余合同价款。</w:t>
      </w:r>
    </w:p>
    <w:p>
      <w:pPr>
        <w:pStyle w:val="35"/>
        <w:numPr>
          <w:ilvl w:val="1"/>
          <w:numId w:val="0"/>
        </w:numPr>
        <w:spacing w:line="520" w:lineRule="exact"/>
        <w:ind w:firstLine="482" w:firstLineChars="200"/>
        <w:textAlignment w:val="baseline"/>
        <w:rPr>
          <w:rFonts w:cs="宋体"/>
          <w:color w:val="auto"/>
          <w:highlight w:val="none"/>
        </w:rPr>
      </w:pPr>
      <w:r>
        <w:rPr>
          <w:rFonts w:hint="eastAsia" w:cs="宋体"/>
          <w:b/>
          <w:bCs/>
          <w:color w:val="auto"/>
          <w:highlight w:val="none"/>
        </w:rPr>
        <w:t>(六)</w:t>
      </w:r>
      <w:r>
        <w:rPr>
          <w:rFonts w:hint="eastAsia" w:cs="宋体"/>
          <w:color w:val="auto"/>
          <w:highlight w:val="none"/>
        </w:rPr>
        <w:t>其他未尽事宜参照《财政部关于进一步加强政府采购需求和履约验收管理的指导意见》(财库〔2016〕205号)的要求进行验收。</w:t>
      </w:r>
    </w:p>
    <w:p>
      <w:pPr>
        <w:pStyle w:val="35"/>
        <w:numPr>
          <w:ilvl w:val="1"/>
          <w:numId w:val="0"/>
        </w:numPr>
        <w:spacing w:line="520" w:lineRule="exact"/>
        <w:ind w:firstLine="482" w:firstLineChars="200"/>
        <w:textAlignment w:val="baseline"/>
        <w:rPr>
          <w:rFonts w:cs="宋体"/>
          <w:b/>
          <w:bCs/>
          <w:color w:val="auto"/>
          <w:highlight w:val="none"/>
        </w:rPr>
      </w:pPr>
      <w:r>
        <w:rPr>
          <w:rFonts w:hint="eastAsia" w:cs="宋体"/>
          <w:b/>
          <w:bCs/>
          <w:color w:val="auto"/>
          <w:highlight w:val="none"/>
        </w:rPr>
        <w:t>(七)交付方式及标准</w:t>
      </w:r>
    </w:p>
    <w:p>
      <w:pPr>
        <w:pStyle w:val="35"/>
        <w:numPr>
          <w:ilvl w:val="1"/>
          <w:numId w:val="0"/>
        </w:numPr>
        <w:spacing w:line="520" w:lineRule="exact"/>
        <w:ind w:firstLine="480" w:firstLineChars="200"/>
        <w:textAlignment w:val="baseline"/>
        <w:rPr>
          <w:rFonts w:cs="宋体"/>
          <w:bCs/>
          <w:color w:val="auto"/>
          <w:highlight w:val="none"/>
        </w:rPr>
      </w:pPr>
      <w:r>
        <w:rPr>
          <w:rFonts w:hint="eastAsia" w:cs="宋体"/>
          <w:color w:val="auto"/>
          <w:highlight w:val="none"/>
        </w:rPr>
        <w:t>工程竣工后，经采购人组织各方实地验收合格后，各方在《工程竣工验收报告》上签字，视为正式交付。</w:t>
      </w:r>
      <w:r>
        <w:rPr>
          <w:rFonts w:hint="eastAsia" w:ascii="仿宋" w:hAnsi="仿宋" w:eastAsia="仿宋" w:cs="仿宋_GB2312"/>
          <w:color w:val="auto"/>
          <w:szCs w:val="28"/>
          <w:highlight w:val="none"/>
        </w:rPr>
        <w:t xml:space="preserve">  </w:t>
      </w:r>
      <w:r>
        <w:rPr>
          <w:rFonts w:hint="eastAsia" w:cs="宋体"/>
          <w:color w:val="auto"/>
          <w:highlight w:val="none"/>
        </w:rPr>
        <w:t xml:space="preserve">  </w:t>
      </w:r>
      <w:r>
        <w:rPr>
          <w:rFonts w:hint="eastAsia" w:ascii="仿宋" w:hAnsi="仿宋" w:eastAsia="仿宋" w:cs="仿宋_GB2312"/>
          <w:color w:val="auto"/>
          <w:szCs w:val="28"/>
          <w:highlight w:val="none"/>
        </w:rPr>
        <w:t xml:space="preserve">   </w:t>
      </w:r>
    </w:p>
    <w:p>
      <w:pPr>
        <w:pStyle w:val="37"/>
        <w:spacing w:line="520" w:lineRule="exact"/>
        <w:ind w:firstLine="482"/>
        <w:textAlignment w:val="baseline"/>
        <w:rPr>
          <w:rFonts w:cs="宋体"/>
          <w:bCs/>
          <w:color w:val="auto"/>
          <w:highlight w:val="none"/>
        </w:rPr>
      </w:pPr>
      <w:bookmarkStart w:id="423" w:name="_Toc10290"/>
      <w:r>
        <w:rPr>
          <w:rFonts w:hint="eastAsia" w:cs="宋体"/>
          <w:color w:val="auto"/>
          <w:highlight w:val="none"/>
        </w:rPr>
        <w:t>★</w:t>
      </w:r>
      <w:r>
        <w:rPr>
          <w:rFonts w:hint="eastAsia" w:cs="宋体"/>
          <w:bCs/>
          <w:color w:val="auto"/>
          <w:highlight w:val="none"/>
        </w:rPr>
        <w:t>履约保证金</w:t>
      </w:r>
      <w:bookmarkEnd w:id="422"/>
      <w:bookmarkEnd w:id="423"/>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1.履约保证金为成交价格的（3%），供应商应在成交通知书发出之日起合同签订前以银行转账、支票、汇票、本票等非现金形式向采购人提交履约保证金。</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2.工程竣工后，履约保证金自动转为本工程质量保证金。履行合同约定(含质保)完毕且验收合格后，10个日历天内无息退还供应商应退部分质保金。</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1）缺陷责任期为2年，到期缺陷责任期届满且供应商已经对缺陷责任期内的工程质量问题进行妥善修复的，采购人在收到供应商质保金退还申请后，10个日历天内无息退还至质量保证金的100%。</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2）因采购人原因逾期退还的，应当以未退还金额为基数，按合同订立时1年期贷款市场报价利率标准向供应商支付相应违约金，但违约金最高不得超过未退还金额的百分之五。若因供应商不及时或未提供“收到退还质保金的收据”、“售后服务验收报告单”、“质保金退还申请”的，则采购人不承担逾期退还违约责任。</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3.履约保证金汇入的银行及账号：</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收款单位：成都市技师学院</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开户行：工行四川成都分行郫都红光支行</w:t>
      </w:r>
    </w:p>
    <w:p>
      <w:pPr>
        <w:pStyle w:val="35"/>
        <w:numPr>
          <w:ilvl w:val="1"/>
          <w:numId w:val="0"/>
        </w:numPr>
        <w:spacing w:line="520" w:lineRule="exact"/>
        <w:ind w:firstLine="480" w:firstLineChars="200"/>
        <w:textAlignment w:val="baseline"/>
        <w:rPr>
          <w:rFonts w:cs="宋体"/>
          <w:color w:val="auto"/>
          <w:highlight w:val="none"/>
        </w:rPr>
      </w:pPr>
      <w:r>
        <w:rPr>
          <w:rFonts w:hint="eastAsia" w:cs="宋体"/>
          <w:color w:val="auto"/>
          <w:highlight w:val="none"/>
        </w:rPr>
        <w:t>银行账号：4402054609100031151</w:t>
      </w:r>
    </w:p>
    <w:p>
      <w:pPr>
        <w:pStyle w:val="35"/>
        <w:numPr>
          <w:ilvl w:val="1"/>
          <w:numId w:val="0"/>
        </w:numPr>
        <w:spacing w:line="520" w:lineRule="exact"/>
        <w:ind w:firstLine="480" w:firstLineChars="200"/>
        <w:textAlignment w:val="baseline"/>
        <w:rPr>
          <w:rFonts w:cs="宋体"/>
          <w:b/>
          <w:bCs/>
          <w:color w:val="auto"/>
          <w:highlight w:val="none"/>
        </w:rPr>
      </w:pPr>
      <w:r>
        <w:rPr>
          <w:rFonts w:hint="eastAsia" w:cs="宋体"/>
          <w:color w:val="auto"/>
          <w:highlight w:val="none"/>
        </w:rPr>
        <w:t>4.履约保证金不予退还情形：一是供应商未按合同要求履行的，其履约保证金（质保金）全部扣除。二是供应商交纳了履约保证金，但因自身原因被取消成交资格或在成交公示期满之日起30日历天（含法定节假日）内供应商不按采购文件确定的事项与采购人签订合同的，其履约保证金不予退还。三是法律法规或合同约定的其他情形。</w:t>
      </w:r>
    </w:p>
    <w:p>
      <w:pPr>
        <w:spacing w:line="520" w:lineRule="exact"/>
        <w:ind w:firstLine="482" w:firstLineChars="200"/>
        <w:rPr>
          <w:color w:val="auto"/>
          <w:highlight w:val="none"/>
        </w:rPr>
      </w:pPr>
      <w:r>
        <w:rPr>
          <w:rFonts w:hint="eastAsia" w:cs="宋体"/>
          <w:b/>
          <w:bCs/>
          <w:color w:val="auto"/>
          <w:highlight w:val="none"/>
        </w:rPr>
        <w:t>注意：本章带“★”号条款为实质性要求，供应商若未满足的，将被视为无效响应。</w:t>
      </w:r>
      <w:r>
        <w:rPr>
          <w:rFonts w:hint="eastAsia"/>
          <w:color w:val="auto"/>
          <w:highlight w:val="none"/>
        </w:rPr>
        <w:br w:type="page"/>
      </w:r>
    </w:p>
    <w:p>
      <w:pPr>
        <w:pStyle w:val="50"/>
        <w:spacing w:before="120" w:after="120"/>
        <w:rPr>
          <w:color w:val="auto"/>
          <w:highlight w:val="none"/>
        </w:rPr>
      </w:pPr>
      <w:bookmarkStart w:id="424" w:name="_Toc509579145"/>
      <w:bookmarkStart w:id="425" w:name="_Toc41037907"/>
      <w:bookmarkStart w:id="426" w:name="_Toc1032"/>
      <w:bookmarkStart w:id="427" w:name="_Toc17843"/>
      <w:r>
        <w:rPr>
          <w:rFonts w:hint="eastAsia"/>
          <w:color w:val="auto"/>
          <w:highlight w:val="none"/>
        </w:rPr>
        <w:t>谈判内容、谈判过程中可实质性变动的内容</w:t>
      </w:r>
      <w:bookmarkEnd w:id="424"/>
      <w:bookmarkEnd w:id="425"/>
      <w:bookmarkEnd w:id="426"/>
      <w:bookmarkEnd w:id="427"/>
    </w:p>
    <w:p>
      <w:pPr>
        <w:pStyle w:val="48"/>
        <w:spacing w:line="520" w:lineRule="exact"/>
        <w:rPr>
          <w:color w:val="auto"/>
          <w:highlight w:val="none"/>
        </w:rPr>
      </w:pPr>
      <w:r>
        <w:rPr>
          <w:rFonts w:hint="eastAsia"/>
          <w:color w:val="auto"/>
          <w:highlight w:val="none"/>
        </w:rPr>
        <w:t>针对本项目采购文件第五章、第八章所包含的技术、服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pPr>
        <w:rPr>
          <w:color w:val="auto"/>
          <w:highlight w:val="none"/>
        </w:rPr>
      </w:pPr>
      <w:r>
        <w:rPr>
          <w:rFonts w:hint="eastAsia"/>
          <w:color w:val="auto"/>
          <w:highlight w:val="none"/>
        </w:rPr>
        <w:br w:type="page"/>
      </w:r>
    </w:p>
    <w:p>
      <w:pPr>
        <w:pStyle w:val="50"/>
        <w:numPr>
          <w:ilvl w:val="0"/>
          <w:numId w:val="34"/>
        </w:numPr>
        <w:spacing w:before="120" w:after="120"/>
        <w:rPr>
          <w:color w:val="auto"/>
          <w:highlight w:val="none"/>
        </w:rPr>
      </w:pPr>
      <w:bookmarkStart w:id="428" w:name="_Toc32738"/>
      <w:r>
        <w:rPr>
          <w:rFonts w:hint="eastAsia"/>
          <w:color w:val="auto"/>
          <w:highlight w:val="none"/>
        </w:rPr>
        <w:t>谈判程序</w:t>
      </w:r>
      <w:bookmarkEnd w:id="428"/>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Pr>
        <w:pStyle w:val="48"/>
        <w:spacing w:line="520" w:lineRule="exact"/>
        <w:rPr>
          <w:color w:val="auto"/>
          <w:highlight w:val="none"/>
        </w:rPr>
      </w:pPr>
      <w:bookmarkStart w:id="429" w:name="_Toc28956"/>
      <w:r>
        <w:rPr>
          <w:rFonts w:hint="eastAsia"/>
          <w:color w:val="auto"/>
          <w:highlight w:val="none"/>
        </w:rPr>
        <w:t>参照《中华人民共和国政府采购法》《中华人民共和国政府采购法实施条例》及《政府采购非招标采购方式管理办法》等法律法规并结合本次采购项目的特点制定本评审程序、评审方法、评审标准。</w:t>
      </w:r>
    </w:p>
    <w:p>
      <w:pPr>
        <w:pStyle w:val="37"/>
        <w:spacing w:line="520" w:lineRule="exact"/>
        <w:ind w:firstLine="482"/>
        <w:rPr>
          <w:color w:val="auto"/>
          <w:highlight w:val="none"/>
        </w:rPr>
      </w:pPr>
      <w:bookmarkStart w:id="430" w:name="_Toc17338"/>
      <w:bookmarkStart w:id="431" w:name="_Toc32671"/>
      <w:bookmarkStart w:id="432" w:name="_Toc11515"/>
      <w:bookmarkStart w:id="433" w:name="_Toc32052"/>
      <w:bookmarkStart w:id="434" w:name="_Toc26152"/>
      <w:bookmarkStart w:id="435" w:name="_Toc23216"/>
      <w:bookmarkStart w:id="436" w:name="_Toc32246"/>
      <w:r>
        <w:rPr>
          <w:rFonts w:hint="eastAsia"/>
          <w:color w:val="auto"/>
          <w:highlight w:val="none"/>
        </w:rPr>
        <w:t>谈判小组构</w:t>
      </w:r>
      <w:bookmarkEnd w:id="430"/>
      <w:r>
        <w:rPr>
          <w:rFonts w:hint="eastAsia"/>
          <w:color w:val="auto"/>
          <w:highlight w:val="none"/>
        </w:rPr>
        <w:t>成</w:t>
      </w:r>
      <w:bookmarkEnd w:id="431"/>
      <w:bookmarkEnd w:id="432"/>
      <w:bookmarkEnd w:id="433"/>
      <w:bookmarkEnd w:id="434"/>
      <w:bookmarkEnd w:id="435"/>
      <w:bookmarkEnd w:id="436"/>
    </w:p>
    <w:p>
      <w:pPr>
        <w:pStyle w:val="48"/>
        <w:spacing w:line="520" w:lineRule="exact"/>
        <w:rPr>
          <w:color w:val="auto"/>
          <w:highlight w:val="none"/>
        </w:rPr>
      </w:pPr>
      <w:bookmarkStart w:id="437" w:name="_Toc15700"/>
      <w:bookmarkStart w:id="438" w:name="_Toc23517"/>
      <w:bookmarkStart w:id="439" w:name="_Toc19450"/>
      <w:bookmarkStart w:id="440" w:name="_Toc10809"/>
      <w:bookmarkStart w:id="441" w:name="_Toc9355"/>
      <w:bookmarkStart w:id="442" w:name="_Toc2442"/>
      <w:bookmarkStart w:id="443" w:name="_Toc23817"/>
      <w:bookmarkStart w:id="444" w:name="_Toc7627"/>
      <w:r>
        <w:rPr>
          <w:rFonts w:hint="eastAsia"/>
          <w:color w:val="auto"/>
          <w:highlight w:val="none"/>
        </w:rPr>
        <w:t>参照《政府采购非招标采购方式管理办法》等规定，结合本次采购项目的实际情况依法组建谈判小组，负责本次采购项目的谈判和评审工作。谈判小组由采购人代表和评审专家共3人以上单数组成，</w:t>
      </w:r>
      <w:r>
        <w:rPr>
          <w:rFonts w:hint="eastAsia" w:cs="宋体"/>
          <w:color w:val="auto"/>
          <w:kern w:val="0"/>
          <w:highlight w:val="none"/>
          <w:shd w:val="clear" w:color="auto" w:fill="FFFFFF"/>
        </w:rPr>
        <w:t>达到公开招标数额标准的服务采购项目，评审委员会应当由</w:t>
      </w:r>
      <w:r>
        <w:rPr>
          <w:rFonts w:cs="宋体"/>
          <w:color w:val="auto"/>
          <w:kern w:val="0"/>
          <w:highlight w:val="none"/>
          <w:shd w:val="clear" w:color="auto" w:fill="FFFFFF"/>
        </w:rPr>
        <w:t>5</w:t>
      </w:r>
      <w:r>
        <w:rPr>
          <w:rFonts w:hint="eastAsia" w:cs="宋体"/>
          <w:color w:val="auto"/>
          <w:kern w:val="0"/>
          <w:highlight w:val="none"/>
          <w:shd w:val="clear" w:color="auto" w:fill="FFFFFF"/>
        </w:rPr>
        <w:t>人以上单数组成，</w:t>
      </w:r>
      <w:r>
        <w:rPr>
          <w:rFonts w:hint="eastAsia"/>
          <w:color w:val="auto"/>
          <w:highlight w:val="none"/>
        </w:rPr>
        <w:t>其中评审专家人数不得少于成员总数的2/3。采购人代表不得以评审专家的身份参加本部门或本单位采购项目的评审。采购代理机构人员不得参加本机构代理的采购项目的评审。</w:t>
      </w:r>
    </w:p>
    <w:p>
      <w:pPr>
        <w:pStyle w:val="37"/>
        <w:spacing w:line="520" w:lineRule="exact"/>
        <w:ind w:firstLine="482"/>
        <w:rPr>
          <w:color w:val="auto"/>
          <w:highlight w:val="none"/>
        </w:rPr>
      </w:pPr>
      <w:bookmarkStart w:id="445" w:name="_Toc5585"/>
      <w:r>
        <w:rPr>
          <w:rFonts w:hint="eastAsia"/>
          <w:color w:val="auto"/>
          <w:highlight w:val="none"/>
        </w:rPr>
        <w:t>谈判组织</w:t>
      </w:r>
      <w:bookmarkEnd w:id="437"/>
      <w:bookmarkEnd w:id="438"/>
      <w:bookmarkEnd w:id="439"/>
      <w:bookmarkEnd w:id="440"/>
      <w:bookmarkEnd w:id="441"/>
      <w:bookmarkEnd w:id="442"/>
      <w:bookmarkEnd w:id="443"/>
      <w:bookmarkEnd w:id="444"/>
      <w:bookmarkEnd w:id="445"/>
    </w:p>
    <w:p>
      <w:pPr>
        <w:pStyle w:val="48"/>
        <w:spacing w:line="520" w:lineRule="exact"/>
        <w:rPr>
          <w:color w:val="auto"/>
          <w:highlight w:val="none"/>
          <w:lang w:val="zh-CN"/>
        </w:rPr>
      </w:pPr>
      <w:bookmarkStart w:id="446" w:name="_Toc30112"/>
      <w:bookmarkStart w:id="447" w:name="_Toc19996"/>
      <w:bookmarkStart w:id="448" w:name="_Toc27908"/>
      <w:bookmarkStart w:id="449" w:name="_Toc17463"/>
      <w:bookmarkStart w:id="450" w:name="_Toc16322"/>
      <w:bookmarkStart w:id="451" w:name="_Toc7599"/>
      <w:bookmarkStart w:id="452" w:name="_Toc19418"/>
      <w:bookmarkStart w:id="453" w:name="_Toc25873"/>
      <w:r>
        <w:rPr>
          <w:rFonts w:hint="eastAsia"/>
          <w:color w:val="auto"/>
          <w:highlight w:val="none"/>
        </w:rPr>
        <w:t>(一)</w:t>
      </w:r>
      <w:r>
        <w:rPr>
          <w:rFonts w:hint="eastAsia"/>
          <w:color w:val="auto"/>
          <w:highlight w:val="none"/>
          <w:lang w:val="zh-CN"/>
        </w:rPr>
        <w:t>谈判工作由采购代理机构组织，具体谈判事务由依法组建的谈判小组负责。</w:t>
      </w:r>
    </w:p>
    <w:p>
      <w:pPr>
        <w:pStyle w:val="48"/>
        <w:spacing w:line="520" w:lineRule="exact"/>
        <w:rPr>
          <w:color w:val="auto"/>
          <w:highlight w:val="none"/>
          <w:lang w:val="zh-CN"/>
        </w:rPr>
      </w:pPr>
      <w:r>
        <w:rPr>
          <w:rFonts w:hint="eastAsia"/>
          <w:color w:val="auto"/>
          <w:highlight w:val="none"/>
        </w:rPr>
        <w:t>(二)</w:t>
      </w:r>
      <w:r>
        <w:rPr>
          <w:rFonts w:hint="eastAsia"/>
          <w:color w:val="auto"/>
          <w:highlight w:val="none"/>
          <w:lang w:val="zh-CN"/>
        </w:rPr>
        <w:t>谈判工作应遵循公平、公正、科学及择优的原则，并以相同的谈判程序和标准对待所有的供应商。</w:t>
      </w:r>
    </w:p>
    <w:p>
      <w:pPr>
        <w:pStyle w:val="48"/>
        <w:spacing w:line="520" w:lineRule="exact"/>
        <w:rPr>
          <w:color w:val="auto"/>
          <w:highlight w:val="none"/>
        </w:rPr>
      </w:pPr>
      <w:r>
        <w:rPr>
          <w:rFonts w:hint="eastAsia"/>
          <w:color w:val="auto"/>
          <w:highlight w:val="none"/>
        </w:rPr>
        <w:t>(三)谈判小组成员应当按照客观、公正、审慎的原则，根据谈判文件规定的评审程序、评审方法和评审标准进行独立评审。</w:t>
      </w:r>
    </w:p>
    <w:p>
      <w:pPr>
        <w:pStyle w:val="48"/>
        <w:spacing w:line="520" w:lineRule="exact"/>
        <w:rPr>
          <w:color w:val="auto"/>
          <w:highlight w:val="none"/>
        </w:rPr>
      </w:pPr>
      <w:r>
        <w:rPr>
          <w:rFonts w:hint="eastAsia"/>
          <w:color w:val="auto"/>
          <w:highlight w:val="none"/>
        </w:rPr>
        <w:t>(四)谈判小组按照谈判文件规定的谈判程序、评审方法和标准进行评审，并独立履行下列职责：</w:t>
      </w:r>
    </w:p>
    <w:p>
      <w:pPr>
        <w:pStyle w:val="48"/>
        <w:spacing w:line="520" w:lineRule="exact"/>
        <w:rPr>
          <w:color w:val="auto"/>
          <w:highlight w:val="none"/>
        </w:rPr>
      </w:pPr>
      <w:r>
        <w:rPr>
          <w:rFonts w:hint="eastAsia"/>
          <w:color w:val="auto"/>
          <w:highlight w:val="none"/>
        </w:rPr>
        <w:t>1.熟悉和理解谈判文件，确定谈判文件内容是否违反国家有关强制性规定或者谈判文件存在歧义、重大缺陷，根据需要书面要求采购人、采购代理机构对谈判文件作出解释。采购代理机构的解释不得改变谈判文件的原义或者影响公平、公正，解释事项如果涉及供应商权益的以有利于供应商的原则进行解释。</w:t>
      </w:r>
    </w:p>
    <w:p>
      <w:pPr>
        <w:pStyle w:val="48"/>
        <w:spacing w:line="520" w:lineRule="exact"/>
        <w:rPr>
          <w:color w:val="auto"/>
          <w:highlight w:val="none"/>
        </w:rPr>
      </w:pPr>
      <w:r>
        <w:rPr>
          <w:rFonts w:hint="eastAsia"/>
          <w:color w:val="auto"/>
          <w:highlight w:val="none"/>
        </w:rPr>
        <w:t>2.审查供应商响应文件是否满足谈判文件要求，并作出公正评价；</w:t>
      </w:r>
    </w:p>
    <w:p>
      <w:pPr>
        <w:pStyle w:val="48"/>
        <w:spacing w:line="520" w:lineRule="exact"/>
        <w:rPr>
          <w:color w:val="auto"/>
          <w:highlight w:val="none"/>
        </w:rPr>
      </w:pPr>
      <w:r>
        <w:rPr>
          <w:rFonts w:hint="eastAsia"/>
          <w:color w:val="auto"/>
          <w:highlight w:val="none"/>
        </w:rPr>
        <w:t>3.根据需要书面要求供应商对响应文件中含义不明确、同类问题表述不一致或者有明显文字和计算错误的内容等作出必要的澄清、说明或者更正，并给予供应商必要的反馈时间；</w:t>
      </w:r>
    </w:p>
    <w:p>
      <w:pPr>
        <w:pStyle w:val="48"/>
        <w:spacing w:line="520" w:lineRule="exact"/>
        <w:rPr>
          <w:color w:val="auto"/>
          <w:highlight w:val="none"/>
        </w:rPr>
      </w:pPr>
      <w:r>
        <w:rPr>
          <w:rFonts w:hint="eastAsia"/>
          <w:color w:val="auto"/>
          <w:highlight w:val="none"/>
        </w:rPr>
        <w:t>4.推荐成交供应商，或者受采购人委托确定成交供应商；</w:t>
      </w:r>
    </w:p>
    <w:p>
      <w:pPr>
        <w:pStyle w:val="48"/>
        <w:spacing w:line="520" w:lineRule="exact"/>
        <w:rPr>
          <w:color w:val="auto"/>
          <w:highlight w:val="none"/>
        </w:rPr>
      </w:pPr>
      <w:r>
        <w:rPr>
          <w:rFonts w:hint="eastAsia"/>
          <w:color w:val="auto"/>
          <w:highlight w:val="none"/>
        </w:rPr>
        <w:t>5.起草评审报告并进行签署；</w:t>
      </w:r>
    </w:p>
    <w:p>
      <w:pPr>
        <w:pStyle w:val="48"/>
        <w:spacing w:line="520" w:lineRule="exact"/>
        <w:rPr>
          <w:color w:val="auto"/>
          <w:highlight w:val="none"/>
        </w:rPr>
      </w:pPr>
      <w:r>
        <w:rPr>
          <w:rFonts w:hint="eastAsia"/>
          <w:color w:val="auto"/>
          <w:highlight w:val="none"/>
        </w:rPr>
        <w:t>6.向采购人、采购代理机构、财政部门或者其他监督部门报告非法干预评审工作的行为；</w:t>
      </w:r>
    </w:p>
    <w:p>
      <w:pPr>
        <w:pStyle w:val="48"/>
        <w:spacing w:line="520" w:lineRule="exact"/>
        <w:rPr>
          <w:color w:val="auto"/>
          <w:highlight w:val="none"/>
        </w:rPr>
      </w:pPr>
      <w:r>
        <w:rPr>
          <w:rFonts w:hint="eastAsia"/>
          <w:color w:val="auto"/>
          <w:highlight w:val="none"/>
        </w:rPr>
        <w:t>7.法律、法规和规章规定的其他职责。</w:t>
      </w:r>
    </w:p>
    <w:p>
      <w:pPr>
        <w:pStyle w:val="48"/>
        <w:spacing w:line="520" w:lineRule="exact"/>
        <w:rPr>
          <w:color w:val="auto"/>
          <w:highlight w:val="none"/>
        </w:rPr>
      </w:pPr>
      <w:r>
        <w:rPr>
          <w:rFonts w:hint="eastAsia"/>
          <w:color w:val="auto"/>
          <w:highlight w:val="none"/>
        </w:rPr>
        <w:t>(五)谈判过程独立、保密。供应商非法干预谈判过程的，其响应文件作无效处理。</w:t>
      </w:r>
    </w:p>
    <w:p>
      <w:pPr>
        <w:pStyle w:val="37"/>
        <w:spacing w:line="520" w:lineRule="exact"/>
        <w:ind w:firstLine="482"/>
        <w:rPr>
          <w:color w:val="auto"/>
          <w:highlight w:val="none"/>
        </w:rPr>
      </w:pPr>
      <w:bookmarkStart w:id="454" w:name="_Toc19850"/>
      <w:bookmarkStart w:id="455" w:name="_Toc12465"/>
      <w:r>
        <w:rPr>
          <w:rFonts w:hint="eastAsia"/>
          <w:color w:val="auto"/>
          <w:highlight w:val="none"/>
        </w:rPr>
        <w:t>谈判纪律及注意事项</w:t>
      </w:r>
      <w:bookmarkEnd w:id="454"/>
      <w:bookmarkEnd w:id="455"/>
    </w:p>
    <w:p>
      <w:pPr>
        <w:numPr>
          <w:ilvl w:val="0"/>
          <w:numId w:val="39"/>
        </w:numPr>
        <w:tabs>
          <w:tab w:val="left" w:pos="851"/>
          <w:tab w:val="clear" w:pos="0"/>
        </w:tabs>
        <w:spacing w:line="520" w:lineRule="exact"/>
        <w:rPr>
          <w:rFonts w:cs="宋体"/>
          <w:color w:val="auto"/>
          <w:highlight w:val="none"/>
        </w:rPr>
      </w:pPr>
      <w:r>
        <w:rPr>
          <w:rFonts w:hint="eastAsia" w:cs="宋体"/>
          <w:color w:val="auto"/>
          <w:highlight w:val="none"/>
        </w:rPr>
        <w:t>谈判小组内部讨论的情况和意见必须保密，任何人不得以任何形式透露给供应商或与供应商有关的单位或个人。</w:t>
      </w:r>
    </w:p>
    <w:p>
      <w:pPr>
        <w:numPr>
          <w:ilvl w:val="0"/>
          <w:numId w:val="39"/>
        </w:numPr>
        <w:tabs>
          <w:tab w:val="left" w:pos="851"/>
          <w:tab w:val="clear" w:pos="0"/>
        </w:tabs>
        <w:spacing w:line="520" w:lineRule="exact"/>
        <w:rPr>
          <w:rFonts w:cs="宋体"/>
          <w:color w:val="auto"/>
          <w:highlight w:val="none"/>
        </w:rPr>
      </w:pPr>
      <w:r>
        <w:rPr>
          <w:rFonts w:hint="eastAsia" w:cs="宋体"/>
          <w:color w:val="auto"/>
          <w:highlight w:val="none"/>
        </w:rPr>
        <w:t>在谈判过程中，供应商不得以任何形式对谈判小组成员进行旨在影响谈判结果的私下接触，否则将取消其参与谈判的资格。</w:t>
      </w:r>
    </w:p>
    <w:p>
      <w:pPr>
        <w:numPr>
          <w:ilvl w:val="0"/>
          <w:numId w:val="39"/>
        </w:numPr>
        <w:tabs>
          <w:tab w:val="left" w:pos="851"/>
          <w:tab w:val="clear" w:pos="0"/>
        </w:tabs>
        <w:spacing w:line="520" w:lineRule="exact"/>
        <w:rPr>
          <w:rFonts w:cs="宋体"/>
          <w:color w:val="auto"/>
          <w:highlight w:val="none"/>
        </w:rPr>
      </w:pPr>
      <w:r>
        <w:rPr>
          <w:rFonts w:hint="eastAsia" w:cs="宋体"/>
          <w:color w:val="auto"/>
          <w:highlight w:val="none"/>
        </w:rPr>
        <w:t>对各供应商的商业秘密，谈判小组成员应予以保密，不得泄露给其他供应商。</w:t>
      </w:r>
    </w:p>
    <w:p>
      <w:pPr>
        <w:numPr>
          <w:ilvl w:val="0"/>
          <w:numId w:val="39"/>
        </w:numPr>
        <w:tabs>
          <w:tab w:val="left" w:pos="851"/>
          <w:tab w:val="clear" w:pos="0"/>
        </w:tabs>
        <w:spacing w:line="520" w:lineRule="exact"/>
        <w:rPr>
          <w:rFonts w:cs="宋体"/>
          <w:color w:val="auto"/>
          <w:highlight w:val="none"/>
        </w:rPr>
      </w:pPr>
      <w:r>
        <w:rPr>
          <w:rFonts w:hint="eastAsia" w:cs="宋体"/>
          <w:color w:val="auto"/>
          <w:highlight w:val="none"/>
        </w:rPr>
        <w:t>谈判小组独立评判，推荐成交候选人，并写出书面报告。</w:t>
      </w:r>
    </w:p>
    <w:p>
      <w:pPr>
        <w:numPr>
          <w:ilvl w:val="0"/>
          <w:numId w:val="39"/>
        </w:numPr>
        <w:tabs>
          <w:tab w:val="left" w:pos="851"/>
          <w:tab w:val="clear" w:pos="0"/>
        </w:tabs>
        <w:spacing w:line="520" w:lineRule="exact"/>
        <w:rPr>
          <w:rFonts w:cs="宋体"/>
          <w:color w:val="auto"/>
          <w:highlight w:val="none"/>
        </w:rPr>
      </w:pPr>
      <w:r>
        <w:rPr>
          <w:rFonts w:hint="eastAsia" w:cs="宋体"/>
          <w:color w:val="auto"/>
          <w:highlight w:val="none"/>
        </w:rPr>
        <w:t>谈判小组可根据需要对供应商进行实地考察。</w:t>
      </w:r>
    </w:p>
    <w:p>
      <w:pPr>
        <w:pStyle w:val="37"/>
        <w:spacing w:line="520" w:lineRule="exact"/>
        <w:ind w:firstLine="482"/>
        <w:rPr>
          <w:color w:val="auto"/>
          <w:highlight w:val="none"/>
        </w:rPr>
      </w:pPr>
      <w:bookmarkStart w:id="456" w:name="_Toc11930"/>
      <w:r>
        <w:rPr>
          <w:rFonts w:hint="eastAsia"/>
          <w:color w:val="auto"/>
          <w:highlight w:val="none"/>
        </w:rPr>
        <w:t>评审程序</w:t>
      </w:r>
      <w:bookmarkEnd w:id="446"/>
      <w:bookmarkEnd w:id="447"/>
      <w:bookmarkEnd w:id="448"/>
      <w:bookmarkEnd w:id="449"/>
      <w:bookmarkEnd w:id="450"/>
      <w:bookmarkEnd w:id="451"/>
      <w:bookmarkEnd w:id="452"/>
      <w:bookmarkEnd w:id="453"/>
      <w:bookmarkEnd w:id="456"/>
    </w:p>
    <w:p>
      <w:pPr>
        <w:pStyle w:val="51"/>
        <w:spacing w:line="520" w:lineRule="exact"/>
        <w:ind w:firstLine="482"/>
        <w:rPr>
          <w:color w:val="auto"/>
          <w:highlight w:val="none"/>
        </w:rPr>
      </w:pPr>
      <w:bookmarkStart w:id="457" w:name="_Toc4914"/>
      <w:bookmarkStart w:id="458" w:name="_Toc6343"/>
      <w:bookmarkStart w:id="459" w:name="_Toc21740"/>
      <w:bookmarkStart w:id="460" w:name="_Toc7635"/>
      <w:bookmarkStart w:id="461" w:name="_Toc11173"/>
      <w:bookmarkStart w:id="462" w:name="_Toc2214"/>
      <w:bookmarkStart w:id="463" w:name="_Toc22510"/>
      <w:bookmarkStart w:id="464" w:name="_Toc6365"/>
      <w:bookmarkStart w:id="465" w:name="_Toc2751"/>
      <w:bookmarkStart w:id="466" w:name="_Toc15853"/>
      <w:bookmarkStart w:id="467" w:name="_Toc27743"/>
      <w:r>
        <w:rPr>
          <w:rFonts w:hint="eastAsia"/>
          <w:color w:val="auto"/>
          <w:highlight w:val="none"/>
        </w:rPr>
        <w:t>审核谈判文件</w:t>
      </w:r>
      <w:bookmarkEnd w:id="457"/>
      <w:bookmarkEnd w:id="458"/>
      <w:bookmarkEnd w:id="459"/>
      <w:bookmarkEnd w:id="460"/>
      <w:bookmarkEnd w:id="461"/>
    </w:p>
    <w:p>
      <w:pPr>
        <w:spacing w:line="520" w:lineRule="exact"/>
        <w:ind w:firstLine="480" w:firstLineChars="200"/>
        <w:rPr>
          <w:color w:val="auto"/>
          <w:highlight w:val="none"/>
        </w:rPr>
      </w:pPr>
      <w:r>
        <w:rPr>
          <w:rFonts w:hint="eastAsia"/>
          <w:color w:val="auto"/>
          <w:highlight w:val="none"/>
        </w:rPr>
        <w:t>1.谈判小组正式评审前，应当对谈判文件进行熟悉和理解，内容主要包括谈判文件中的实质性要求、采购项目技术、服务和商务要求、谈判办法和标准、采购政策要求以及采购合同主要条款等。</w:t>
      </w:r>
    </w:p>
    <w:p>
      <w:pPr>
        <w:spacing w:line="520" w:lineRule="exact"/>
        <w:ind w:firstLine="480" w:firstLineChars="200"/>
        <w:rPr>
          <w:color w:val="auto"/>
          <w:highlight w:val="none"/>
        </w:rPr>
      </w:pPr>
      <w:r>
        <w:rPr>
          <w:rFonts w:hint="eastAsia"/>
          <w:color w:val="auto"/>
          <w:highlight w:val="none"/>
        </w:rPr>
        <w:t>2.本谈判文件有下列情形之一的，谈判小组应当停止评审：</w:t>
      </w:r>
    </w:p>
    <w:p>
      <w:pPr>
        <w:spacing w:line="520" w:lineRule="exact"/>
        <w:ind w:firstLine="480" w:firstLineChars="200"/>
        <w:rPr>
          <w:color w:val="auto"/>
          <w:highlight w:val="none"/>
        </w:rPr>
      </w:pPr>
      <w:r>
        <w:rPr>
          <w:rFonts w:hint="eastAsia"/>
          <w:color w:val="auto"/>
          <w:highlight w:val="none"/>
        </w:rPr>
        <w:t>2.1谈判文件的规定存在歧义、重大缺陷，导致评审无法进行的；</w:t>
      </w:r>
    </w:p>
    <w:p>
      <w:pPr>
        <w:spacing w:line="520" w:lineRule="exact"/>
        <w:ind w:firstLine="480" w:firstLineChars="200"/>
        <w:rPr>
          <w:color w:val="auto"/>
          <w:highlight w:val="none"/>
        </w:rPr>
      </w:pPr>
      <w:r>
        <w:rPr>
          <w:rFonts w:hint="eastAsia"/>
          <w:color w:val="auto"/>
          <w:highlight w:val="none"/>
        </w:rPr>
        <w:t>2.2谈判文件明显以不合理条件对供应商实行差别待遇或者歧视待遇的；</w:t>
      </w:r>
    </w:p>
    <w:p>
      <w:pPr>
        <w:spacing w:line="520" w:lineRule="exact"/>
        <w:ind w:firstLine="480" w:firstLineChars="200"/>
        <w:rPr>
          <w:color w:val="auto"/>
          <w:highlight w:val="none"/>
        </w:rPr>
      </w:pPr>
      <w:r>
        <w:rPr>
          <w:rFonts w:hint="eastAsia"/>
          <w:color w:val="auto"/>
          <w:highlight w:val="none"/>
        </w:rPr>
        <w:t>2.3采购项目属于国家规定的优先、强制采购范围，但是谈判文件未依法体现优先、强制采购相关规定的；</w:t>
      </w:r>
    </w:p>
    <w:p>
      <w:pPr>
        <w:spacing w:line="520" w:lineRule="exact"/>
        <w:ind w:firstLine="480" w:firstLineChars="200"/>
        <w:rPr>
          <w:color w:val="auto"/>
          <w:highlight w:val="none"/>
        </w:rPr>
      </w:pPr>
      <w:r>
        <w:rPr>
          <w:rFonts w:hint="eastAsia"/>
          <w:color w:val="auto"/>
          <w:highlight w:val="none"/>
        </w:rPr>
        <w:t>2.4采购项目属于促进中小企业发展的范围，但是谈判文件未依法体现促进中小企业发展相关规定的；</w:t>
      </w:r>
    </w:p>
    <w:p>
      <w:pPr>
        <w:pStyle w:val="48"/>
        <w:spacing w:line="520" w:lineRule="exact"/>
        <w:rPr>
          <w:color w:val="auto"/>
          <w:highlight w:val="none"/>
        </w:rPr>
      </w:pPr>
      <w:r>
        <w:rPr>
          <w:rFonts w:hint="eastAsia"/>
          <w:color w:val="auto"/>
          <w:highlight w:val="none"/>
        </w:rPr>
        <w:t>2.5谈判文件载明的成交原则不合法的；</w:t>
      </w:r>
    </w:p>
    <w:p>
      <w:pPr>
        <w:pStyle w:val="48"/>
        <w:spacing w:line="520" w:lineRule="exact"/>
        <w:rPr>
          <w:color w:val="auto"/>
          <w:highlight w:val="none"/>
        </w:rPr>
      </w:pPr>
      <w:r>
        <w:rPr>
          <w:rFonts w:hint="eastAsia"/>
          <w:color w:val="auto"/>
          <w:highlight w:val="none"/>
        </w:rPr>
        <w:t>2.6谈判文件有违反国家其他有关强制性规定的情形。</w:t>
      </w:r>
    </w:p>
    <w:p>
      <w:pPr>
        <w:pStyle w:val="48"/>
        <w:spacing w:line="520" w:lineRule="exact"/>
        <w:rPr>
          <w:color w:val="auto"/>
          <w:highlight w:val="none"/>
        </w:rPr>
      </w:pPr>
      <w:bookmarkStart w:id="468" w:name="_Toc24052"/>
      <w:bookmarkStart w:id="469" w:name="_Toc21816"/>
      <w:r>
        <w:rPr>
          <w:rFonts w:hint="eastAsia"/>
          <w:color w:val="auto"/>
          <w:highlight w:val="none"/>
        </w:rPr>
        <w:t>3.出现本条第二款规定应当停止评审情形的，谈判小组应当向采购代理机构书面说明情况，若出现违反国家有关强制性规定情形的，还应注明违反国家其他有关强制性规定的具体法律法规。否则，谈判小组不得以任何方式和理由停止评审。</w:t>
      </w:r>
      <w:bookmarkEnd w:id="468"/>
      <w:bookmarkEnd w:id="469"/>
    </w:p>
    <w:bookmarkEnd w:id="462"/>
    <w:p>
      <w:pPr>
        <w:pStyle w:val="51"/>
        <w:spacing w:line="520" w:lineRule="exact"/>
        <w:ind w:firstLine="482"/>
        <w:rPr>
          <w:color w:val="auto"/>
          <w:highlight w:val="none"/>
        </w:rPr>
      </w:pPr>
      <w:bookmarkStart w:id="470" w:name="_Toc8959"/>
      <w:bookmarkStart w:id="471" w:name="_Toc11426"/>
      <w:bookmarkStart w:id="472" w:name="_Toc29851"/>
      <w:bookmarkStart w:id="473" w:name="_Toc13415"/>
      <w:r>
        <w:rPr>
          <w:rFonts w:hint="eastAsia"/>
          <w:color w:val="auto"/>
          <w:highlight w:val="none"/>
        </w:rPr>
        <w:t>供应商资格审查</w:t>
      </w:r>
      <w:bookmarkEnd w:id="463"/>
      <w:bookmarkEnd w:id="464"/>
      <w:bookmarkEnd w:id="465"/>
      <w:bookmarkEnd w:id="466"/>
      <w:bookmarkEnd w:id="467"/>
      <w:bookmarkEnd w:id="470"/>
      <w:bookmarkEnd w:id="471"/>
      <w:bookmarkEnd w:id="472"/>
      <w:bookmarkEnd w:id="473"/>
    </w:p>
    <w:p>
      <w:pPr>
        <w:pStyle w:val="38"/>
        <w:numPr>
          <w:ilvl w:val="2"/>
          <w:numId w:val="40"/>
        </w:numPr>
        <w:spacing w:line="520" w:lineRule="exact"/>
        <w:ind w:firstLine="480"/>
        <w:rPr>
          <w:color w:val="auto"/>
          <w:highlight w:val="none"/>
        </w:rPr>
      </w:pPr>
      <w:r>
        <w:rPr>
          <w:rFonts w:hint="eastAsia"/>
          <w:color w:val="auto"/>
          <w:highlight w:val="none"/>
        </w:rPr>
        <w:t>谈判小组根据本采购项目采购需求确认谈判文件。</w:t>
      </w:r>
    </w:p>
    <w:p>
      <w:pPr>
        <w:pStyle w:val="38"/>
        <w:numPr>
          <w:ilvl w:val="2"/>
          <w:numId w:val="40"/>
        </w:numPr>
        <w:spacing w:line="520" w:lineRule="exact"/>
        <w:ind w:firstLine="480"/>
        <w:rPr>
          <w:color w:val="auto"/>
          <w:highlight w:val="none"/>
          <w:lang w:val="zh-CN"/>
        </w:rPr>
      </w:pPr>
      <w:r>
        <w:rPr>
          <w:rFonts w:hint="eastAsia"/>
          <w:color w:val="auto"/>
          <w:highlight w:val="none"/>
          <w:lang w:val="zh-CN"/>
        </w:rPr>
        <w:t>采购代理机构组织谈判小组对递交响应文件的供应商进行资格审查，确定参加谈判的供应商名单。</w:t>
      </w:r>
    </w:p>
    <w:p>
      <w:pPr>
        <w:pStyle w:val="38"/>
        <w:numPr>
          <w:ilvl w:val="2"/>
          <w:numId w:val="40"/>
        </w:numPr>
        <w:spacing w:line="520" w:lineRule="exact"/>
        <w:ind w:firstLine="480"/>
        <w:rPr>
          <w:color w:val="auto"/>
          <w:highlight w:val="none"/>
          <w:lang w:val="zh-CN"/>
        </w:rPr>
      </w:pPr>
      <w:r>
        <w:rPr>
          <w:rFonts w:hint="eastAsia"/>
          <w:color w:val="auto"/>
          <w:highlight w:val="none"/>
          <w:lang w:val="zh-CN"/>
        </w:rPr>
        <w:t>确定参加谈判的供应商数量采用合格制，即谈判小组对各供应商资格审查后，凡符合本竞争性谈判文件规定资格条件的，均进入参加谈判的供应商名单。</w:t>
      </w:r>
    </w:p>
    <w:p>
      <w:pPr>
        <w:pStyle w:val="38"/>
        <w:numPr>
          <w:ilvl w:val="2"/>
          <w:numId w:val="40"/>
        </w:numPr>
        <w:spacing w:line="520" w:lineRule="exact"/>
        <w:ind w:firstLine="480"/>
        <w:rPr>
          <w:color w:val="auto"/>
          <w:highlight w:val="none"/>
          <w:lang w:val="zh-CN"/>
        </w:rPr>
      </w:pPr>
      <w:r>
        <w:rPr>
          <w:rFonts w:hint="eastAsia"/>
          <w:color w:val="auto"/>
          <w:highlight w:val="none"/>
          <w:lang w:val="zh-CN"/>
        </w:rPr>
        <w:t>评审委员会资格审查结束后，应当向采购人、采购代理机构出具资格审查报告，确定参加谈判的供应商名单，并说明未通过资格审查的供应商未通过的原因。</w:t>
      </w:r>
    </w:p>
    <w:p>
      <w:pPr>
        <w:pStyle w:val="38"/>
        <w:numPr>
          <w:ilvl w:val="2"/>
          <w:numId w:val="40"/>
        </w:numPr>
        <w:spacing w:line="520" w:lineRule="exact"/>
        <w:ind w:firstLine="480"/>
        <w:rPr>
          <w:color w:val="auto"/>
          <w:highlight w:val="none"/>
          <w:lang w:val="zh-CN"/>
        </w:rPr>
      </w:pPr>
      <w:r>
        <w:rPr>
          <w:rFonts w:hint="eastAsia"/>
          <w:color w:val="auto"/>
          <w:highlight w:val="none"/>
          <w:lang w:val="zh-CN"/>
        </w:rPr>
        <w:t>资格审查报告应当由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pStyle w:val="38"/>
        <w:numPr>
          <w:ilvl w:val="2"/>
          <w:numId w:val="40"/>
        </w:numPr>
        <w:spacing w:line="520" w:lineRule="exact"/>
        <w:ind w:firstLine="480"/>
        <w:rPr>
          <w:color w:val="auto"/>
          <w:highlight w:val="none"/>
          <w:lang w:val="zh-CN"/>
        </w:rPr>
      </w:pPr>
      <w:r>
        <w:rPr>
          <w:rFonts w:hint="eastAsia"/>
          <w:color w:val="auto"/>
          <w:highlight w:val="none"/>
          <w:lang w:val="zh-CN"/>
        </w:rPr>
        <w:t>评审委员会出具资格审查报告后，采购人、采购代理机构应当将通过资格审查和未通过资格审查的供应商名单向所有递交响应文件的供应商当场宣布，并告知未通过资格审查的供应商未通过资格审查的原因，但涉及商业秘密的除外。</w:t>
      </w:r>
      <w:r>
        <w:rPr>
          <w:rFonts w:hint="eastAsia"/>
          <w:color w:val="auto"/>
          <w:highlight w:val="none"/>
        </w:rPr>
        <w:t>同时在谈判结果公示中向社会公开。</w:t>
      </w:r>
    </w:p>
    <w:p>
      <w:pPr>
        <w:pStyle w:val="51"/>
        <w:spacing w:line="520" w:lineRule="exact"/>
        <w:ind w:firstLine="482"/>
        <w:rPr>
          <w:color w:val="auto"/>
          <w:highlight w:val="none"/>
        </w:rPr>
      </w:pPr>
      <w:bookmarkStart w:id="474" w:name="_Toc26467"/>
      <w:bookmarkStart w:id="475" w:name="_Toc26117"/>
      <w:bookmarkStart w:id="476" w:name="_Toc27286"/>
      <w:bookmarkStart w:id="477" w:name="_Toc14747"/>
      <w:bookmarkStart w:id="478" w:name="_Toc6954"/>
      <w:bookmarkStart w:id="479" w:name="_Toc18527"/>
      <w:bookmarkStart w:id="480" w:name="_Toc8003"/>
      <w:bookmarkStart w:id="481" w:name="_Toc8639"/>
      <w:r>
        <w:rPr>
          <w:rFonts w:hint="eastAsia"/>
          <w:color w:val="auto"/>
          <w:highlight w:val="none"/>
        </w:rPr>
        <w:t>谈判</w:t>
      </w:r>
      <w:bookmarkEnd w:id="474"/>
      <w:bookmarkEnd w:id="475"/>
      <w:bookmarkEnd w:id="476"/>
      <w:bookmarkEnd w:id="477"/>
      <w:bookmarkEnd w:id="478"/>
      <w:bookmarkEnd w:id="479"/>
      <w:bookmarkEnd w:id="480"/>
      <w:bookmarkEnd w:id="481"/>
    </w:p>
    <w:p>
      <w:pPr>
        <w:pStyle w:val="38"/>
        <w:numPr>
          <w:ilvl w:val="2"/>
          <w:numId w:val="41"/>
        </w:numPr>
        <w:spacing w:line="520" w:lineRule="exact"/>
        <w:ind w:firstLine="480"/>
        <w:rPr>
          <w:color w:val="auto"/>
          <w:highlight w:val="none"/>
        </w:rPr>
      </w:pPr>
      <w:r>
        <w:rPr>
          <w:rFonts w:hint="eastAsia"/>
          <w:color w:val="auto"/>
          <w:highlight w:val="none"/>
        </w:rPr>
        <w:t>供应商资格审查结束后，采购人、采购代理机构应当组织评审委员会按照谈判文件的规定与通过资格审查的供应商分别进行谈判。谈判顺序以现场抽签的方式确定。</w:t>
      </w:r>
    </w:p>
    <w:p>
      <w:pPr>
        <w:pStyle w:val="38"/>
        <w:numPr>
          <w:ilvl w:val="2"/>
          <w:numId w:val="41"/>
        </w:numPr>
        <w:spacing w:line="520" w:lineRule="exact"/>
        <w:ind w:firstLine="480"/>
        <w:rPr>
          <w:color w:val="auto"/>
          <w:highlight w:val="none"/>
          <w:lang w:val="zh-CN"/>
        </w:rPr>
      </w:pPr>
      <w:r>
        <w:rPr>
          <w:rFonts w:hint="eastAsia"/>
          <w:color w:val="auto"/>
          <w:highlight w:val="none"/>
        </w:rPr>
        <w:t>每轮谈判开始前，谈判小组应根据谈判文件的规定，并结合各供应商的响应文件拟定谈判内容。谈判过程中，谈判的任何一方不得透露与谈判有关的其他供应商的技术资料、价格和其他信息。</w:t>
      </w:r>
    </w:p>
    <w:p>
      <w:pPr>
        <w:pStyle w:val="38"/>
        <w:numPr>
          <w:ilvl w:val="2"/>
          <w:numId w:val="41"/>
        </w:numPr>
        <w:spacing w:line="520" w:lineRule="exact"/>
        <w:ind w:firstLine="480"/>
        <w:rPr>
          <w:color w:val="auto"/>
          <w:highlight w:val="none"/>
          <w:lang w:val="zh-CN"/>
        </w:rPr>
      </w:pPr>
      <w:r>
        <w:rPr>
          <w:rFonts w:hint="eastAsia"/>
          <w:color w:val="auto"/>
          <w:highlight w:val="none"/>
        </w:rPr>
        <w:t>谈判</w:t>
      </w:r>
      <w:r>
        <w:rPr>
          <w:color w:val="auto"/>
          <w:highlight w:val="none"/>
        </w:rPr>
        <w:t>过程中，</w:t>
      </w:r>
      <w:r>
        <w:rPr>
          <w:rFonts w:hint="eastAsia"/>
          <w:color w:val="auto"/>
          <w:highlight w:val="none"/>
        </w:rPr>
        <w:t>谈判</w:t>
      </w:r>
      <w:r>
        <w:rPr>
          <w:color w:val="auto"/>
          <w:highlight w:val="none"/>
          <w:lang w:val="zh-CN"/>
        </w:rPr>
        <w:t>小组对响应文件的有效性、完整性和响应程度进行审查，审查中发现供应商响应文件属于下列情况之一的，应按照无效响应文件处理：</w:t>
      </w:r>
    </w:p>
    <w:p>
      <w:pPr>
        <w:pStyle w:val="39"/>
        <w:numPr>
          <w:ilvl w:val="3"/>
          <w:numId w:val="41"/>
        </w:numPr>
        <w:spacing w:line="520" w:lineRule="exact"/>
        <w:ind w:firstLine="480"/>
        <w:rPr>
          <w:color w:val="auto"/>
          <w:highlight w:val="none"/>
          <w:lang w:val="zh-CN"/>
        </w:rPr>
      </w:pPr>
      <w:r>
        <w:rPr>
          <w:color w:val="auto"/>
          <w:highlight w:val="none"/>
          <w:lang w:val="zh-CN"/>
        </w:rPr>
        <w:t>响应文件正副本数量不足的；</w:t>
      </w:r>
    </w:p>
    <w:p>
      <w:pPr>
        <w:pStyle w:val="39"/>
        <w:numPr>
          <w:ilvl w:val="3"/>
          <w:numId w:val="41"/>
        </w:numPr>
        <w:spacing w:line="520" w:lineRule="exact"/>
        <w:ind w:firstLine="480"/>
        <w:rPr>
          <w:color w:val="auto"/>
          <w:highlight w:val="none"/>
          <w:lang w:val="zh-CN"/>
        </w:rPr>
      </w:pPr>
      <w:r>
        <w:rPr>
          <w:color w:val="auto"/>
          <w:highlight w:val="none"/>
          <w:lang w:val="zh-CN"/>
        </w:rPr>
        <w:t>响应文件的语言、计量单位、</w:t>
      </w:r>
      <w:r>
        <w:rPr>
          <w:rFonts w:hint="eastAsia"/>
          <w:color w:val="auto"/>
          <w:highlight w:val="none"/>
          <w:lang w:val="zh-CN"/>
        </w:rPr>
        <w:t>知识产权、谈判有效期</w:t>
      </w:r>
      <w:r>
        <w:rPr>
          <w:color w:val="auto"/>
          <w:highlight w:val="none"/>
          <w:lang w:val="zh-CN"/>
        </w:rPr>
        <w:t>等不符合</w:t>
      </w:r>
      <w:r>
        <w:rPr>
          <w:rFonts w:hint="eastAsia"/>
          <w:color w:val="auto"/>
          <w:highlight w:val="none"/>
          <w:lang w:val="zh-CN"/>
        </w:rPr>
        <w:t>谈判文件</w:t>
      </w:r>
      <w:r>
        <w:rPr>
          <w:color w:val="auto"/>
          <w:highlight w:val="none"/>
          <w:lang w:val="zh-CN"/>
        </w:rPr>
        <w:t>的规定，影响</w:t>
      </w:r>
      <w:r>
        <w:rPr>
          <w:rFonts w:hint="eastAsia"/>
          <w:color w:val="auto"/>
          <w:highlight w:val="none"/>
          <w:lang w:val="zh-CN"/>
        </w:rPr>
        <w:t>谈判小组</w:t>
      </w:r>
      <w:r>
        <w:rPr>
          <w:color w:val="auto"/>
          <w:highlight w:val="none"/>
          <w:lang w:val="zh-CN"/>
        </w:rPr>
        <w:t>评判的；</w:t>
      </w:r>
    </w:p>
    <w:p>
      <w:pPr>
        <w:pStyle w:val="38"/>
        <w:numPr>
          <w:ilvl w:val="2"/>
          <w:numId w:val="41"/>
        </w:numPr>
        <w:spacing w:line="520" w:lineRule="exact"/>
        <w:ind w:firstLine="480"/>
        <w:rPr>
          <w:color w:val="auto"/>
          <w:highlight w:val="none"/>
          <w:lang w:val="zh-CN"/>
        </w:rPr>
      </w:pPr>
      <w:r>
        <w:rPr>
          <w:color w:val="auto"/>
          <w:highlight w:val="none"/>
          <w:lang w:val="zh-CN"/>
        </w:rPr>
        <w:t>但</w:t>
      </w:r>
      <w:r>
        <w:rPr>
          <w:rFonts w:hint="eastAsia"/>
          <w:color w:val="auto"/>
          <w:highlight w:val="none"/>
          <w:lang w:val="zh-CN"/>
        </w:rPr>
        <w:t>谈判小组</w:t>
      </w:r>
      <w:r>
        <w:rPr>
          <w:color w:val="auto"/>
          <w:highlight w:val="none"/>
          <w:lang w:val="zh-CN"/>
        </w:rPr>
        <w:t>对响应文件签署、盖章等进行审查过程中，有下列情形的，</w:t>
      </w:r>
      <w:r>
        <w:rPr>
          <w:rFonts w:hint="eastAsia"/>
          <w:color w:val="auto"/>
          <w:highlight w:val="none"/>
          <w:lang w:val="zh-CN"/>
        </w:rPr>
        <w:t>谈判小组</w:t>
      </w:r>
      <w:r>
        <w:rPr>
          <w:color w:val="auto"/>
          <w:highlight w:val="none"/>
          <w:lang w:val="zh-CN"/>
        </w:rPr>
        <w:t>应当评定为不影响整个响应文件有效性和采购活动公平竞争，并通过响应文件的有效性审查：</w:t>
      </w:r>
    </w:p>
    <w:p>
      <w:pPr>
        <w:pStyle w:val="39"/>
        <w:numPr>
          <w:ilvl w:val="3"/>
          <w:numId w:val="41"/>
        </w:numPr>
        <w:spacing w:line="520" w:lineRule="exact"/>
        <w:ind w:firstLine="480"/>
        <w:rPr>
          <w:color w:val="auto"/>
          <w:highlight w:val="none"/>
          <w:lang w:val="zh-CN"/>
        </w:rPr>
      </w:pPr>
      <w:r>
        <w:rPr>
          <w:color w:val="auto"/>
          <w:highlight w:val="none"/>
          <w:lang w:val="zh-CN"/>
        </w:rPr>
        <w:t>响应文件正副本数量齐全，只是未按照</w:t>
      </w:r>
      <w:r>
        <w:rPr>
          <w:rFonts w:hint="eastAsia"/>
          <w:color w:val="auto"/>
          <w:highlight w:val="none"/>
          <w:lang w:val="zh-CN"/>
        </w:rPr>
        <w:t>谈判文件</w:t>
      </w:r>
      <w:r>
        <w:rPr>
          <w:color w:val="auto"/>
          <w:highlight w:val="none"/>
          <w:lang w:val="zh-CN"/>
        </w:rPr>
        <w:t>要求进行分装或者统装的；</w:t>
      </w:r>
    </w:p>
    <w:p>
      <w:pPr>
        <w:pStyle w:val="39"/>
        <w:numPr>
          <w:ilvl w:val="3"/>
          <w:numId w:val="41"/>
        </w:numPr>
        <w:spacing w:line="520" w:lineRule="exact"/>
        <w:ind w:firstLine="480"/>
        <w:rPr>
          <w:color w:val="auto"/>
          <w:highlight w:val="none"/>
          <w:lang w:val="zh-CN"/>
        </w:rPr>
      </w:pPr>
      <w:r>
        <w:rPr>
          <w:color w:val="auto"/>
          <w:highlight w:val="none"/>
          <w:lang w:val="zh-CN"/>
        </w:rPr>
        <w:t>响应文件存在个别地方</w:t>
      </w:r>
      <w:r>
        <w:rPr>
          <w:rFonts w:hint="eastAsia"/>
          <w:color w:val="auto"/>
          <w:highlight w:val="none"/>
          <w:lang w:val="zh-CN"/>
        </w:rPr>
        <w:t>(</w:t>
      </w:r>
      <w:r>
        <w:rPr>
          <w:color w:val="auto"/>
          <w:highlight w:val="none"/>
          <w:lang w:val="zh-CN"/>
        </w:rPr>
        <w:t>总数不能超过2个</w:t>
      </w:r>
      <w:r>
        <w:rPr>
          <w:rFonts w:hint="eastAsia"/>
          <w:color w:val="auto"/>
          <w:highlight w:val="none"/>
          <w:lang w:val="zh-CN"/>
        </w:rPr>
        <w:t>)</w:t>
      </w:r>
      <w:r>
        <w:rPr>
          <w:color w:val="auto"/>
          <w:highlight w:val="none"/>
          <w:lang w:val="zh-CN"/>
        </w:rPr>
        <w:t>没有法定代表人/单位负责人签字，但有法定代表人/单位负责人的私人印章或者有效授权代理人签字的；</w:t>
      </w:r>
    </w:p>
    <w:p>
      <w:pPr>
        <w:pStyle w:val="39"/>
        <w:numPr>
          <w:ilvl w:val="3"/>
          <w:numId w:val="41"/>
        </w:numPr>
        <w:spacing w:line="520" w:lineRule="exact"/>
        <w:ind w:firstLine="480"/>
        <w:rPr>
          <w:color w:val="auto"/>
          <w:highlight w:val="none"/>
          <w:lang w:val="zh-CN"/>
        </w:rPr>
      </w:pPr>
      <w:r>
        <w:rPr>
          <w:color w:val="auto"/>
          <w:highlight w:val="none"/>
          <w:lang w:val="zh-CN"/>
        </w:rPr>
        <w:t>响应文件除</w:t>
      </w:r>
      <w:r>
        <w:rPr>
          <w:rFonts w:hint="eastAsia"/>
          <w:color w:val="auto"/>
          <w:highlight w:val="none"/>
          <w:lang w:val="zh-CN"/>
        </w:rPr>
        <w:t>谈判文件</w:t>
      </w:r>
      <w:r>
        <w:rPr>
          <w:color w:val="auto"/>
          <w:highlight w:val="none"/>
          <w:lang w:val="zh-CN"/>
        </w:rPr>
        <w:t>明确要求加盖单位(法人)公章的以外，其他地方以相关专用章加盖的；</w:t>
      </w:r>
    </w:p>
    <w:p>
      <w:pPr>
        <w:pStyle w:val="39"/>
        <w:numPr>
          <w:ilvl w:val="3"/>
          <w:numId w:val="41"/>
        </w:numPr>
        <w:spacing w:line="520" w:lineRule="exact"/>
        <w:ind w:firstLine="480"/>
        <w:rPr>
          <w:color w:val="auto"/>
          <w:highlight w:val="none"/>
          <w:lang w:val="zh-CN"/>
        </w:rPr>
      </w:pPr>
      <w:r>
        <w:rPr>
          <w:color w:val="auto"/>
          <w:highlight w:val="none"/>
          <w:lang w:val="zh-CN"/>
        </w:rPr>
        <w:t>以骑缝章的形式代替响应文件内容逐页盖章的</w:t>
      </w:r>
      <w:r>
        <w:rPr>
          <w:rFonts w:hint="eastAsia"/>
          <w:color w:val="auto"/>
          <w:highlight w:val="none"/>
          <w:lang w:val="zh-CN"/>
        </w:rPr>
        <w:t>(</w:t>
      </w:r>
      <w:r>
        <w:rPr>
          <w:color w:val="auto"/>
          <w:highlight w:val="none"/>
          <w:lang w:val="zh-CN"/>
        </w:rPr>
        <w:t>但是骑缝章模糊不清，印章名称无法辨认的除外</w:t>
      </w:r>
      <w:r>
        <w:rPr>
          <w:rFonts w:hint="eastAsia"/>
          <w:color w:val="auto"/>
          <w:highlight w:val="none"/>
          <w:lang w:val="zh-CN"/>
        </w:rPr>
        <w:t>)</w:t>
      </w:r>
      <w:r>
        <w:rPr>
          <w:color w:val="auto"/>
          <w:highlight w:val="none"/>
          <w:lang w:val="zh-CN"/>
        </w:rPr>
        <w:t>。</w:t>
      </w:r>
    </w:p>
    <w:p>
      <w:pPr>
        <w:pStyle w:val="48"/>
        <w:spacing w:line="520" w:lineRule="exact"/>
        <w:rPr>
          <w:color w:val="auto"/>
          <w:highlight w:val="none"/>
        </w:rPr>
      </w:pPr>
      <w:r>
        <w:rPr>
          <w:rFonts w:hint="eastAsia"/>
          <w:color w:val="auto"/>
          <w:highlight w:val="none"/>
          <w:lang w:val="zh-CN"/>
        </w:rPr>
        <w:t>谈判小组</w:t>
      </w:r>
      <w:r>
        <w:rPr>
          <w:color w:val="auto"/>
          <w:highlight w:val="none"/>
          <w:lang w:val="zh-CN"/>
        </w:rPr>
        <w:t>对所有响应文件的有效性、完整性和响应程度进行审查后，向采购代理机构出具有效性、完整性和响应程度审查</w:t>
      </w:r>
      <w:r>
        <w:rPr>
          <w:rFonts w:hint="eastAsia"/>
          <w:color w:val="auto"/>
          <w:highlight w:val="none"/>
        </w:rPr>
        <w:t>意见</w:t>
      </w:r>
      <w:r>
        <w:rPr>
          <w:color w:val="auto"/>
          <w:highlight w:val="none"/>
          <w:lang w:val="zh-CN"/>
        </w:rPr>
        <w:t>，确定继续</w:t>
      </w:r>
      <w:r>
        <w:rPr>
          <w:rFonts w:hint="eastAsia"/>
          <w:color w:val="auto"/>
          <w:highlight w:val="none"/>
        </w:rPr>
        <w:t>谈判</w:t>
      </w:r>
      <w:r>
        <w:rPr>
          <w:color w:val="auto"/>
          <w:highlight w:val="none"/>
          <w:lang w:val="zh-CN"/>
        </w:rPr>
        <w:t>的供应商名单。没有通过有效性、完整性和响应程度审查的供应商，</w:t>
      </w:r>
      <w:r>
        <w:rPr>
          <w:rFonts w:hint="eastAsia"/>
          <w:color w:val="auto"/>
          <w:highlight w:val="none"/>
          <w:lang w:val="zh-CN"/>
        </w:rPr>
        <w:t>谈判小组</w:t>
      </w:r>
      <w:r>
        <w:rPr>
          <w:color w:val="auto"/>
          <w:highlight w:val="none"/>
          <w:lang w:val="zh-CN"/>
        </w:rPr>
        <w:t>应在有效性、完整性和响应程度审查</w:t>
      </w:r>
      <w:r>
        <w:rPr>
          <w:rFonts w:hint="eastAsia"/>
          <w:color w:val="auto"/>
          <w:highlight w:val="none"/>
        </w:rPr>
        <w:t>意见</w:t>
      </w:r>
      <w:r>
        <w:rPr>
          <w:color w:val="auto"/>
          <w:highlight w:val="none"/>
          <w:lang w:val="zh-CN"/>
        </w:rPr>
        <w:t>中说明原因。</w:t>
      </w:r>
    </w:p>
    <w:p>
      <w:pPr>
        <w:pStyle w:val="38"/>
        <w:numPr>
          <w:ilvl w:val="2"/>
          <w:numId w:val="41"/>
        </w:numPr>
        <w:spacing w:line="520" w:lineRule="exact"/>
        <w:ind w:firstLine="480"/>
        <w:rPr>
          <w:color w:val="auto"/>
          <w:highlight w:val="none"/>
        </w:rPr>
      </w:pPr>
      <w:r>
        <w:rPr>
          <w:rFonts w:hint="eastAsia"/>
          <w:color w:val="auto"/>
          <w:highlight w:val="none"/>
        </w:rPr>
        <w:t>本项目可能实质性变动的内容：采购需求中的技术、服务要求以及合同草案条款。</w:t>
      </w:r>
    </w:p>
    <w:p>
      <w:pPr>
        <w:pStyle w:val="38"/>
        <w:numPr>
          <w:ilvl w:val="2"/>
          <w:numId w:val="41"/>
        </w:numPr>
        <w:spacing w:line="520" w:lineRule="exact"/>
        <w:ind w:firstLine="480"/>
        <w:rPr>
          <w:color w:val="auto"/>
          <w:highlight w:val="none"/>
        </w:rPr>
      </w:pPr>
      <w:r>
        <w:rPr>
          <w:rFonts w:hint="eastAsia"/>
          <w:color w:val="auto"/>
          <w:highlight w:val="none"/>
        </w:rPr>
        <w:t>在谈判过程中，谈判小组可以根据谈判文件和谈判情况实质性变动采购需求中的技术、服务要求以及合同草案条款，但不得变动谈判文件中的其他内容。实质性变动的内容，须经采购人代表确认。</w:t>
      </w:r>
    </w:p>
    <w:p>
      <w:pPr>
        <w:pStyle w:val="38"/>
        <w:numPr>
          <w:ilvl w:val="2"/>
          <w:numId w:val="41"/>
        </w:numPr>
        <w:spacing w:line="520" w:lineRule="exact"/>
        <w:ind w:firstLine="480"/>
        <w:rPr>
          <w:color w:val="auto"/>
          <w:highlight w:val="none"/>
        </w:rPr>
      </w:pPr>
      <w:r>
        <w:rPr>
          <w:rFonts w:hint="eastAsia"/>
          <w:color w:val="auto"/>
          <w:highlight w:val="none"/>
        </w:rPr>
        <w:t>对谈判文件作出的实质性变动是谈判文件的有效组成部分，评审委员会应当将变动的内容书面通知所有参加谈判的供应商，做好书面记录。</w:t>
      </w:r>
    </w:p>
    <w:p>
      <w:pPr>
        <w:pStyle w:val="38"/>
        <w:numPr>
          <w:ilvl w:val="2"/>
          <w:numId w:val="41"/>
        </w:numPr>
        <w:spacing w:line="520" w:lineRule="exact"/>
        <w:ind w:firstLine="480"/>
        <w:rPr>
          <w:color w:val="auto"/>
          <w:highlight w:val="none"/>
        </w:rPr>
      </w:pPr>
      <w:r>
        <w:rPr>
          <w:rFonts w:hint="eastAsia"/>
          <w:color w:val="auto"/>
          <w:highlight w:val="none"/>
        </w:rPr>
        <w:t>评审委员会变动谈判文件的，应当要求供应商就变动的部分重新提交响应文件，并给予供应商重新提交响应文件的合理时间。</w:t>
      </w:r>
    </w:p>
    <w:p>
      <w:pPr>
        <w:pStyle w:val="38"/>
        <w:numPr>
          <w:ilvl w:val="2"/>
          <w:numId w:val="41"/>
        </w:numPr>
        <w:spacing w:line="520" w:lineRule="exact"/>
        <w:ind w:firstLine="480"/>
        <w:rPr>
          <w:color w:val="auto"/>
          <w:highlight w:val="none"/>
        </w:rPr>
      </w:pPr>
      <w:r>
        <w:rPr>
          <w:rFonts w:hint="eastAsia"/>
          <w:color w:val="auto"/>
          <w:highlight w:val="none"/>
        </w:rPr>
        <w:t>谈判过程中，评审委员会可以根据谈判情况调整轮次。</w:t>
      </w:r>
    </w:p>
    <w:p>
      <w:pPr>
        <w:pStyle w:val="38"/>
        <w:numPr>
          <w:ilvl w:val="2"/>
          <w:numId w:val="41"/>
        </w:numPr>
        <w:spacing w:line="520" w:lineRule="exact"/>
        <w:ind w:firstLine="480"/>
        <w:rPr>
          <w:color w:val="auto"/>
          <w:highlight w:val="none"/>
        </w:rPr>
      </w:pPr>
      <w:r>
        <w:rPr>
          <w:rFonts w:hint="eastAsia"/>
          <w:color w:val="auto"/>
          <w:highlight w:val="none"/>
        </w:rPr>
        <w:t>谈判过程中，供应商可以根据谈判情况变更其响应文件，并将变更内容形成书面材料送评审委员会。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pPr>
        <w:pStyle w:val="38"/>
        <w:numPr>
          <w:ilvl w:val="2"/>
          <w:numId w:val="41"/>
        </w:numPr>
        <w:spacing w:line="520" w:lineRule="exact"/>
        <w:ind w:firstLine="480"/>
        <w:rPr>
          <w:color w:val="auto"/>
          <w:highlight w:val="none"/>
        </w:rPr>
      </w:pPr>
      <w:r>
        <w:rPr>
          <w:rFonts w:hint="eastAsia"/>
          <w:color w:val="auto"/>
          <w:highlight w:val="none"/>
        </w:rPr>
        <w:t>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pStyle w:val="38"/>
        <w:numPr>
          <w:ilvl w:val="2"/>
          <w:numId w:val="41"/>
        </w:numPr>
        <w:spacing w:line="520" w:lineRule="exact"/>
        <w:ind w:firstLine="480"/>
        <w:rPr>
          <w:color w:val="auto"/>
          <w:highlight w:val="none"/>
        </w:rPr>
      </w:pPr>
      <w:r>
        <w:rPr>
          <w:rFonts w:hint="eastAsia"/>
          <w:color w:val="auto"/>
          <w:highlight w:val="none"/>
        </w:rPr>
        <w:t>供应商重新提交响应文件的，响应文件应当按照前款规定签字确认或者加盖公章，否则无效。</w:t>
      </w:r>
    </w:p>
    <w:p>
      <w:pPr>
        <w:pStyle w:val="38"/>
        <w:numPr>
          <w:ilvl w:val="2"/>
          <w:numId w:val="41"/>
        </w:numPr>
        <w:spacing w:line="520" w:lineRule="exact"/>
        <w:ind w:firstLine="480"/>
        <w:rPr>
          <w:color w:val="auto"/>
          <w:highlight w:val="none"/>
        </w:rPr>
      </w:pPr>
      <w:r>
        <w:rPr>
          <w:rFonts w:hint="eastAsia"/>
          <w:color w:val="auto"/>
          <w:highlight w:val="none"/>
        </w:rPr>
        <w:t>评审委员会经与供应商谈判和对供应商响应文件审查后，供应商响应文件未实质性响应谈判文件的，评审委员会应当对其响应文件按无效处理，并书面告知供应商，说明理由。</w:t>
      </w:r>
    </w:p>
    <w:p>
      <w:pPr>
        <w:pStyle w:val="38"/>
        <w:numPr>
          <w:ilvl w:val="2"/>
          <w:numId w:val="41"/>
        </w:numPr>
        <w:spacing w:line="520" w:lineRule="exact"/>
        <w:ind w:firstLine="480"/>
        <w:rPr>
          <w:color w:val="auto"/>
          <w:highlight w:val="none"/>
        </w:rPr>
      </w:pPr>
      <w:r>
        <w:rPr>
          <w:rFonts w:hint="eastAsia"/>
          <w:color w:val="auto"/>
          <w:highlight w:val="none"/>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pStyle w:val="51"/>
        <w:spacing w:line="520" w:lineRule="exact"/>
        <w:ind w:firstLine="482"/>
        <w:rPr>
          <w:color w:val="auto"/>
          <w:highlight w:val="none"/>
        </w:rPr>
      </w:pPr>
      <w:bookmarkStart w:id="482" w:name="_Toc5830"/>
      <w:bookmarkStart w:id="483" w:name="_Toc31150"/>
      <w:bookmarkStart w:id="484" w:name="_Toc13661"/>
      <w:bookmarkStart w:id="485" w:name="_Toc3315"/>
      <w:bookmarkStart w:id="486" w:name="_Toc12389"/>
      <w:bookmarkStart w:id="487" w:name="_Toc907"/>
      <w:bookmarkStart w:id="488" w:name="_Toc18298"/>
      <w:bookmarkStart w:id="489" w:name="_Toc13824"/>
      <w:bookmarkStart w:id="490" w:name="_Toc3128"/>
      <w:r>
        <w:rPr>
          <w:rFonts w:hint="eastAsia"/>
          <w:color w:val="auto"/>
          <w:highlight w:val="none"/>
        </w:rPr>
        <w:t>采购活动终止</w:t>
      </w:r>
      <w:bookmarkEnd w:id="482"/>
      <w:bookmarkEnd w:id="483"/>
      <w:bookmarkEnd w:id="484"/>
      <w:bookmarkEnd w:id="485"/>
      <w:bookmarkEnd w:id="486"/>
      <w:bookmarkEnd w:id="487"/>
      <w:bookmarkEnd w:id="488"/>
      <w:bookmarkEnd w:id="489"/>
      <w:bookmarkEnd w:id="490"/>
    </w:p>
    <w:p>
      <w:pPr>
        <w:pStyle w:val="48"/>
        <w:spacing w:line="520" w:lineRule="exact"/>
        <w:rPr>
          <w:color w:val="auto"/>
          <w:highlight w:val="none"/>
        </w:rPr>
      </w:pPr>
      <w:r>
        <w:rPr>
          <w:rFonts w:hint="eastAsia"/>
          <w:color w:val="auto"/>
          <w:highlight w:val="none"/>
        </w:rPr>
        <w:t>出现下列情形之一的，采购人或者采购代理机构应当终止竞争性谈判采购活动，发布项目终止公告并说明原因，重新开展采购活动：</w:t>
      </w:r>
    </w:p>
    <w:p>
      <w:pPr>
        <w:pStyle w:val="38"/>
        <w:numPr>
          <w:ilvl w:val="2"/>
          <w:numId w:val="42"/>
        </w:numPr>
        <w:spacing w:line="520" w:lineRule="exact"/>
        <w:ind w:firstLine="480"/>
        <w:rPr>
          <w:color w:val="auto"/>
          <w:highlight w:val="none"/>
        </w:rPr>
      </w:pPr>
      <w:r>
        <w:rPr>
          <w:rFonts w:hint="eastAsia"/>
          <w:color w:val="auto"/>
          <w:highlight w:val="none"/>
        </w:rPr>
        <w:t>因情况变化，不再符合规定的竞争性谈判采购方式适用情形的；</w:t>
      </w:r>
    </w:p>
    <w:p>
      <w:pPr>
        <w:pStyle w:val="38"/>
        <w:numPr>
          <w:ilvl w:val="2"/>
          <w:numId w:val="42"/>
        </w:numPr>
        <w:spacing w:line="520" w:lineRule="exact"/>
        <w:ind w:firstLine="480"/>
        <w:rPr>
          <w:color w:val="auto"/>
          <w:highlight w:val="none"/>
        </w:rPr>
      </w:pPr>
      <w:r>
        <w:rPr>
          <w:rFonts w:hint="eastAsia"/>
          <w:color w:val="auto"/>
          <w:highlight w:val="none"/>
        </w:rPr>
        <w:t>在采购过程中符合要求的供应商或者最后报价未超过采购预算或采购最高限价的供应商不足三家的；</w:t>
      </w:r>
    </w:p>
    <w:p>
      <w:pPr>
        <w:pStyle w:val="38"/>
        <w:numPr>
          <w:ilvl w:val="2"/>
          <w:numId w:val="42"/>
        </w:numPr>
        <w:spacing w:line="520" w:lineRule="exact"/>
        <w:ind w:firstLine="480"/>
        <w:rPr>
          <w:color w:val="auto"/>
          <w:highlight w:val="none"/>
        </w:rPr>
      </w:pPr>
      <w:r>
        <w:rPr>
          <w:rFonts w:hint="eastAsia"/>
          <w:color w:val="auto"/>
          <w:highlight w:val="none"/>
        </w:rPr>
        <w:t>出现影响采购公正的违法、违规行为的；</w:t>
      </w:r>
    </w:p>
    <w:p>
      <w:pPr>
        <w:pStyle w:val="38"/>
        <w:numPr>
          <w:ilvl w:val="2"/>
          <w:numId w:val="42"/>
        </w:numPr>
        <w:spacing w:line="520" w:lineRule="exact"/>
        <w:ind w:firstLine="480"/>
        <w:rPr>
          <w:color w:val="auto"/>
          <w:highlight w:val="none"/>
        </w:rPr>
      </w:pPr>
      <w:r>
        <w:rPr>
          <w:rFonts w:hint="eastAsia"/>
          <w:color w:val="auto"/>
          <w:highlight w:val="none"/>
        </w:rPr>
        <w:t>其他无法继续开展谈判或者无法成交的情形。</w:t>
      </w:r>
    </w:p>
    <w:p>
      <w:pPr>
        <w:pStyle w:val="49"/>
        <w:spacing w:line="520" w:lineRule="exact"/>
        <w:ind w:firstLine="482"/>
        <w:rPr>
          <w:color w:val="auto"/>
          <w:highlight w:val="none"/>
        </w:rPr>
      </w:pPr>
      <w:r>
        <w:rPr>
          <w:rFonts w:hint="eastAsia"/>
          <w:color w:val="auto"/>
          <w:highlight w:val="none"/>
        </w:rPr>
        <w:t>注：终止后，采购代理机构应在“中国招标投标公共服务平台”公告，并公告终止的情形。</w:t>
      </w:r>
    </w:p>
    <w:p>
      <w:pPr>
        <w:pStyle w:val="51"/>
        <w:spacing w:line="520" w:lineRule="exact"/>
        <w:ind w:firstLine="482"/>
        <w:rPr>
          <w:color w:val="auto"/>
          <w:highlight w:val="none"/>
        </w:rPr>
      </w:pPr>
      <w:bookmarkStart w:id="491" w:name="_Toc20047"/>
      <w:bookmarkStart w:id="492" w:name="_Toc30281"/>
      <w:bookmarkStart w:id="493" w:name="_Toc3405"/>
      <w:bookmarkStart w:id="494" w:name="_Toc23592"/>
      <w:bookmarkStart w:id="495" w:name="_Toc20703"/>
      <w:bookmarkStart w:id="496" w:name="_Toc26617"/>
      <w:bookmarkStart w:id="497" w:name="_Toc15316"/>
      <w:bookmarkStart w:id="498" w:name="_Toc21421"/>
      <w:bookmarkStart w:id="499" w:name="_Toc26359"/>
      <w:r>
        <w:rPr>
          <w:rFonts w:hint="eastAsia"/>
          <w:color w:val="auto"/>
          <w:highlight w:val="none"/>
        </w:rPr>
        <w:t>报价</w:t>
      </w:r>
      <w:bookmarkEnd w:id="491"/>
      <w:bookmarkEnd w:id="492"/>
      <w:bookmarkEnd w:id="493"/>
      <w:bookmarkEnd w:id="494"/>
      <w:bookmarkEnd w:id="495"/>
      <w:bookmarkEnd w:id="496"/>
      <w:bookmarkEnd w:id="497"/>
      <w:bookmarkEnd w:id="498"/>
      <w:bookmarkEnd w:id="499"/>
    </w:p>
    <w:p>
      <w:pPr>
        <w:pStyle w:val="38"/>
        <w:numPr>
          <w:ilvl w:val="2"/>
          <w:numId w:val="43"/>
        </w:numPr>
        <w:spacing w:line="520" w:lineRule="exact"/>
        <w:ind w:firstLine="480"/>
        <w:rPr>
          <w:color w:val="auto"/>
          <w:highlight w:val="none"/>
        </w:rPr>
      </w:pPr>
      <w:r>
        <w:rPr>
          <w:rFonts w:hint="eastAsia"/>
          <w:color w:val="auto"/>
          <w:highlight w:val="none"/>
        </w:rPr>
        <w:t>谈判结束后，谈判小组应当要求所有实质性响应的供应商在规定时间内提交最后报价，提交最后报价的供应商不得少于3家。已提交响应文件的供应商，在提交最后报价之前，可以根据谈判情况退出谈判。</w:t>
      </w:r>
    </w:p>
    <w:p>
      <w:pPr>
        <w:pStyle w:val="38"/>
        <w:numPr>
          <w:ilvl w:val="2"/>
          <w:numId w:val="43"/>
        </w:numPr>
        <w:spacing w:line="520" w:lineRule="exact"/>
        <w:ind w:firstLine="480"/>
        <w:rPr>
          <w:color w:val="auto"/>
          <w:highlight w:val="none"/>
        </w:rPr>
      </w:pPr>
      <w:r>
        <w:rPr>
          <w:rFonts w:hint="eastAsia"/>
          <w:color w:val="auto"/>
          <w:highlight w:val="none"/>
        </w:rPr>
        <w:t>供应商进行现场报价，应当在评审室外填写报价单，密封递交采购人、采购代理机构工作人员，由采购人、采购代理机构工作人员收齐后集中递交评审委员会。采购人、采购代理机构工作人员不能拆封供应商报价单。两轮(若有)以上报价的，供应商在未提高响应文件中承诺的产品及其服务质量的情况下，其最后报价不得高于对该项目之前的报价，否则，谈判小组应当对其响应文件按无效处理，并书面告知供应商，说明理由。</w:t>
      </w:r>
    </w:p>
    <w:p>
      <w:pPr>
        <w:pStyle w:val="38"/>
        <w:numPr>
          <w:ilvl w:val="2"/>
          <w:numId w:val="43"/>
        </w:numPr>
        <w:spacing w:line="520" w:lineRule="exact"/>
        <w:ind w:firstLine="480"/>
        <w:rPr>
          <w:color w:val="auto"/>
          <w:highlight w:val="none"/>
        </w:rPr>
      </w:pPr>
      <w:r>
        <w:rPr>
          <w:rFonts w:hint="eastAsia"/>
          <w:color w:val="auto"/>
          <w:highlight w:val="none"/>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pStyle w:val="38"/>
        <w:numPr>
          <w:ilvl w:val="2"/>
          <w:numId w:val="43"/>
        </w:numPr>
        <w:spacing w:line="520" w:lineRule="exact"/>
        <w:ind w:firstLine="480"/>
        <w:rPr>
          <w:color w:val="auto"/>
          <w:highlight w:val="none"/>
        </w:rPr>
      </w:pPr>
      <w:r>
        <w:rPr>
          <w:rFonts w:hint="eastAsia"/>
          <w:color w:val="auto"/>
          <w:highlight w:val="none"/>
        </w:rPr>
        <w:t>小微企业、监狱企业、残疾人福利性单位按照本项目谈判须知表中规定进行价格调整。</w:t>
      </w:r>
    </w:p>
    <w:p>
      <w:pPr>
        <w:pStyle w:val="38"/>
        <w:numPr>
          <w:ilvl w:val="2"/>
          <w:numId w:val="43"/>
        </w:numPr>
        <w:spacing w:line="520" w:lineRule="exact"/>
        <w:ind w:firstLine="480"/>
        <w:rPr>
          <w:color w:val="auto"/>
          <w:highlight w:val="none"/>
        </w:rPr>
      </w:pPr>
      <w:r>
        <w:rPr>
          <w:rFonts w:hint="eastAsia"/>
          <w:color w:val="auto"/>
          <w:highlight w:val="none"/>
        </w:rPr>
        <w:t>因落实采购政策进行价格调整的，以调整后的价格计算谈判最后报价。</w:t>
      </w:r>
    </w:p>
    <w:p>
      <w:pPr>
        <w:pStyle w:val="38"/>
        <w:numPr>
          <w:ilvl w:val="2"/>
          <w:numId w:val="43"/>
        </w:numPr>
        <w:spacing w:line="520" w:lineRule="exact"/>
        <w:ind w:firstLine="480"/>
        <w:rPr>
          <w:color w:val="auto"/>
          <w:highlight w:val="none"/>
        </w:rPr>
      </w:pPr>
      <w:r>
        <w:rPr>
          <w:rFonts w:hint="eastAsia"/>
          <w:color w:val="auto"/>
          <w:highlight w:val="none"/>
        </w:rPr>
        <w:t>响应文件中报价如果出现下列不一致的，可按以下原则进行修改：</w:t>
      </w:r>
    </w:p>
    <w:p>
      <w:pPr>
        <w:pStyle w:val="39"/>
        <w:numPr>
          <w:ilvl w:val="3"/>
          <w:numId w:val="43"/>
        </w:numPr>
        <w:spacing w:line="520" w:lineRule="exact"/>
        <w:ind w:firstLine="480"/>
        <w:rPr>
          <w:color w:val="auto"/>
          <w:highlight w:val="none"/>
        </w:rPr>
      </w:pPr>
      <w:r>
        <w:rPr>
          <w:rFonts w:hint="eastAsia"/>
          <w:color w:val="auto"/>
          <w:highlight w:val="none"/>
        </w:rPr>
        <w:t>大写金额和小写金额不一致的，以大写金额为准，但大写金额文字存在错误的，应当先对大写金额的文字错误进行澄清、说明或者更正，再行修正。</w:t>
      </w:r>
    </w:p>
    <w:p>
      <w:pPr>
        <w:pStyle w:val="39"/>
        <w:numPr>
          <w:ilvl w:val="3"/>
          <w:numId w:val="43"/>
        </w:numPr>
        <w:spacing w:line="520" w:lineRule="exact"/>
        <w:ind w:firstLine="480"/>
        <w:rPr>
          <w:color w:val="auto"/>
          <w:highlight w:val="none"/>
        </w:rPr>
      </w:pPr>
      <w:r>
        <w:rPr>
          <w:rFonts w:hint="eastAsia"/>
          <w:color w:val="auto"/>
          <w:highlight w:val="none"/>
        </w:rPr>
        <w:t>总价金额与按单价汇总金额不一致的，以单价金额计算结果为准，但单价或者单价汇总金额存在数字或者文字错误的，应当先对数字或者文字错误进行澄清、说明或者更正，再行修正。</w:t>
      </w:r>
    </w:p>
    <w:p>
      <w:pPr>
        <w:pStyle w:val="39"/>
        <w:numPr>
          <w:ilvl w:val="3"/>
          <w:numId w:val="43"/>
        </w:numPr>
        <w:spacing w:line="520" w:lineRule="exact"/>
        <w:ind w:firstLine="480"/>
        <w:rPr>
          <w:color w:val="auto"/>
          <w:highlight w:val="none"/>
        </w:rPr>
      </w:pPr>
      <w:r>
        <w:rPr>
          <w:rFonts w:hint="eastAsia"/>
          <w:color w:val="auto"/>
          <w:highlight w:val="none"/>
        </w:rPr>
        <w:t>单价金额小数点或者百分比有明显错位的，以总价为准，修正单价。</w:t>
      </w:r>
    </w:p>
    <w:p>
      <w:pPr>
        <w:pStyle w:val="39"/>
        <w:numPr>
          <w:ilvl w:val="3"/>
          <w:numId w:val="43"/>
        </w:numPr>
        <w:spacing w:line="520" w:lineRule="exact"/>
        <w:ind w:firstLine="480"/>
        <w:rPr>
          <w:color w:val="auto"/>
          <w:highlight w:val="none"/>
        </w:rPr>
      </w:pPr>
      <w:r>
        <w:rPr>
          <w:rFonts w:hint="eastAsia"/>
          <w:color w:val="auto"/>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51"/>
        <w:spacing w:line="520" w:lineRule="exact"/>
        <w:ind w:firstLine="482"/>
        <w:rPr>
          <w:color w:val="auto"/>
          <w:highlight w:val="none"/>
        </w:rPr>
      </w:pPr>
      <w:bookmarkStart w:id="500" w:name="_Toc13005"/>
      <w:bookmarkStart w:id="501" w:name="_Toc30328"/>
      <w:bookmarkStart w:id="502" w:name="_Toc27962"/>
      <w:bookmarkStart w:id="503" w:name="_Toc30852"/>
      <w:bookmarkStart w:id="504" w:name="_Toc1620"/>
      <w:bookmarkStart w:id="505" w:name="_Toc25869"/>
      <w:bookmarkStart w:id="506" w:name="_Toc1681"/>
      <w:bookmarkStart w:id="507" w:name="_Toc544"/>
      <w:bookmarkStart w:id="508" w:name="_Toc31523"/>
      <w:r>
        <w:rPr>
          <w:rFonts w:hint="eastAsia"/>
          <w:color w:val="auto"/>
          <w:highlight w:val="none"/>
        </w:rPr>
        <w:t>评审方法</w:t>
      </w:r>
      <w:bookmarkEnd w:id="500"/>
      <w:bookmarkEnd w:id="501"/>
      <w:bookmarkEnd w:id="502"/>
      <w:bookmarkEnd w:id="503"/>
      <w:bookmarkEnd w:id="504"/>
      <w:bookmarkEnd w:id="505"/>
      <w:bookmarkEnd w:id="506"/>
      <w:bookmarkEnd w:id="507"/>
      <w:bookmarkEnd w:id="508"/>
    </w:p>
    <w:p>
      <w:pPr>
        <w:pStyle w:val="48"/>
        <w:spacing w:line="520" w:lineRule="exact"/>
        <w:rPr>
          <w:color w:val="auto"/>
          <w:highlight w:val="none"/>
        </w:rPr>
      </w:pPr>
      <w:bookmarkStart w:id="509" w:name="_Toc15855"/>
      <w:bookmarkStart w:id="510" w:name="_Toc24622"/>
      <w:bookmarkStart w:id="511" w:name="_Toc31296"/>
      <w:bookmarkStart w:id="512" w:name="_Toc6219"/>
      <w:bookmarkStart w:id="513" w:name="_Toc19876"/>
      <w:r>
        <w:rPr>
          <w:rFonts w:hint="eastAsia"/>
          <w:color w:val="auto"/>
          <w:highlight w:val="none"/>
        </w:rPr>
        <w:t>以有效最后报价满足三家及以上且最后报价最低的供应商为成交人。</w:t>
      </w:r>
    </w:p>
    <w:p>
      <w:pPr>
        <w:pStyle w:val="51"/>
        <w:spacing w:line="520" w:lineRule="exact"/>
        <w:ind w:firstLine="482"/>
        <w:rPr>
          <w:color w:val="auto"/>
          <w:highlight w:val="none"/>
        </w:rPr>
      </w:pPr>
      <w:bookmarkStart w:id="514" w:name="_Toc24343"/>
      <w:bookmarkStart w:id="515" w:name="_Toc27673"/>
      <w:bookmarkStart w:id="516" w:name="_Toc24146"/>
      <w:bookmarkStart w:id="517" w:name="_Toc12165"/>
      <w:r>
        <w:rPr>
          <w:rFonts w:hint="eastAsia"/>
          <w:color w:val="auto"/>
          <w:highlight w:val="none"/>
        </w:rPr>
        <w:t>复核</w:t>
      </w:r>
      <w:bookmarkEnd w:id="509"/>
      <w:bookmarkEnd w:id="510"/>
      <w:bookmarkEnd w:id="511"/>
      <w:bookmarkEnd w:id="512"/>
      <w:bookmarkEnd w:id="513"/>
      <w:bookmarkEnd w:id="514"/>
      <w:bookmarkEnd w:id="515"/>
      <w:bookmarkEnd w:id="516"/>
      <w:bookmarkEnd w:id="517"/>
    </w:p>
    <w:p>
      <w:pPr>
        <w:pStyle w:val="38"/>
        <w:numPr>
          <w:ilvl w:val="2"/>
          <w:numId w:val="44"/>
        </w:numPr>
        <w:spacing w:line="520" w:lineRule="exact"/>
        <w:ind w:firstLine="480"/>
        <w:rPr>
          <w:color w:val="auto"/>
          <w:highlight w:val="none"/>
        </w:rPr>
      </w:pPr>
      <w:r>
        <w:rPr>
          <w:rFonts w:hint="eastAsia"/>
          <w:color w:val="auto"/>
          <w:highlight w:val="none"/>
        </w:rPr>
        <w:t>评审结果汇总完成后，评审委员会拟出具评审报告前，采购组织单位应当组织2名以上的本单位工作人员，在采购现场监督人员的监督之下，依据有关的法律制度和谈判文件对评审结果进行复核，出具复核报告。存在下列情形之一的，应当根据情况要求谈判小组现场修改谈判结果或者重新评审：</w:t>
      </w:r>
    </w:p>
    <w:p>
      <w:pPr>
        <w:pStyle w:val="39"/>
        <w:numPr>
          <w:ilvl w:val="3"/>
          <w:numId w:val="44"/>
        </w:numPr>
        <w:spacing w:line="520" w:lineRule="exact"/>
        <w:ind w:firstLine="480"/>
        <w:rPr>
          <w:color w:val="auto"/>
          <w:highlight w:val="none"/>
        </w:rPr>
      </w:pPr>
      <w:r>
        <w:rPr>
          <w:rFonts w:hint="eastAsia"/>
          <w:color w:val="auto"/>
          <w:highlight w:val="none"/>
        </w:rPr>
        <w:t>资格性审查认定错误的；</w:t>
      </w:r>
    </w:p>
    <w:p>
      <w:pPr>
        <w:pStyle w:val="39"/>
        <w:numPr>
          <w:ilvl w:val="3"/>
          <w:numId w:val="44"/>
        </w:numPr>
        <w:spacing w:line="520" w:lineRule="exact"/>
        <w:ind w:firstLine="480"/>
        <w:rPr>
          <w:color w:val="auto"/>
          <w:highlight w:val="none"/>
        </w:rPr>
      </w:pPr>
      <w:r>
        <w:rPr>
          <w:rFonts w:hint="eastAsia"/>
          <w:color w:val="auto"/>
          <w:highlight w:val="none"/>
        </w:rPr>
        <w:t>价格计算错误；</w:t>
      </w:r>
    </w:p>
    <w:p>
      <w:pPr>
        <w:pStyle w:val="38"/>
        <w:numPr>
          <w:ilvl w:val="2"/>
          <w:numId w:val="44"/>
        </w:numPr>
        <w:spacing w:line="520" w:lineRule="exact"/>
        <w:ind w:firstLine="480"/>
        <w:rPr>
          <w:color w:val="auto"/>
          <w:highlight w:val="none"/>
        </w:rPr>
      </w:pPr>
      <w:r>
        <w:rPr>
          <w:rFonts w:hint="eastAsia"/>
          <w:color w:val="auto"/>
          <w:highlight w:val="none"/>
        </w:rPr>
        <w:t>采购代理机构复核过程中，谈判小组不得离开评审现场。</w:t>
      </w:r>
    </w:p>
    <w:p>
      <w:pPr>
        <w:pStyle w:val="38"/>
        <w:numPr>
          <w:ilvl w:val="2"/>
          <w:numId w:val="44"/>
        </w:numPr>
        <w:spacing w:line="520" w:lineRule="exact"/>
        <w:ind w:firstLine="480"/>
        <w:rPr>
          <w:color w:val="auto"/>
          <w:highlight w:val="none"/>
        </w:rPr>
      </w:pPr>
      <w:r>
        <w:rPr>
          <w:rFonts w:hint="eastAsia"/>
          <w:color w:val="auto"/>
          <w:highlight w:val="none"/>
        </w:rPr>
        <w:t>存在本条上述规定情形的，由谈判小组自主决定是否采纳采购代理机构的书面建议，并承担独立评审责任。谈判小组采纳采购代理机构书面建议的，应当按照规定现场修改谈判结果或者重新评审，并在评审报告中详细记载有关事宜；不采纳采购代理机构书面建议的，应当书面说明理由。采购代理机构书面建议未被谈判小组采纳的，应当按照规定程序要求继续组织实施采购活动，不得擅自中止采购活动。采购代理机构发现谈判小组未按照谈判文件规定的评审标准进行评审的，应当书面报告采购项目同级财政部门。</w:t>
      </w:r>
    </w:p>
    <w:p>
      <w:pPr>
        <w:pStyle w:val="38"/>
        <w:numPr>
          <w:ilvl w:val="2"/>
          <w:numId w:val="44"/>
        </w:numPr>
        <w:spacing w:line="520" w:lineRule="exact"/>
        <w:ind w:firstLine="480"/>
        <w:rPr>
          <w:color w:val="auto"/>
          <w:highlight w:val="none"/>
        </w:rPr>
      </w:pPr>
      <w:r>
        <w:rPr>
          <w:rFonts w:hint="eastAsia"/>
          <w:color w:val="auto"/>
          <w:highlight w:val="none"/>
        </w:rPr>
        <w:t>有下列情形之一的，不得修改谈判结果或者重新评审：</w:t>
      </w:r>
    </w:p>
    <w:p>
      <w:pPr>
        <w:pStyle w:val="39"/>
        <w:numPr>
          <w:ilvl w:val="3"/>
          <w:numId w:val="44"/>
        </w:numPr>
        <w:spacing w:line="520" w:lineRule="exact"/>
        <w:ind w:firstLine="480"/>
        <w:rPr>
          <w:color w:val="auto"/>
          <w:highlight w:val="none"/>
        </w:rPr>
      </w:pPr>
      <w:r>
        <w:rPr>
          <w:rFonts w:hint="eastAsia"/>
          <w:color w:val="auto"/>
          <w:highlight w:val="none"/>
        </w:rPr>
        <w:t>谈判小组已经出具评审报告并且离开评审现场的；</w:t>
      </w:r>
    </w:p>
    <w:p>
      <w:pPr>
        <w:pStyle w:val="39"/>
        <w:numPr>
          <w:ilvl w:val="3"/>
          <w:numId w:val="44"/>
        </w:numPr>
        <w:spacing w:line="520" w:lineRule="exact"/>
        <w:ind w:firstLine="480"/>
        <w:rPr>
          <w:color w:val="auto"/>
          <w:highlight w:val="none"/>
        </w:rPr>
      </w:pPr>
      <w:r>
        <w:rPr>
          <w:rFonts w:hint="eastAsia"/>
          <w:color w:val="auto"/>
          <w:highlight w:val="none"/>
        </w:rPr>
        <w:t>采购代理机构现场复核时，复核工作人员数量不足的；</w:t>
      </w:r>
    </w:p>
    <w:p>
      <w:pPr>
        <w:pStyle w:val="39"/>
        <w:numPr>
          <w:ilvl w:val="3"/>
          <w:numId w:val="44"/>
        </w:numPr>
        <w:spacing w:line="520" w:lineRule="exact"/>
        <w:ind w:firstLine="480"/>
        <w:rPr>
          <w:color w:val="auto"/>
          <w:highlight w:val="none"/>
        </w:rPr>
      </w:pPr>
      <w:r>
        <w:rPr>
          <w:rFonts w:hint="eastAsia"/>
          <w:color w:val="auto"/>
          <w:highlight w:val="none"/>
        </w:rPr>
        <w:t>采购代理机构现场复核时，没有采购监督人员现场监督的；</w:t>
      </w:r>
    </w:p>
    <w:p>
      <w:pPr>
        <w:pStyle w:val="39"/>
        <w:numPr>
          <w:ilvl w:val="3"/>
          <w:numId w:val="44"/>
        </w:numPr>
        <w:spacing w:line="520" w:lineRule="exact"/>
        <w:ind w:firstLine="480"/>
        <w:rPr>
          <w:color w:val="auto"/>
          <w:highlight w:val="none"/>
        </w:rPr>
      </w:pPr>
      <w:r>
        <w:rPr>
          <w:rFonts w:hint="eastAsia"/>
          <w:color w:val="auto"/>
          <w:highlight w:val="none"/>
        </w:rPr>
        <w:t>采购代理机构现场复核内容超出规定范围的；</w:t>
      </w:r>
    </w:p>
    <w:p>
      <w:pPr>
        <w:pStyle w:val="39"/>
        <w:numPr>
          <w:ilvl w:val="3"/>
          <w:numId w:val="44"/>
        </w:numPr>
        <w:spacing w:line="520" w:lineRule="exact"/>
        <w:ind w:firstLine="480"/>
        <w:rPr>
          <w:color w:val="auto"/>
          <w:highlight w:val="none"/>
        </w:rPr>
      </w:pPr>
      <w:r>
        <w:rPr>
          <w:rFonts w:hint="eastAsia"/>
          <w:color w:val="auto"/>
          <w:highlight w:val="none"/>
        </w:rPr>
        <w:t>采购代理机构未提供书面建议的。</w:t>
      </w:r>
    </w:p>
    <w:p>
      <w:pPr>
        <w:pStyle w:val="51"/>
        <w:spacing w:line="520" w:lineRule="exact"/>
        <w:ind w:firstLine="482"/>
        <w:rPr>
          <w:color w:val="auto"/>
          <w:highlight w:val="none"/>
        </w:rPr>
      </w:pPr>
      <w:bookmarkStart w:id="518" w:name="_Toc181"/>
      <w:bookmarkStart w:id="519" w:name="_Toc14845"/>
      <w:bookmarkStart w:id="520" w:name="_Toc23285"/>
      <w:bookmarkStart w:id="521" w:name="_Toc13017"/>
      <w:bookmarkStart w:id="522" w:name="_Toc12519"/>
      <w:bookmarkStart w:id="523" w:name="_Toc3648"/>
      <w:bookmarkStart w:id="524" w:name="_Toc30723"/>
      <w:bookmarkStart w:id="525" w:name="_Toc9477"/>
      <w:bookmarkStart w:id="526" w:name="_Toc8838"/>
      <w:bookmarkStart w:id="527" w:name="_Toc13378"/>
      <w:r>
        <w:rPr>
          <w:rFonts w:hint="eastAsia"/>
          <w:color w:val="auto"/>
          <w:highlight w:val="none"/>
        </w:rPr>
        <w:t>推荐成交候选供应商</w:t>
      </w:r>
      <w:bookmarkEnd w:id="518"/>
      <w:bookmarkEnd w:id="519"/>
      <w:bookmarkEnd w:id="520"/>
      <w:bookmarkEnd w:id="521"/>
      <w:bookmarkEnd w:id="522"/>
    </w:p>
    <w:p>
      <w:pPr>
        <w:pStyle w:val="48"/>
        <w:spacing w:line="520" w:lineRule="exact"/>
        <w:rPr>
          <w:color w:val="auto"/>
          <w:highlight w:val="none"/>
        </w:rPr>
      </w:pPr>
      <w:r>
        <w:rPr>
          <w:rFonts w:hint="eastAsia"/>
          <w:color w:val="auto"/>
          <w:highlight w:val="none"/>
        </w:rPr>
        <w:t>供应商报价评审结束后，评审委员会应当按照供应商的报价由低到高顺序提出3名(含3名)以上成交候选供应商。报价相同且企业性质相同的并列，由采购人自主采取公平、择优的方式选择成交候选供应商。</w:t>
      </w:r>
    </w:p>
    <w:p>
      <w:pPr>
        <w:pStyle w:val="51"/>
        <w:spacing w:line="520" w:lineRule="exact"/>
        <w:ind w:firstLine="482"/>
        <w:rPr>
          <w:color w:val="auto"/>
          <w:highlight w:val="none"/>
        </w:rPr>
      </w:pPr>
      <w:bookmarkStart w:id="528" w:name="_Toc16550"/>
      <w:bookmarkStart w:id="529" w:name="_Toc4265"/>
      <w:bookmarkStart w:id="530" w:name="_Toc13111"/>
      <w:bookmarkStart w:id="531" w:name="_Toc31896"/>
      <w:r>
        <w:rPr>
          <w:rFonts w:hint="eastAsia"/>
          <w:color w:val="auto"/>
          <w:highlight w:val="none"/>
        </w:rPr>
        <w:t>评审报告</w:t>
      </w:r>
      <w:bookmarkEnd w:id="523"/>
      <w:bookmarkEnd w:id="524"/>
      <w:bookmarkEnd w:id="525"/>
      <w:bookmarkEnd w:id="526"/>
      <w:bookmarkEnd w:id="527"/>
      <w:bookmarkEnd w:id="528"/>
      <w:bookmarkEnd w:id="529"/>
      <w:bookmarkEnd w:id="530"/>
      <w:bookmarkEnd w:id="531"/>
    </w:p>
    <w:p>
      <w:pPr>
        <w:pStyle w:val="38"/>
        <w:numPr>
          <w:ilvl w:val="2"/>
          <w:numId w:val="45"/>
        </w:numPr>
        <w:spacing w:line="520" w:lineRule="exact"/>
        <w:ind w:firstLine="480"/>
        <w:rPr>
          <w:color w:val="auto"/>
          <w:highlight w:val="none"/>
        </w:rPr>
      </w:pPr>
      <w:r>
        <w:rPr>
          <w:rFonts w:hint="eastAsia"/>
          <w:color w:val="auto"/>
          <w:highlight w:val="none"/>
        </w:rPr>
        <w:t>谈判小组应当按照供应商的报价由低到高排序，推荐3名以上成交候选供应商，并编写评审报告。供应商报价相同的，由评审委员会组织供应商抽签确定推荐的成交候选供应商顺序。</w:t>
      </w:r>
    </w:p>
    <w:p>
      <w:pPr>
        <w:pStyle w:val="38"/>
        <w:numPr>
          <w:ilvl w:val="2"/>
          <w:numId w:val="45"/>
        </w:numPr>
        <w:spacing w:line="520" w:lineRule="exact"/>
        <w:ind w:firstLine="480"/>
        <w:rPr>
          <w:color w:val="auto"/>
          <w:highlight w:val="none"/>
        </w:rPr>
      </w:pPr>
      <w:r>
        <w:rPr>
          <w:rFonts w:hint="eastAsia"/>
          <w:color w:val="auto"/>
          <w:highlight w:val="none"/>
        </w:rPr>
        <w:t>出具评审报告。评审委员会推荐成交候选供应商后，应当向采购组织单位出具评审报告。评审报告应当包括下列内容：</w:t>
      </w:r>
    </w:p>
    <w:p>
      <w:pPr>
        <w:pStyle w:val="39"/>
        <w:numPr>
          <w:ilvl w:val="3"/>
          <w:numId w:val="45"/>
        </w:numPr>
        <w:spacing w:line="520" w:lineRule="exact"/>
        <w:ind w:firstLine="480"/>
        <w:rPr>
          <w:color w:val="auto"/>
          <w:highlight w:val="none"/>
        </w:rPr>
      </w:pPr>
      <w:r>
        <w:rPr>
          <w:rFonts w:hint="eastAsia"/>
          <w:color w:val="auto"/>
          <w:highlight w:val="none"/>
        </w:rPr>
        <w:t>邀请供应商参加采购活动的具体方式和相关情况，以及参加采购活动的供应商名单；</w:t>
      </w:r>
    </w:p>
    <w:p>
      <w:pPr>
        <w:pStyle w:val="39"/>
        <w:numPr>
          <w:ilvl w:val="3"/>
          <w:numId w:val="45"/>
        </w:numPr>
        <w:spacing w:line="520" w:lineRule="exact"/>
        <w:ind w:firstLine="480"/>
        <w:rPr>
          <w:color w:val="auto"/>
          <w:highlight w:val="none"/>
        </w:rPr>
      </w:pPr>
      <w:r>
        <w:rPr>
          <w:rFonts w:hint="eastAsia"/>
          <w:color w:val="auto"/>
          <w:highlight w:val="none"/>
        </w:rPr>
        <w:t>评审日期和地点，评审委员会成员名单；</w:t>
      </w:r>
    </w:p>
    <w:p>
      <w:pPr>
        <w:pStyle w:val="39"/>
        <w:numPr>
          <w:ilvl w:val="3"/>
          <w:numId w:val="45"/>
        </w:numPr>
        <w:spacing w:line="520" w:lineRule="exact"/>
        <w:ind w:firstLine="480"/>
        <w:rPr>
          <w:color w:val="auto"/>
          <w:highlight w:val="none"/>
        </w:rPr>
      </w:pPr>
      <w:r>
        <w:rPr>
          <w:rFonts w:hint="eastAsia"/>
          <w:color w:val="auto"/>
          <w:highlight w:val="none"/>
        </w:rPr>
        <w:t>参加报价的供应商名单及报价情况和未参加报价的供应商名单及原因；</w:t>
      </w:r>
    </w:p>
    <w:p>
      <w:pPr>
        <w:pStyle w:val="39"/>
        <w:numPr>
          <w:ilvl w:val="3"/>
          <w:numId w:val="45"/>
        </w:numPr>
        <w:spacing w:line="520" w:lineRule="exact"/>
        <w:ind w:firstLine="480"/>
        <w:rPr>
          <w:color w:val="auto"/>
          <w:highlight w:val="none"/>
        </w:rPr>
      </w:pPr>
      <w:r>
        <w:rPr>
          <w:rFonts w:hint="eastAsia"/>
          <w:color w:val="auto"/>
          <w:highlight w:val="none"/>
        </w:rPr>
        <w:t>谈判文件规定的采购项目实质性要求及变动谈判文件实质性内容的有关资料及记录；</w:t>
      </w:r>
    </w:p>
    <w:p>
      <w:pPr>
        <w:pStyle w:val="39"/>
        <w:numPr>
          <w:ilvl w:val="3"/>
          <w:numId w:val="45"/>
        </w:numPr>
        <w:spacing w:line="520" w:lineRule="exact"/>
        <w:ind w:firstLine="480"/>
        <w:rPr>
          <w:color w:val="auto"/>
          <w:highlight w:val="none"/>
        </w:rPr>
      </w:pPr>
      <w:r>
        <w:rPr>
          <w:rFonts w:hint="eastAsia"/>
          <w:color w:val="auto"/>
          <w:highlight w:val="none"/>
        </w:rPr>
        <w:t>供应商响应文件响应谈判文件实质性要求情况及供应商变动响应文件有关资料及记录；</w:t>
      </w:r>
    </w:p>
    <w:p>
      <w:pPr>
        <w:pStyle w:val="39"/>
        <w:numPr>
          <w:ilvl w:val="3"/>
          <w:numId w:val="45"/>
        </w:numPr>
        <w:spacing w:line="520" w:lineRule="exact"/>
        <w:ind w:firstLine="480"/>
        <w:rPr>
          <w:color w:val="auto"/>
          <w:highlight w:val="none"/>
        </w:rPr>
      </w:pPr>
      <w:r>
        <w:rPr>
          <w:rFonts w:hint="eastAsia"/>
          <w:color w:val="auto"/>
          <w:highlight w:val="none"/>
        </w:rPr>
        <w:t>评审情况记录和说明，包括对供应商的资格审查情况、供应商响应文件评审情况、谈判情况、报价情况等；</w:t>
      </w:r>
    </w:p>
    <w:p>
      <w:pPr>
        <w:pStyle w:val="39"/>
        <w:numPr>
          <w:ilvl w:val="3"/>
          <w:numId w:val="45"/>
        </w:numPr>
        <w:spacing w:line="520" w:lineRule="exact"/>
        <w:ind w:firstLine="480"/>
        <w:rPr>
          <w:color w:val="auto"/>
          <w:highlight w:val="none"/>
        </w:rPr>
      </w:pPr>
      <w:r>
        <w:rPr>
          <w:rFonts w:hint="eastAsia"/>
          <w:color w:val="auto"/>
          <w:highlight w:val="none"/>
        </w:rPr>
        <w:t>提出的成交候选人的名单及理由。</w:t>
      </w:r>
    </w:p>
    <w:p>
      <w:pPr>
        <w:pStyle w:val="38"/>
        <w:numPr>
          <w:ilvl w:val="2"/>
          <w:numId w:val="45"/>
        </w:numPr>
        <w:spacing w:line="520" w:lineRule="exact"/>
        <w:ind w:firstLine="480"/>
        <w:rPr>
          <w:color w:val="auto"/>
          <w:highlight w:val="none"/>
        </w:rPr>
      </w:pPr>
      <w:r>
        <w:rPr>
          <w:rFonts w:hint="eastAsia"/>
          <w:color w:val="auto"/>
          <w:highlight w:val="none"/>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50"/>
        <w:numPr>
          <w:ilvl w:val="0"/>
          <w:numId w:val="34"/>
        </w:numPr>
        <w:spacing w:before="120" w:after="120"/>
        <w:rPr>
          <w:color w:val="auto"/>
          <w:highlight w:val="none"/>
        </w:rPr>
      </w:pPr>
      <w:r>
        <w:rPr>
          <w:rFonts w:hint="eastAsia"/>
          <w:color w:val="auto"/>
          <w:highlight w:val="none"/>
        </w:rPr>
        <w:br w:type="page"/>
      </w:r>
      <w:bookmarkEnd w:id="429"/>
      <w:bookmarkStart w:id="532" w:name="_Toc19263"/>
      <w:r>
        <w:rPr>
          <w:rFonts w:hint="eastAsia"/>
          <w:color w:val="auto"/>
          <w:highlight w:val="none"/>
        </w:rPr>
        <w:t>采购合同</w:t>
      </w:r>
      <w:bookmarkEnd w:id="532"/>
    </w:p>
    <w:p>
      <w:pPr>
        <w:pStyle w:val="48"/>
        <w:rPr>
          <w:color w:val="auto"/>
          <w:highlight w:val="none"/>
        </w:rPr>
      </w:pPr>
    </w:p>
    <w:p>
      <w:pPr>
        <w:wordWrap w:val="0"/>
        <w:autoSpaceDE w:val="0"/>
        <w:autoSpaceDN w:val="0"/>
        <w:jc w:val="center"/>
        <w:rPr>
          <w:rFonts w:cs="宋体"/>
          <w:b/>
          <w:bCs/>
          <w:color w:val="auto"/>
          <w:kern w:val="0"/>
          <w:sz w:val="40"/>
          <w:szCs w:val="40"/>
          <w:highlight w:val="none"/>
          <w:lang w:bidi="zh-CN"/>
        </w:rPr>
      </w:pPr>
      <w:bookmarkStart w:id="533" w:name="_Toc28848"/>
    </w:p>
    <w:p>
      <w:pPr>
        <w:wordWrap w:val="0"/>
        <w:autoSpaceDE w:val="0"/>
        <w:autoSpaceDN w:val="0"/>
        <w:jc w:val="center"/>
        <w:rPr>
          <w:rFonts w:cs="宋体"/>
          <w:b/>
          <w:bCs/>
          <w:color w:val="auto"/>
          <w:kern w:val="0"/>
          <w:sz w:val="40"/>
          <w:szCs w:val="40"/>
          <w:highlight w:val="none"/>
          <w:lang w:bidi="zh-CN"/>
        </w:rPr>
      </w:pPr>
    </w:p>
    <w:p>
      <w:pPr>
        <w:wordWrap w:val="0"/>
        <w:autoSpaceDE w:val="0"/>
        <w:autoSpaceDN w:val="0"/>
        <w:jc w:val="center"/>
        <w:rPr>
          <w:rFonts w:cs="宋体"/>
          <w:b/>
          <w:bCs/>
          <w:color w:val="auto"/>
          <w:kern w:val="0"/>
          <w:sz w:val="40"/>
          <w:szCs w:val="40"/>
          <w:highlight w:val="none"/>
          <w:lang w:bidi="zh-CN"/>
        </w:rPr>
      </w:pPr>
    </w:p>
    <w:p>
      <w:pPr>
        <w:wordWrap w:val="0"/>
        <w:autoSpaceDE w:val="0"/>
        <w:autoSpaceDN w:val="0"/>
        <w:jc w:val="center"/>
        <w:rPr>
          <w:rFonts w:cs="宋体"/>
          <w:b/>
          <w:bCs/>
          <w:color w:val="auto"/>
          <w:kern w:val="0"/>
          <w:sz w:val="40"/>
          <w:szCs w:val="40"/>
          <w:highlight w:val="none"/>
          <w:lang w:bidi="zh-CN"/>
        </w:rPr>
      </w:pPr>
    </w:p>
    <w:p>
      <w:pPr>
        <w:autoSpaceDE w:val="0"/>
        <w:autoSpaceDN w:val="0"/>
        <w:spacing w:line="520" w:lineRule="exact"/>
        <w:jc w:val="center"/>
        <w:rPr>
          <w:rFonts w:cs="宋体"/>
          <w:b/>
          <w:bCs/>
          <w:color w:val="auto"/>
          <w:kern w:val="0"/>
          <w:sz w:val="32"/>
          <w:szCs w:val="32"/>
          <w:highlight w:val="none"/>
          <w:lang w:bidi="zh-CN"/>
        </w:rPr>
      </w:pPr>
    </w:p>
    <w:p>
      <w:pPr>
        <w:autoSpaceDE w:val="0"/>
        <w:autoSpaceDN w:val="0"/>
        <w:spacing w:line="520" w:lineRule="exact"/>
        <w:jc w:val="center"/>
        <w:rPr>
          <w:rFonts w:cs="宋体"/>
          <w:b/>
          <w:bCs/>
          <w:color w:val="auto"/>
          <w:kern w:val="0"/>
          <w:sz w:val="32"/>
          <w:szCs w:val="32"/>
          <w:highlight w:val="none"/>
          <w:lang w:bidi="zh-CN"/>
        </w:rPr>
      </w:pPr>
    </w:p>
    <w:p>
      <w:pPr>
        <w:autoSpaceDE w:val="0"/>
        <w:autoSpaceDN w:val="0"/>
        <w:spacing w:line="520" w:lineRule="exact"/>
        <w:jc w:val="center"/>
        <w:rPr>
          <w:rFonts w:cs="宋体"/>
          <w:b/>
          <w:bCs/>
          <w:color w:val="auto"/>
          <w:kern w:val="0"/>
          <w:sz w:val="32"/>
          <w:szCs w:val="32"/>
          <w:highlight w:val="none"/>
          <w:lang w:bidi="zh-CN"/>
        </w:rPr>
      </w:pPr>
    </w:p>
    <w:p>
      <w:pPr>
        <w:autoSpaceDE w:val="0"/>
        <w:autoSpaceDN w:val="0"/>
        <w:spacing w:line="520" w:lineRule="exact"/>
        <w:jc w:val="center"/>
        <w:rPr>
          <w:rFonts w:cs="宋体"/>
          <w:b/>
          <w:bCs/>
          <w:color w:val="auto"/>
          <w:kern w:val="0"/>
          <w:sz w:val="32"/>
          <w:szCs w:val="32"/>
          <w:highlight w:val="none"/>
          <w:lang w:bidi="zh-CN"/>
        </w:rPr>
      </w:pPr>
    </w:p>
    <w:p>
      <w:pPr>
        <w:autoSpaceDE w:val="0"/>
        <w:autoSpaceDN w:val="0"/>
        <w:spacing w:line="520" w:lineRule="exact"/>
        <w:jc w:val="center"/>
        <w:rPr>
          <w:rFonts w:cs="宋体"/>
          <w:color w:val="auto"/>
          <w:kern w:val="0"/>
          <w:sz w:val="32"/>
          <w:szCs w:val="32"/>
          <w:highlight w:val="none"/>
          <w:lang w:bidi="zh-CN"/>
        </w:rPr>
      </w:pPr>
      <w:r>
        <w:rPr>
          <w:rFonts w:hint="eastAsia" w:cs="宋体"/>
          <w:b/>
          <w:bCs/>
          <w:color w:val="auto"/>
          <w:kern w:val="0"/>
          <w:sz w:val="32"/>
          <w:szCs w:val="32"/>
          <w:highlight w:val="none"/>
          <w:lang w:bidi="zh-CN"/>
        </w:rPr>
        <w:t>成都市技师学院沥青路面维修工程</w:t>
      </w:r>
    </w:p>
    <w:p>
      <w:pPr>
        <w:wordWrap w:val="0"/>
        <w:autoSpaceDE w:val="0"/>
        <w:autoSpaceDN w:val="0"/>
        <w:spacing w:line="520" w:lineRule="exact"/>
        <w:ind w:firstLine="640" w:firstLineChars="200"/>
        <w:jc w:val="center"/>
        <w:rPr>
          <w:rFonts w:cs="宋体"/>
          <w:color w:val="auto"/>
          <w:sz w:val="32"/>
          <w:szCs w:val="32"/>
          <w:highlight w:val="none"/>
          <w:lang w:bidi="zh-CN"/>
        </w:rPr>
      </w:pPr>
    </w:p>
    <w:p>
      <w:pPr>
        <w:wordWrap w:val="0"/>
        <w:autoSpaceDE w:val="0"/>
        <w:autoSpaceDN w:val="0"/>
        <w:spacing w:line="520" w:lineRule="exact"/>
        <w:ind w:firstLine="640" w:firstLineChars="200"/>
        <w:jc w:val="center"/>
        <w:rPr>
          <w:rFonts w:cs="宋体"/>
          <w:color w:val="auto"/>
          <w:kern w:val="0"/>
          <w:sz w:val="32"/>
          <w:szCs w:val="32"/>
          <w:highlight w:val="none"/>
          <w:lang w:bidi="zh-CN"/>
        </w:rPr>
      </w:pPr>
    </w:p>
    <w:p>
      <w:pPr>
        <w:wordWrap w:val="0"/>
        <w:autoSpaceDE w:val="0"/>
        <w:autoSpaceDN w:val="0"/>
        <w:spacing w:line="520" w:lineRule="exact"/>
        <w:jc w:val="center"/>
        <w:rPr>
          <w:rFonts w:cs="宋体"/>
          <w:b/>
          <w:bCs/>
          <w:color w:val="auto"/>
          <w:kern w:val="0"/>
          <w:sz w:val="32"/>
          <w:szCs w:val="32"/>
          <w:highlight w:val="none"/>
          <w:lang w:bidi="zh-CN"/>
        </w:rPr>
      </w:pPr>
      <w:r>
        <w:rPr>
          <w:rFonts w:hint="eastAsia" w:cs="宋体"/>
          <w:b/>
          <w:bCs/>
          <w:color w:val="auto"/>
          <w:kern w:val="0"/>
          <w:sz w:val="32"/>
          <w:szCs w:val="32"/>
          <w:highlight w:val="none"/>
          <w:lang w:bidi="zh-CN"/>
        </w:rPr>
        <w:t>工 程 施 工 合 同</w:t>
      </w:r>
    </w:p>
    <w:p>
      <w:pPr>
        <w:wordWrap w:val="0"/>
        <w:autoSpaceDE w:val="0"/>
        <w:autoSpaceDN w:val="0"/>
        <w:spacing w:line="520" w:lineRule="exact"/>
        <w:ind w:firstLine="480" w:firstLineChars="200"/>
        <w:rPr>
          <w:rFonts w:cs="宋体"/>
          <w:color w:val="auto"/>
          <w:highlight w:val="none"/>
          <w:lang w:bidi="zh-CN"/>
        </w:rPr>
      </w:pPr>
    </w:p>
    <w:p>
      <w:pPr>
        <w:wordWrap w:val="0"/>
        <w:autoSpaceDE w:val="0"/>
        <w:autoSpaceDN w:val="0"/>
        <w:spacing w:line="520" w:lineRule="exact"/>
        <w:ind w:firstLine="480" w:firstLineChars="200"/>
        <w:rPr>
          <w:rFonts w:cs="宋体"/>
          <w:color w:val="auto"/>
          <w:kern w:val="0"/>
          <w:highlight w:val="none"/>
          <w:lang w:bidi="zh-CN"/>
        </w:rPr>
      </w:pPr>
    </w:p>
    <w:p>
      <w:pPr>
        <w:wordWrap w:val="0"/>
        <w:autoSpaceDE w:val="0"/>
        <w:autoSpaceDN w:val="0"/>
        <w:spacing w:line="520" w:lineRule="exact"/>
        <w:ind w:firstLine="480" w:firstLineChars="200"/>
        <w:rPr>
          <w:rFonts w:cs="宋体"/>
          <w:color w:val="auto"/>
          <w:highlight w:val="none"/>
          <w:lang w:bidi="zh-CN"/>
        </w:rPr>
      </w:pPr>
    </w:p>
    <w:p>
      <w:pPr>
        <w:wordWrap w:val="0"/>
        <w:autoSpaceDE w:val="0"/>
        <w:autoSpaceDN w:val="0"/>
        <w:spacing w:line="520" w:lineRule="exact"/>
        <w:ind w:firstLine="480" w:firstLineChars="200"/>
        <w:rPr>
          <w:rFonts w:cs="宋体"/>
          <w:color w:val="auto"/>
          <w:kern w:val="0"/>
          <w:highlight w:val="none"/>
          <w:lang w:bidi="zh-CN"/>
        </w:rPr>
      </w:pPr>
    </w:p>
    <w:p>
      <w:pPr>
        <w:wordWrap w:val="0"/>
        <w:autoSpaceDE w:val="0"/>
        <w:autoSpaceDN w:val="0"/>
        <w:spacing w:line="520" w:lineRule="exact"/>
        <w:ind w:firstLine="480" w:firstLineChars="200"/>
        <w:rPr>
          <w:rFonts w:cs="宋体"/>
          <w:color w:val="auto"/>
          <w:kern w:val="0"/>
          <w:highlight w:val="none"/>
          <w:lang w:bidi="zh-CN"/>
        </w:rPr>
      </w:pPr>
    </w:p>
    <w:p>
      <w:pPr>
        <w:wordWrap w:val="0"/>
        <w:autoSpaceDE w:val="0"/>
        <w:autoSpaceDN w:val="0"/>
        <w:spacing w:line="520" w:lineRule="exact"/>
        <w:ind w:firstLine="480" w:firstLineChars="200"/>
        <w:rPr>
          <w:rFonts w:cs="宋体"/>
          <w:color w:val="auto"/>
          <w:highlight w:val="none"/>
          <w:lang w:bidi="zh-CN"/>
        </w:rPr>
      </w:pPr>
    </w:p>
    <w:p>
      <w:pPr>
        <w:autoSpaceDE w:val="0"/>
        <w:autoSpaceDN w:val="0"/>
        <w:spacing w:line="520" w:lineRule="exact"/>
        <w:ind w:firstLine="1440" w:firstLineChars="600"/>
        <w:rPr>
          <w:rFonts w:cs="宋体"/>
          <w:color w:val="auto"/>
          <w:kern w:val="0"/>
          <w:highlight w:val="none"/>
          <w:lang w:bidi="zh-CN"/>
        </w:rPr>
      </w:pPr>
      <w:r>
        <w:rPr>
          <w:rFonts w:hint="eastAsia" w:cs="宋体"/>
          <w:color w:val="auto"/>
          <w:kern w:val="0"/>
          <w:highlight w:val="none"/>
          <w:lang w:bidi="zh-CN"/>
        </w:rPr>
        <w:t>甲方(发包人)：成都市技师学院</w:t>
      </w:r>
    </w:p>
    <w:p>
      <w:pPr>
        <w:wordWrap w:val="0"/>
        <w:autoSpaceDE w:val="0"/>
        <w:autoSpaceDN w:val="0"/>
        <w:spacing w:line="520" w:lineRule="exact"/>
        <w:ind w:firstLine="480" w:firstLineChars="200"/>
        <w:rPr>
          <w:rFonts w:cs="宋体"/>
          <w:color w:val="auto"/>
          <w:kern w:val="0"/>
          <w:highlight w:val="none"/>
          <w:lang w:bidi="zh-CN"/>
        </w:rPr>
      </w:pPr>
    </w:p>
    <w:p>
      <w:pPr>
        <w:wordWrap w:val="0"/>
        <w:autoSpaceDE w:val="0"/>
        <w:autoSpaceDN w:val="0"/>
        <w:spacing w:line="520" w:lineRule="exact"/>
        <w:ind w:firstLine="1440" w:firstLineChars="600"/>
        <w:rPr>
          <w:rFonts w:cs="宋体"/>
          <w:color w:val="auto"/>
          <w:kern w:val="0"/>
          <w:highlight w:val="none"/>
          <w:lang w:bidi="zh-CN"/>
        </w:rPr>
      </w:pPr>
      <w:r>
        <w:rPr>
          <w:rFonts w:hint="eastAsia" w:cs="宋体"/>
          <w:color w:val="auto"/>
          <w:kern w:val="0"/>
          <w:highlight w:val="none"/>
          <w:lang w:bidi="zh-CN"/>
        </w:rPr>
        <w:t>乙方(承包人)：xxxxxx公司</w:t>
      </w:r>
    </w:p>
    <w:p>
      <w:pPr>
        <w:wordWrap w:val="0"/>
        <w:autoSpaceDE w:val="0"/>
        <w:autoSpaceDN w:val="0"/>
        <w:spacing w:line="520" w:lineRule="exact"/>
        <w:ind w:firstLine="480" w:firstLineChars="200"/>
        <w:rPr>
          <w:rFonts w:cs="宋体"/>
          <w:color w:val="auto"/>
          <w:kern w:val="0"/>
          <w:highlight w:val="none"/>
          <w:lang w:bidi="zh-CN"/>
        </w:rPr>
      </w:pPr>
    </w:p>
    <w:p>
      <w:pPr>
        <w:wordWrap w:val="0"/>
        <w:autoSpaceDE w:val="0"/>
        <w:autoSpaceDN w:val="0"/>
        <w:spacing w:line="520" w:lineRule="exact"/>
        <w:ind w:firstLine="1440" w:firstLineChars="600"/>
        <w:rPr>
          <w:rFonts w:cs="宋体"/>
          <w:color w:val="auto"/>
          <w:kern w:val="0"/>
          <w:highlight w:val="none"/>
          <w:lang w:bidi="zh-CN"/>
        </w:rPr>
      </w:pPr>
      <w:r>
        <w:rPr>
          <w:rFonts w:hint="eastAsia" w:cs="宋体"/>
          <w:color w:val="auto"/>
          <w:kern w:val="0"/>
          <w:highlight w:val="none"/>
          <w:lang w:bidi="zh-CN"/>
        </w:rPr>
        <w:t>合同编号：xxxxxxxx</w:t>
      </w:r>
    </w:p>
    <w:p>
      <w:pPr>
        <w:wordWrap w:val="0"/>
        <w:autoSpaceDE w:val="0"/>
        <w:autoSpaceDN w:val="0"/>
        <w:spacing w:line="520" w:lineRule="exact"/>
        <w:ind w:firstLine="480" w:firstLineChars="200"/>
        <w:rPr>
          <w:rFonts w:cs="宋体"/>
          <w:color w:val="auto"/>
          <w:kern w:val="0"/>
          <w:highlight w:val="none"/>
          <w:lang w:bidi="zh-CN"/>
        </w:rPr>
      </w:pPr>
    </w:p>
    <w:p>
      <w:pPr>
        <w:wordWrap w:val="0"/>
        <w:autoSpaceDE w:val="0"/>
        <w:autoSpaceDN w:val="0"/>
        <w:spacing w:line="520" w:lineRule="exact"/>
        <w:ind w:firstLine="1440" w:firstLineChars="600"/>
        <w:rPr>
          <w:rFonts w:cs="宋体"/>
          <w:color w:val="auto"/>
          <w:kern w:val="0"/>
          <w:highlight w:val="none"/>
          <w:lang w:val="zh-CN" w:bidi="zh-CN"/>
        </w:rPr>
      </w:pPr>
      <w:r>
        <w:rPr>
          <w:rFonts w:hint="eastAsia" w:cs="宋体"/>
          <w:color w:val="auto"/>
          <w:kern w:val="0"/>
          <w:highlight w:val="none"/>
          <w:lang w:bidi="zh-CN"/>
        </w:rPr>
        <w:t xml:space="preserve">签订时间：   年 月  日 </w:t>
      </w:r>
      <w:r>
        <w:rPr>
          <w:rFonts w:hint="eastAsia" w:cs="宋体"/>
          <w:color w:val="auto"/>
          <w:kern w:val="0"/>
          <w:highlight w:val="none"/>
          <w:lang w:val="zh-CN" w:bidi="zh-CN"/>
        </w:rPr>
        <w:br w:type="page"/>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项目名称：成都市技师学院沥青路面维修工程</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签订地点：成都市郫都区港通北三路成都市技师学院</w:t>
      </w:r>
    </w:p>
    <w:p>
      <w:pPr>
        <w:wordWrap w:val="0"/>
        <w:autoSpaceDE w:val="0"/>
        <w:autoSpaceDN w:val="0"/>
        <w:spacing w:line="520" w:lineRule="exact"/>
        <w:ind w:firstLine="480" w:firstLineChars="200"/>
        <w:rPr>
          <w:rFonts w:cs="宋体"/>
          <w:color w:val="auto"/>
          <w:kern w:val="0"/>
          <w:highlight w:val="none"/>
          <w:lang w:bidi="zh-CN"/>
        </w:rPr>
      </w:pPr>
      <w:r>
        <w:rPr>
          <w:rFonts w:hint="eastAsia" w:cs="宋体"/>
          <w:color w:val="auto"/>
          <w:kern w:val="0"/>
          <w:highlight w:val="none"/>
          <w:lang w:bidi="zh-CN"/>
        </w:rPr>
        <w:t xml:space="preserve">甲方(采购人)：成都市技师学院          </w:t>
      </w:r>
    </w:p>
    <w:p>
      <w:pPr>
        <w:wordWrap w:val="0"/>
        <w:autoSpaceDE w:val="0"/>
        <w:autoSpaceDN w:val="0"/>
        <w:spacing w:line="520" w:lineRule="exact"/>
        <w:ind w:firstLine="480" w:firstLineChars="200"/>
        <w:rPr>
          <w:rFonts w:cs="宋体"/>
          <w:color w:val="auto"/>
          <w:kern w:val="0"/>
          <w:highlight w:val="none"/>
          <w:lang w:bidi="zh-CN"/>
        </w:rPr>
      </w:pPr>
      <w:r>
        <w:rPr>
          <w:rFonts w:hint="eastAsia" w:cs="宋体"/>
          <w:color w:val="auto"/>
          <w:kern w:val="0"/>
          <w:highlight w:val="none"/>
          <w:lang w:bidi="zh-CN"/>
        </w:rPr>
        <w:t xml:space="preserve">乙方(供应商)：XXXXXX公司   </w:t>
      </w:r>
    </w:p>
    <w:p>
      <w:pPr>
        <w:wordWrap w:val="0"/>
        <w:autoSpaceDE w:val="0"/>
        <w:autoSpaceDN w:val="0"/>
        <w:spacing w:line="520" w:lineRule="exact"/>
        <w:ind w:firstLine="480" w:firstLineChars="200"/>
        <w:rPr>
          <w:rFonts w:cs="宋体"/>
          <w:color w:val="auto"/>
          <w:kern w:val="0"/>
          <w:highlight w:val="none"/>
          <w:lang w:bidi="zh-CN"/>
        </w:rPr>
      </w:pP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bidi="zh-CN"/>
        </w:rPr>
        <w:t>根据《中华人民共和国民法典》《中华人民共和国建筑法》、成都市技师学院沥青路面维修工程的《竞争性谈判文件》、乙方的《响应文件》及《成交通知书》，甲、乙双方同意签订本合同,</w:t>
      </w:r>
      <w:r>
        <w:rPr>
          <w:rFonts w:hint="eastAsia" w:cs="宋体"/>
          <w:color w:val="auto"/>
          <w:kern w:val="0"/>
          <w:highlight w:val="none"/>
          <w:lang w:val="zh-CN" w:bidi="zh-CN"/>
        </w:rPr>
        <w:t>共同遵守如下条款：</w:t>
      </w:r>
    </w:p>
    <w:p>
      <w:pPr>
        <w:wordWrap w:val="0"/>
        <w:autoSpaceDE w:val="0"/>
        <w:autoSpaceDN w:val="0"/>
        <w:spacing w:line="520" w:lineRule="exact"/>
        <w:ind w:firstLine="482" w:firstLineChars="200"/>
        <w:rPr>
          <w:rFonts w:cs="宋体"/>
          <w:b/>
          <w:color w:val="auto"/>
          <w:kern w:val="0"/>
          <w:highlight w:val="none"/>
          <w:lang w:val="zh-CN" w:bidi="zh-CN"/>
        </w:rPr>
      </w:pPr>
      <w:r>
        <w:rPr>
          <w:rFonts w:hint="eastAsia" w:cs="宋体"/>
          <w:b/>
          <w:color w:val="auto"/>
          <w:kern w:val="0"/>
          <w:highlight w:val="none"/>
          <w:lang w:val="zh-CN" w:bidi="zh-CN"/>
        </w:rPr>
        <w:t>一、工程概况</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1.工程名称：成都市技师学院沥青路面维修工程</w:t>
      </w:r>
    </w:p>
    <w:p>
      <w:pPr>
        <w:wordWrap w:val="0"/>
        <w:autoSpaceDE w:val="0"/>
        <w:autoSpaceDN w:val="0"/>
        <w:spacing w:line="520" w:lineRule="exact"/>
        <w:ind w:firstLine="480" w:firstLineChars="200"/>
        <w:rPr>
          <w:rFonts w:cs="宋体"/>
          <w:color w:val="auto"/>
          <w:kern w:val="0"/>
          <w:highlight w:val="none"/>
          <w:u w:val="single"/>
          <w:lang w:val="zh-CN" w:bidi="zh-CN"/>
        </w:rPr>
      </w:pPr>
      <w:r>
        <w:rPr>
          <w:rFonts w:hint="eastAsia" w:cs="宋体"/>
          <w:color w:val="auto"/>
          <w:kern w:val="0"/>
          <w:highlight w:val="none"/>
          <w:lang w:val="zh-CN" w:bidi="zh-CN"/>
        </w:rPr>
        <w:t>2.工程地点：成都市郫都区港通北三路1899号成都市技师学院</w:t>
      </w:r>
    </w:p>
    <w:p>
      <w:pPr>
        <w:wordWrap w:val="0"/>
        <w:autoSpaceDE w:val="0"/>
        <w:autoSpaceDN w:val="0"/>
        <w:spacing w:line="520" w:lineRule="exact"/>
        <w:ind w:firstLine="480" w:firstLineChars="200"/>
        <w:rPr>
          <w:rFonts w:cs="宋体"/>
          <w:color w:val="auto"/>
          <w:kern w:val="0"/>
          <w:highlight w:val="none"/>
          <w:lang w:bidi="zh-CN"/>
        </w:rPr>
      </w:pPr>
      <w:r>
        <w:rPr>
          <w:rFonts w:hint="eastAsia" w:cs="宋体"/>
          <w:color w:val="auto"/>
          <w:kern w:val="0"/>
          <w:highlight w:val="none"/>
          <w:lang w:val="zh-CN" w:bidi="zh-CN"/>
        </w:rPr>
        <w:t>3.资金来源：</w:t>
      </w:r>
      <w:r>
        <w:rPr>
          <w:rFonts w:hint="eastAsia" w:cs="宋体"/>
          <w:color w:val="auto"/>
          <w:kern w:val="0"/>
          <w:highlight w:val="none"/>
          <w:u w:val="single"/>
          <w:lang w:bidi="zh-CN"/>
        </w:rPr>
        <w:t xml:space="preserve">财政拨款 </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 xml:space="preserve">4.工程内容：清单内所有内容 </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5.工程承包范围：清单内所有内容</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bidi="zh-CN"/>
        </w:rPr>
        <w:t>6.</w:t>
      </w:r>
      <w:r>
        <w:rPr>
          <w:rFonts w:hint="eastAsia" w:cs="宋体"/>
          <w:color w:val="auto"/>
          <w:kern w:val="0"/>
          <w:highlight w:val="none"/>
          <w:lang w:val="zh-CN" w:bidi="zh-CN"/>
        </w:rPr>
        <w:t>工程概况：本工程为学校郫都校区沥青路面维修，主要包含部分沥青路面翻新、修补、路沿石安装等，详见工程量清单。</w:t>
      </w:r>
    </w:p>
    <w:p>
      <w:pPr>
        <w:wordWrap w:val="0"/>
        <w:autoSpaceDE w:val="0"/>
        <w:autoSpaceDN w:val="0"/>
        <w:spacing w:line="520" w:lineRule="exact"/>
        <w:ind w:firstLine="482" w:firstLineChars="200"/>
        <w:rPr>
          <w:rFonts w:cs="宋体"/>
          <w:b/>
          <w:color w:val="auto"/>
          <w:kern w:val="0"/>
          <w:highlight w:val="none"/>
          <w:lang w:bidi="zh-CN"/>
        </w:rPr>
      </w:pPr>
      <w:r>
        <w:rPr>
          <w:rFonts w:hint="eastAsia" w:cs="宋体"/>
          <w:b/>
          <w:color w:val="auto"/>
          <w:kern w:val="0"/>
          <w:highlight w:val="none"/>
          <w:lang w:val="zh-CN" w:bidi="zh-CN"/>
        </w:rPr>
        <w:t>二、合同工期</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bidi="zh-CN"/>
        </w:rPr>
        <w:t>1.</w:t>
      </w:r>
      <w:r>
        <w:rPr>
          <w:rFonts w:hint="eastAsia" w:cs="宋体"/>
          <w:color w:val="auto"/>
          <w:kern w:val="0"/>
          <w:highlight w:val="none"/>
          <w:lang w:val="zh-CN" w:bidi="zh-CN"/>
        </w:rPr>
        <w:t>工期总日历天数：</w:t>
      </w:r>
      <w:r>
        <w:rPr>
          <w:rFonts w:hint="eastAsia" w:cs="宋体"/>
          <w:color w:val="auto"/>
          <w:kern w:val="0"/>
          <w:highlight w:val="none"/>
          <w:u w:val="single"/>
          <w:lang w:bidi="zh-CN"/>
        </w:rPr>
        <w:t>15个</w:t>
      </w:r>
      <w:r>
        <w:rPr>
          <w:rFonts w:hint="eastAsia" w:cs="宋体"/>
          <w:color w:val="auto"/>
          <w:kern w:val="0"/>
          <w:highlight w:val="none"/>
          <w:u w:val="single"/>
          <w:lang w:val="zh-CN" w:bidi="zh-CN"/>
        </w:rPr>
        <w:t>日历天</w:t>
      </w:r>
      <w:r>
        <w:rPr>
          <w:rFonts w:hint="eastAsia" w:cs="宋体"/>
          <w:color w:val="auto"/>
          <w:kern w:val="0"/>
          <w:highlight w:val="none"/>
          <w:lang w:val="zh-CN" w:bidi="zh-CN"/>
        </w:rPr>
        <w:t>。</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bidi="zh-CN"/>
        </w:rPr>
        <w:t>2.</w:t>
      </w:r>
      <w:r>
        <w:rPr>
          <w:rFonts w:hint="eastAsia" w:cs="宋体"/>
          <w:color w:val="auto"/>
          <w:kern w:val="0"/>
          <w:highlight w:val="none"/>
          <w:lang w:val="zh-CN" w:bidi="zh-CN"/>
        </w:rPr>
        <w:t>乙方接到甲方书面通知(开工令)后开工，自收到开工令</w:t>
      </w:r>
      <w:r>
        <w:rPr>
          <w:rFonts w:hint="eastAsia" w:cs="宋体"/>
          <w:color w:val="auto"/>
          <w:kern w:val="0"/>
          <w:highlight w:val="none"/>
          <w:lang w:bidi="zh-CN"/>
        </w:rPr>
        <w:t>之日起15个</w:t>
      </w:r>
      <w:r>
        <w:rPr>
          <w:rFonts w:hint="eastAsia" w:cs="宋体"/>
          <w:color w:val="auto"/>
          <w:kern w:val="0"/>
          <w:highlight w:val="none"/>
          <w:lang w:val="zh-CN" w:bidi="zh-CN"/>
        </w:rPr>
        <w:t>日历天内竣工。</w:t>
      </w:r>
    </w:p>
    <w:p>
      <w:pPr>
        <w:wordWrap w:val="0"/>
        <w:autoSpaceDE w:val="0"/>
        <w:autoSpaceDN w:val="0"/>
        <w:spacing w:line="520" w:lineRule="exact"/>
        <w:ind w:firstLine="482" w:firstLineChars="200"/>
        <w:rPr>
          <w:rFonts w:cs="宋体"/>
          <w:b/>
          <w:color w:val="auto"/>
          <w:kern w:val="0"/>
          <w:highlight w:val="none"/>
          <w:lang w:val="zh-CN" w:bidi="zh-CN"/>
        </w:rPr>
      </w:pPr>
      <w:r>
        <w:rPr>
          <w:rFonts w:hint="eastAsia" w:cs="宋体"/>
          <w:b/>
          <w:color w:val="auto"/>
          <w:kern w:val="0"/>
          <w:highlight w:val="none"/>
          <w:lang w:val="zh-CN" w:bidi="zh-CN"/>
        </w:rPr>
        <w:t>三、工程质量要求</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1.</w:t>
      </w:r>
      <w:r>
        <w:rPr>
          <w:rFonts w:hint="eastAsia" w:cs="宋体"/>
          <w:color w:val="auto"/>
          <w:highlight w:val="none"/>
        </w:rPr>
        <w:t>工程质量达到国家现行《城镇道路工程施工与质量验收规范》（CJJ1-2008）合格标准</w:t>
      </w:r>
      <w:r>
        <w:rPr>
          <w:rFonts w:hint="eastAsia" w:cs="宋体"/>
          <w:bCs/>
          <w:color w:val="auto"/>
          <w:highlight w:val="none"/>
        </w:rPr>
        <w:t>，满足本项目工程量清单、项目特征、工程量清单编制说明</w:t>
      </w:r>
      <w:r>
        <w:rPr>
          <w:rFonts w:hint="eastAsia" w:cs="宋体"/>
          <w:color w:val="auto"/>
          <w:highlight w:val="none"/>
        </w:rPr>
        <w:t>。</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2.乙方所投材料及产品须满足国家标准要求，并且是全新的、未使用过的合格产品。</w:t>
      </w:r>
    </w:p>
    <w:p>
      <w:pPr>
        <w:wordWrap w:val="0"/>
        <w:autoSpaceDE w:val="0"/>
        <w:autoSpaceDN w:val="0"/>
        <w:spacing w:line="520" w:lineRule="exact"/>
        <w:ind w:firstLine="482" w:firstLineChars="200"/>
        <w:rPr>
          <w:rFonts w:cs="宋体"/>
          <w:b/>
          <w:color w:val="auto"/>
          <w:highlight w:val="none"/>
        </w:rPr>
      </w:pPr>
      <w:r>
        <w:rPr>
          <w:rFonts w:hint="eastAsia" w:cs="宋体"/>
          <w:b/>
          <w:color w:val="auto"/>
          <w:highlight w:val="none"/>
        </w:rPr>
        <w:t>四、安全责任</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1.工程在运输、安装、调试、施工等整个工程活动期间，在工程实施地点范围内，高空作业、道路运输等所有安全责任由乙方负责，并承担全部责任。</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2.乙方按有关规定，采取严格的安全措施，承担由于自身安全措施不力造成事故的赔偿等责任和因此发生的费用，非乙方责任造成的伤亡事故，由责任方承担责任和有关费用。</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3.发生重大伤亡事故，乙方应按有关规定立即上报有关部门并通知甲方，同时按政府有关部门要求处理。甲方为乙方的抢救工作提供必要条件。因处理伤亡事故产生的费用由事故责任方承担。</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4.乙方在动力设备、高电压线路、地下管道、密封防震车间、易燃易爆地段以及临时交通要道附近施工前，应向甲方提出安全保护措施，经监理和甲方批准后实施。</w:t>
      </w:r>
    </w:p>
    <w:p>
      <w:pPr>
        <w:wordWrap w:val="0"/>
        <w:autoSpaceDE w:val="0"/>
        <w:autoSpaceDN w:val="0"/>
        <w:spacing w:line="520" w:lineRule="exact"/>
        <w:ind w:firstLine="480" w:firstLineChars="200"/>
        <w:rPr>
          <w:rFonts w:cs="宋体"/>
          <w:color w:val="auto"/>
          <w:highlight w:val="none"/>
        </w:rPr>
      </w:pPr>
      <w:r>
        <w:rPr>
          <w:rFonts w:hint="eastAsia" w:cs="宋体"/>
          <w:bCs/>
          <w:color w:val="auto"/>
          <w:highlight w:val="none"/>
        </w:rPr>
        <w:t>5.乙方应制定突发事件处理预案，施工现场发生事故，乙方应立即响应，如未及时赶到处理相关事故，所造成的全部损失、责任由乙方承担。因乙方原因发生安全事故的，乙方除应承担赔偿责任外，甲方有权解除本合同，甲方不予退还乙方履约保证金，并要求乙方按本合同总款百分之十支付违约金。</w:t>
      </w:r>
    </w:p>
    <w:p>
      <w:pPr>
        <w:pStyle w:val="13"/>
        <w:spacing w:line="520" w:lineRule="exact"/>
        <w:ind w:firstLine="482" w:firstLineChars="200"/>
        <w:rPr>
          <w:rFonts w:ascii="宋体" w:cs="宋体"/>
          <w:b/>
          <w:bCs/>
          <w:color w:val="auto"/>
          <w:highlight w:val="none"/>
        </w:rPr>
      </w:pPr>
      <w:r>
        <w:rPr>
          <w:rFonts w:hint="eastAsia" w:ascii="宋体" w:cs="宋体"/>
          <w:b/>
          <w:bCs/>
          <w:color w:val="auto"/>
          <w:highlight w:val="none"/>
        </w:rPr>
        <w:t>五、材料及技术规范要求</w:t>
      </w:r>
    </w:p>
    <w:p>
      <w:pPr>
        <w:pStyle w:val="13"/>
        <w:spacing w:line="520" w:lineRule="exact"/>
        <w:ind w:firstLine="480" w:firstLineChars="200"/>
        <w:rPr>
          <w:rFonts w:ascii="宋体" w:cs="宋体"/>
          <w:bCs/>
          <w:color w:val="auto"/>
          <w:highlight w:val="none"/>
        </w:rPr>
      </w:pPr>
      <w:r>
        <w:rPr>
          <w:rFonts w:hint="eastAsia" w:ascii="宋体" w:cs="宋体"/>
          <w:bCs/>
          <w:color w:val="auto"/>
          <w:highlight w:val="none"/>
        </w:rPr>
        <w:t>1.工程材料由乙方负责采购。乙方为本项目提供的所有材料应符合现行的强制性国家相关标准、行业标准或工程所在地的地方性标准，以及相应规范、规程等。施工过程中及成果满足《城镇道路工程施工与质量验收规范》（CJJ1-2008）等国家标准。</w:t>
      </w:r>
    </w:p>
    <w:p>
      <w:pPr>
        <w:pStyle w:val="13"/>
        <w:spacing w:line="520" w:lineRule="exact"/>
        <w:ind w:firstLine="480" w:firstLineChars="200"/>
        <w:rPr>
          <w:rFonts w:ascii="宋体" w:cs="宋体"/>
          <w:bCs/>
          <w:color w:val="auto"/>
          <w:highlight w:val="none"/>
        </w:rPr>
      </w:pPr>
      <w:r>
        <w:rPr>
          <w:rFonts w:hint="eastAsia" w:ascii="宋体" w:cs="宋体"/>
          <w:bCs/>
          <w:color w:val="auto"/>
          <w:highlight w:val="none"/>
        </w:rPr>
        <w:t>2.乙方为本项目提供的所有材料中属于《国家强制性产品认证目录》范围内产品的，均通过国家强制性产品认证并取得认证证书。</w:t>
      </w:r>
    </w:p>
    <w:p>
      <w:pPr>
        <w:wordWrap w:val="0"/>
        <w:autoSpaceDE w:val="0"/>
        <w:autoSpaceDN w:val="0"/>
        <w:spacing w:line="520" w:lineRule="exact"/>
        <w:ind w:firstLine="482" w:firstLineChars="200"/>
        <w:rPr>
          <w:rFonts w:cs="宋体"/>
          <w:b/>
          <w:color w:val="auto"/>
          <w:highlight w:val="none"/>
        </w:rPr>
      </w:pPr>
      <w:r>
        <w:rPr>
          <w:rFonts w:hint="eastAsia" w:cs="宋体"/>
          <w:b/>
          <w:color w:val="auto"/>
          <w:highlight w:val="none"/>
        </w:rPr>
        <w:t>六、价格调整要求：</w:t>
      </w:r>
    </w:p>
    <w:p>
      <w:pPr>
        <w:wordWrap w:val="0"/>
        <w:autoSpaceDE w:val="0"/>
        <w:autoSpaceDN w:val="0"/>
        <w:spacing w:line="520" w:lineRule="exact"/>
        <w:ind w:firstLine="480" w:firstLineChars="200"/>
        <w:rPr>
          <w:rFonts w:cs="宋体"/>
          <w:b/>
          <w:color w:val="auto"/>
          <w:highlight w:val="none"/>
        </w:rPr>
      </w:pPr>
      <w:r>
        <w:rPr>
          <w:rFonts w:hint="eastAsia" w:cs="宋体"/>
          <w:color w:val="auto"/>
          <w:highlight w:val="none"/>
        </w:rPr>
        <w:t>1.本项目采用工程量清单综合单价法报价。</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2.本工程所有工程项目的工作内容应包含清单计价规范所列出的工作内容(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 xml:space="preserve">3.乙方应以工程量清单的项目特征描述为准；当施工中出现需求变更与工程量清单项目特征描述不一致时，甲乙方双方应按实际施工的项目特征依据合同约定重新确定综合单价。 </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4.工程量清单中所列工程量仅作为乙方投标时报价的共同基础，不能作为最终结算与支付的依据。最终结算以甲方与乙方共同确认的工程量为准。</w:t>
      </w:r>
    </w:p>
    <w:p>
      <w:pPr>
        <w:tabs>
          <w:tab w:val="left" w:pos="7665"/>
          <w:tab w:val="clear" w:pos="0"/>
        </w:tabs>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kern w:val="0"/>
          <w:highlight w:val="none"/>
          <w:lang w:bidi="zh-CN"/>
        </w:rPr>
        <w:t>5.甲方保留取消工程量清单中某些项目的权利。乙方须充分考虑此风险，在总价措施项目清单计价表相应项目中综合考虑，成交后不得以此作为理由提出任何形式的索赔和调整造价。</w:t>
      </w:r>
    </w:p>
    <w:p>
      <w:pPr>
        <w:wordWrap w:val="0"/>
        <w:autoSpaceDE w:val="0"/>
        <w:autoSpaceDN w:val="0"/>
        <w:spacing w:line="520" w:lineRule="exact"/>
        <w:ind w:firstLine="482" w:firstLineChars="200"/>
        <w:rPr>
          <w:rFonts w:cs="宋体"/>
          <w:b/>
          <w:bCs/>
          <w:color w:val="auto"/>
          <w:highlight w:val="none"/>
          <w:lang w:bidi="zh-CN"/>
        </w:rPr>
      </w:pPr>
      <w:r>
        <w:rPr>
          <w:rFonts w:hint="eastAsia" w:cs="宋体"/>
          <w:b/>
          <w:bCs/>
          <w:color w:val="auto"/>
          <w:highlight w:val="none"/>
          <w:lang w:bidi="zh-CN"/>
        </w:rPr>
        <w:t>七、漏项工程处理：</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color w:val="auto"/>
          <w:highlight w:val="none"/>
          <w:lang w:val="zh-CN" w:bidi="zh-CN"/>
        </w:rPr>
        <w:t>施工过程中，发现工程量清单存在漏项工程的，该漏项工程作为本项目的组成部分，使用暂列金支付；暂列金已使用完毕的，甲方和乙方可以参照《中华人民共和国政府采购法》的规定签订不超过成交金额百分之十的补充合同。</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关于变更估价的约定:</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除合同另有规定外，工程变更、设计变更、工程量清单漏项、新增项目的单价确定，按下列方法进行：</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(1)工程量清单中已有适用于变更工程的价格，按工程量清单中已有的价格确定。</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(2)工程量清单中只有类似于变更工程的价格，可参照类似价格确定。</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类似清单子目单价调整方式：</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承包人协商并报发包人同意后确定变更后的单价或合价；</w:t>
      </w:r>
    </w:p>
    <w:p>
      <w:pPr>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highlight w:val="none"/>
          <w:lang w:val="zh-CN" w:bidi="zh-CN"/>
        </w:rPr>
        <w:t>(3)工程量清单报价中没有适用或类似于变更工程的价格，则按《四川省建设工程工程量清单计价定额》（2020版）及配套文件的相关规定计算出该项目的综合单价后，按本工程扣除暂列金后的招标控制价与扣除暂列金后的承包人总报价总价同比例下浮(主要材料除外)，确定为该项目或漏项的最终结算综合单价。</w:t>
      </w:r>
    </w:p>
    <w:p>
      <w:pPr>
        <w:wordWrap w:val="0"/>
        <w:autoSpaceDE w:val="0"/>
        <w:autoSpaceDN w:val="0"/>
        <w:spacing w:line="520" w:lineRule="exact"/>
        <w:ind w:firstLine="482" w:firstLineChars="200"/>
        <w:rPr>
          <w:rFonts w:cs="宋体"/>
          <w:b/>
          <w:color w:val="auto"/>
          <w:kern w:val="0"/>
          <w:highlight w:val="none"/>
          <w:lang w:val="zh-CN" w:bidi="zh-CN"/>
        </w:rPr>
      </w:pPr>
      <w:r>
        <w:rPr>
          <w:rFonts w:hint="eastAsia" w:cs="宋体"/>
          <w:b/>
          <w:color w:val="auto"/>
          <w:kern w:val="0"/>
          <w:highlight w:val="none"/>
          <w:lang w:bidi="zh-CN"/>
        </w:rPr>
        <w:t>八、</w:t>
      </w:r>
      <w:r>
        <w:rPr>
          <w:rFonts w:hint="eastAsia" w:cs="宋体"/>
          <w:b/>
          <w:color w:val="auto"/>
          <w:kern w:val="0"/>
          <w:highlight w:val="none"/>
          <w:lang w:val="zh-CN" w:bidi="zh-CN"/>
        </w:rPr>
        <w:t>签约合同价与合同价格形式</w:t>
      </w:r>
    </w:p>
    <w:p>
      <w:pPr>
        <w:wordWrap w:val="0"/>
        <w:autoSpaceDE w:val="0"/>
        <w:autoSpaceDN w:val="0"/>
        <w:spacing w:line="520" w:lineRule="exact"/>
        <w:ind w:firstLine="480" w:firstLineChars="200"/>
        <w:rPr>
          <w:rFonts w:cs="宋体"/>
          <w:bCs/>
          <w:color w:val="auto"/>
          <w:highlight w:val="none"/>
          <w:u w:val="single"/>
          <w:lang w:val="zh-CN" w:bidi="zh-CN"/>
        </w:rPr>
      </w:pPr>
      <w:r>
        <w:rPr>
          <w:rFonts w:hint="eastAsia" w:cs="宋体"/>
          <w:bCs/>
          <w:color w:val="auto"/>
          <w:highlight w:val="none"/>
          <w:lang w:bidi="zh-CN"/>
        </w:rPr>
        <w:t>1.签约合同暂定价为人民币(大写)：XXXXXX</w:t>
      </w:r>
      <w:r>
        <w:rPr>
          <w:rFonts w:hint="eastAsia" w:cs="宋体"/>
          <w:bCs/>
          <w:color w:val="auto"/>
          <w:highlight w:val="none"/>
          <w:u w:val="single"/>
          <w:lang w:bidi="zh-CN"/>
        </w:rPr>
        <w:t>元</w:t>
      </w:r>
      <w:r>
        <w:rPr>
          <w:rFonts w:hint="eastAsia" w:cs="宋体"/>
          <w:bCs/>
          <w:color w:val="auto"/>
          <w:highlight w:val="none"/>
          <w:lang w:bidi="zh-CN"/>
        </w:rPr>
        <w:t xml:space="preserve">，即¥ </w:t>
      </w:r>
      <w:r>
        <w:rPr>
          <w:rFonts w:hint="eastAsia" w:cs="宋体"/>
          <w:bCs/>
          <w:color w:val="auto"/>
          <w:highlight w:val="none"/>
          <w:u w:val="single"/>
          <w:lang w:bidi="zh-CN"/>
        </w:rPr>
        <w:t>XXXXX</w:t>
      </w:r>
      <w:r>
        <w:rPr>
          <w:rFonts w:hint="eastAsia" w:cs="宋体"/>
          <w:bCs/>
          <w:color w:val="auto"/>
          <w:highlight w:val="none"/>
          <w:lang w:bidi="zh-CN"/>
        </w:rPr>
        <w:t>元，最终结算价以甲方与乙方共同确认的工程量为准。</w:t>
      </w:r>
    </w:p>
    <w:p>
      <w:pPr>
        <w:wordWrap w:val="0"/>
        <w:autoSpaceDE w:val="0"/>
        <w:autoSpaceDN w:val="0"/>
        <w:spacing w:line="520" w:lineRule="exact"/>
        <w:ind w:firstLine="480" w:firstLineChars="200"/>
        <w:rPr>
          <w:rFonts w:cs="宋体"/>
          <w:bCs/>
          <w:color w:val="auto"/>
          <w:highlight w:val="none"/>
          <w:u w:val="single"/>
          <w:lang w:val="zh-CN" w:bidi="zh-CN"/>
        </w:rPr>
      </w:pPr>
      <w:r>
        <w:rPr>
          <w:rFonts w:hint="eastAsia" w:cs="宋体"/>
          <w:bCs/>
          <w:color w:val="auto"/>
          <w:highlight w:val="none"/>
          <w:lang w:bidi="zh-CN"/>
        </w:rPr>
        <w:t>2.乙方账户信息：</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公司名称：XXXXX公司</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税    号：XXXXXX</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公司地址：XXXXXX</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电    话: XXXXXX</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开户银行：XXXXXX</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账    号：XXXXXX</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乙方保证所提供的收款账户信息准确、真实，若因账户信息错误导致甲方无法付款或错误付款，责任由乙方自行承担。</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3.</w:t>
      </w:r>
      <w:r>
        <w:rPr>
          <w:rFonts w:hint="eastAsia" w:cs="宋体"/>
          <w:bCs/>
          <w:color w:val="auto"/>
          <w:highlight w:val="none"/>
          <w:lang w:val="zh-CN" w:bidi="zh-CN"/>
        </w:rPr>
        <w:t>合同价格形式：固定综合单价合同。</w:t>
      </w:r>
      <w:r>
        <w:rPr>
          <w:rFonts w:hint="eastAsia" w:cs="宋体"/>
          <w:bCs/>
          <w:color w:val="auto"/>
          <w:highlight w:val="none"/>
          <w:lang w:bidi="zh-CN"/>
        </w:rPr>
        <w:t>其中：</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val="zh-CN" w:bidi="zh-CN"/>
        </w:rPr>
        <w:t>(1)安全文明施工费人民币(大写)：</w:t>
      </w:r>
      <w:r>
        <w:rPr>
          <w:rFonts w:hint="eastAsia" w:cs="宋体"/>
          <w:color w:val="auto"/>
          <w:highlight w:val="none"/>
          <w:u w:val="single"/>
        </w:rPr>
        <w:t>XXXXX</w:t>
      </w:r>
      <w:r>
        <w:rPr>
          <w:rFonts w:hint="eastAsia" w:cs="宋体"/>
          <w:bCs/>
          <w:color w:val="auto"/>
          <w:highlight w:val="none"/>
          <w:lang w:bidi="zh-CN"/>
        </w:rPr>
        <w:t xml:space="preserve">，即¥ </w:t>
      </w:r>
      <w:r>
        <w:rPr>
          <w:rFonts w:hint="eastAsia" w:cs="宋体"/>
          <w:bCs/>
          <w:color w:val="auto"/>
          <w:highlight w:val="none"/>
          <w:u w:val="single"/>
          <w:lang w:bidi="zh-CN"/>
        </w:rPr>
        <w:t>XXXX</w:t>
      </w:r>
      <w:r>
        <w:rPr>
          <w:rFonts w:hint="eastAsia" w:cs="宋体"/>
          <w:bCs/>
          <w:color w:val="auto"/>
          <w:highlight w:val="none"/>
          <w:lang w:bidi="zh-CN"/>
        </w:rPr>
        <w:t>元；</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val="zh-CN" w:bidi="zh-CN"/>
        </w:rPr>
        <w:t>(</w:t>
      </w:r>
      <w:r>
        <w:rPr>
          <w:rFonts w:hint="eastAsia" w:cs="宋体"/>
          <w:bCs/>
          <w:color w:val="auto"/>
          <w:highlight w:val="none"/>
          <w:lang w:bidi="zh-CN"/>
        </w:rPr>
        <w:t>2</w:t>
      </w:r>
      <w:r>
        <w:rPr>
          <w:rFonts w:hint="eastAsia" w:cs="宋体"/>
          <w:bCs/>
          <w:color w:val="auto"/>
          <w:highlight w:val="none"/>
          <w:lang w:val="zh-CN" w:bidi="zh-CN"/>
        </w:rPr>
        <w:t>)暂列金额人民币(大写)</w:t>
      </w:r>
      <w:r>
        <w:rPr>
          <w:rFonts w:hint="eastAsia" w:cs="宋体"/>
          <w:bCs/>
          <w:color w:val="auto"/>
          <w:highlight w:val="none"/>
          <w:lang w:bidi="zh-CN"/>
        </w:rPr>
        <w:t>：</w:t>
      </w:r>
      <w:r>
        <w:rPr>
          <w:rFonts w:hint="eastAsia" w:cs="宋体"/>
          <w:bCs/>
          <w:color w:val="auto"/>
          <w:highlight w:val="none"/>
          <w:u w:val="single"/>
          <w:lang w:bidi="zh-CN"/>
        </w:rPr>
        <w:t>XXXXX</w:t>
      </w:r>
      <w:r>
        <w:rPr>
          <w:rFonts w:hint="eastAsia" w:cs="宋体"/>
          <w:bCs/>
          <w:color w:val="auto"/>
          <w:highlight w:val="none"/>
          <w:lang w:bidi="zh-CN"/>
        </w:rPr>
        <w:t xml:space="preserve">，即¥ </w:t>
      </w:r>
      <w:r>
        <w:rPr>
          <w:rFonts w:hint="eastAsia" w:cs="宋体"/>
          <w:color w:val="auto"/>
          <w:highlight w:val="none"/>
          <w:u w:val="single"/>
        </w:rPr>
        <w:t>XXXX</w:t>
      </w:r>
      <w:r>
        <w:rPr>
          <w:rFonts w:hint="eastAsia" w:cs="宋体"/>
          <w:bCs/>
          <w:color w:val="auto"/>
          <w:highlight w:val="none"/>
          <w:lang w:bidi="zh-CN"/>
        </w:rPr>
        <w:t>元；</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val="zh-CN" w:bidi="zh-CN"/>
        </w:rPr>
        <w:t>(</w:t>
      </w:r>
      <w:r>
        <w:rPr>
          <w:rFonts w:hint="eastAsia" w:cs="宋体"/>
          <w:bCs/>
          <w:color w:val="auto"/>
          <w:highlight w:val="none"/>
          <w:lang w:bidi="zh-CN"/>
        </w:rPr>
        <w:t>3</w:t>
      </w:r>
      <w:r>
        <w:rPr>
          <w:rFonts w:hint="eastAsia" w:cs="宋体"/>
          <w:bCs/>
          <w:color w:val="auto"/>
          <w:highlight w:val="none"/>
          <w:lang w:val="zh-CN" w:bidi="zh-CN"/>
        </w:rPr>
        <w:t>)</w:t>
      </w:r>
      <w:r>
        <w:rPr>
          <w:rFonts w:hint="eastAsia" w:cs="宋体"/>
          <w:bCs/>
          <w:color w:val="auto"/>
          <w:highlight w:val="none"/>
          <w:lang w:bidi="zh-CN"/>
        </w:rPr>
        <w:t>规费人民币(大写)：</w:t>
      </w:r>
      <w:r>
        <w:rPr>
          <w:rFonts w:hint="eastAsia" w:cs="宋体"/>
          <w:bCs/>
          <w:color w:val="auto"/>
          <w:highlight w:val="none"/>
          <w:u w:val="single"/>
          <w:lang w:bidi="zh-CN"/>
        </w:rPr>
        <w:t>XXXXXX</w:t>
      </w:r>
      <w:r>
        <w:rPr>
          <w:rFonts w:hint="eastAsia" w:cs="宋体"/>
          <w:bCs/>
          <w:color w:val="auto"/>
          <w:highlight w:val="none"/>
          <w:lang w:bidi="zh-CN"/>
        </w:rPr>
        <w:t xml:space="preserve">，即¥ </w:t>
      </w:r>
      <w:r>
        <w:rPr>
          <w:rFonts w:hint="eastAsia" w:cs="宋体"/>
          <w:color w:val="auto"/>
          <w:highlight w:val="none"/>
          <w:u w:val="single"/>
        </w:rPr>
        <w:t>XXXXX</w:t>
      </w:r>
      <w:r>
        <w:rPr>
          <w:rFonts w:hint="eastAsia" w:cs="宋体"/>
          <w:bCs/>
          <w:color w:val="auto"/>
          <w:highlight w:val="none"/>
          <w:lang w:bidi="zh-CN"/>
        </w:rPr>
        <w:t>元；</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bidi="zh-CN"/>
        </w:rPr>
        <w:t>(4)专业工程暂估价金额人民币(大写)： /   元整，即¥    / 元整。</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bidi="zh-CN"/>
        </w:rPr>
        <w:t>4</w:t>
      </w:r>
      <w:r>
        <w:rPr>
          <w:rFonts w:hint="eastAsia" w:cs="宋体"/>
          <w:color w:val="auto"/>
          <w:highlight w:val="none"/>
          <w:lang w:val="zh-CN" w:bidi="zh-CN"/>
        </w:rPr>
        <w:t>.工程款分两次银行转账支付。</w:t>
      </w:r>
    </w:p>
    <w:p>
      <w:pPr>
        <w:wordWrap w:val="0"/>
        <w:autoSpaceDE w:val="0"/>
        <w:autoSpaceDN w:val="0"/>
        <w:spacing w:line="520" w:lineRule="exact"/>
        <w:ind w:firstLine="482" w:firstLineChars="200"/>
        <w:rPr>
          <w:rFonts w:cs="宋体"/>
          <w:color w:val="auto"/>
          <w:highlight w:val="none"/>
          <w:lang w:val="zh-CN" w:bidi="zh-CN"/>
        </w:rPr>
      </w:pPr>
      <w:r>
        <w:rPr>
          <w:rFonts w:hint="eastAsia" w:cs="宋体"/>
          <w:b/>
          <w:color w:val="auto"/>
          <w:highlight w:val="none"/>
          <w:lang w:val="zh-CN" w:bidi="zh-CN"/>
        </w:rPr>
        <w:t>第一次支付</w:t>
      </w:r>
      <w:r>
        <w:rPr>
          <w:rFonts w:hint="eastAsia" w:cs="宋体"/>
          <w:color w:val="auto"/>
          <w:highlight w:val="none"/>
          <w:lang w:val="zh-CN" w:bidi="zh-CN"/>
        </w:rPr>
        <w:t>：工程合同签订之日起，且自甲方收到乙方出具合法有效完整的等额完税发票之日起 15个日历天内，甲方支付（合同暂定价减暂列金）的40%的合同款。</w:t>
      </w:r>
    </w:p>
    <w:p>
      <w:pPr>
        <w:wordWrap w:val="0"/>
        <w:autoSpaceDE w:val="0"/>
        <w:autoSpaceDN w:val="0"/>
        <w:spacing w:line="520" w:lineRule="exact"/>
        <w:ind w:firstLine="482" w:firstLineChars="200"/>
        <w:rPr>
          <w:rFonts w:cs="宋体"/>
          <w:color w:val="auto"/>
          <w:highlight w:val="none"/>
          <w:lang w:val="zh-CN" w:bidi="zh-CN"/>
        </w:rPr>
      </w:pPr>
      <w:r>
        <w:rPr>
          <w:rFonts w:hint="eastAsia" w:cs="宋体"/>
          <w:b/>
          <w:color w:val="auto"/>
          <w:highlight w:val="none"/>
          <w:lang w:val="zh-CN" w:bidi="zh-CN"/>
        </w:rPr>
        <w:t>第二次支付</w:t>
      </w:r>
      <w:r>
        <w:rPr>
          <w:rFonts w:hint="eastAsia" w:cs="宋体"/>
          <w:color w:val="auto"/>
          <w:highlight w:val="none"/>
          <w:lang w:val="zh-CN" w:bidi="zh-CN"/>
        </w:rPr>
        <w:t>：工程验收合格后，乙方将结算资料整理后提交甲方，甲方及乙方双方共同确认工程结算价，最终以竣工结算审核报告为准。乙方提供有效增值税发票及请款报告后15个日历天内，支付至结算价的100%。</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5.</w:t>
      </w:r>
      <w:r>
        <w:rPr>
          <w:rFonts w:hint="eastAsia" w:cs="宋体"/>
          <w:color w:val="auto"/>
          <w:highlight w:val="none"/>
          <w:lang w:bidi="zh-CN"/>
        </w:rPr>
        <w:t>乙方</w:t>
      </w:r>
      <w:r>
        <w:rPr>
          <w:rFonts w:hint="eastAsia" w:cs="宋体"/>
          <w:color w:val="auto"/>
          <w:highlight w:val="none"/>
          <w:lang w:val="zh-CN" w:bidi="zh-CN"/>
        </w:rPr>
        <w:t>应自行支付工人工资和材料款，</w:t>
      </w:r>
      <w:r>
        <w:rPr>
          <w:rFonts w:hint="eastAsia" w:cs="宋体"/>
          <w:color w:val="auto"/>
          <w:highlight w:val="none"/>
          <w:lang w:bidi="zh-CN"/>
        </w:rPr>
        <w:t>甲方</w:t>
      </w:r>
      <w:r>
        <w:rPr>
          <w:rFonts w:hint="eastAsia" w:cs="宋体"/>
          <w:color w:val="auto"/>
          <w:highlight w:val="none"/>
          <w:lang w:val="zh-CN" w:bidi="zh-CN"/>
        </w:rPr>
        <w:t>不承担由于</w:t>
      </w:r>
      <w:r>
        <w:rPr>
          <w:rFonts w:hint="eastAsia" w:cs="宋体"/>
          <w:color w:val="auto"/>
          <w:highlight w:val="none"/>
          <w:lang w:bidi="zh-CN"/>
        </w:rPr>
        <w:t>乙方</w:t>
      </w:r>
      <w:r>
        <w:rPr>
          <w:rFonts w:hint="eastAsia" w:cs="宋体"/>
          <w:color w:val="auto"/>
          <w:highlight w:val="none"/>
          <w:lang w:val="zh-CN" w:bidi="zh-CN"/>
        </w:rPr>
        <w:t>未</w:t>
      </w:r>
      <w:r>
        <w:rPr>
          <w:rFonts w:hint="eastAsia" w:cs="宋体"/>
          <w:color w:val="auto"/>
          <w:highlight w:val="none"/>
          <w:lang w:bidi="zh-CN"/>
        </w:rPr>
        <w:t>支</w:t>
      </w:r>
      <w:r>
        <w:rPr>
          <w:rFonts w:hint="eastAsia" w:cs="宋体"/>
          <w:color w:val="auto"/>
          <w:highlight w:val="none"/>
          <w:lang w:val="zh-CN" w:bidi="zh-CN"/>
        </w:rPr>
        <w:t>付工人工资或材料款引起的一切法律责任和纠纷。</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6.</w:t>
      </w:r>
      <w:r>
        <w:rPr>
          <w:rFonts w:hint="eastAsia" w:cs="宋体"/>
          <w:color w:val="auto"/>
          <w:highlight w:val="none"/>
          <w:lang w:bidi="zh-CN"/>
        </w:rPr>
        <w:t>乙方</w:t>
      </w:r>
      <w:r>
        <w:rPr>
          <w:rFonts w:hint="eastAsia" w:cs="宋体"/>
          <w:color w:val="auto"/>
          <w:highlight w:val="none"/>
          <w:lang w:val="zh-CN" w:bidi="zh-CN"/>
        </w:rPr>
        <w:t>未提供有效增值税发票（普票）及请款报告的，</w:t>
      </w:r>
      <w:r>
        <w:rPr>
          <w:rFonts w:hint="eastAsia" w:cs="宋体"/>
          <w:color w:val="auto"/>
          <w:highlight w:val="none"/>
          <w:lang w:bidi="zh-CN"/>
        </w:rPr>
        <w:t>甲方</w:t>
      </w:r>
      <w:r>
        <w:rPr>
          <w:rFonts w:hint="eastAsia" w:cs="宋体"/>
          <w:color w:val="auto"/>
          <w:highlight w:val="none"/>
          <w:lang w:val="zh-CN" w:bidi="zh-CN"/>
        </w:rPr>
        <w:t>有权拒付，且不承担逾期付款的责任。</w:t>
      </w:r>
    </w:p>
    <w:p>
      <w:pPr>
        <w:wordWrap w:val="0"/>
        <w:autoSpaceDE w:val="0"/>
        <w:autoSpaceDN w:val="0"/>
        <w:spacing w:line="520" w:lineRule="exact"/>
        <w:ind w:firstLine="482" w:firstLineChars="200"/>
        <w:rPr>
          <w:rFonts w:cs="宋体"/>
          <w:b/>
          <w:bCs/>
          <w:color w:val="auto"/>
          <w:highlight w:val="none"/>
          <w:lang w:val="zh-CN" w:bidi="zh-CN"/>
        </w:rPr>
      </w:pPr>
      <w:r>
        <w:rPr>
          <w:rFonts w:hint="eastAsia" w:cs="宋体"/>
          <w:b/>
          <w:bCs/>
          <w:color w:val="auto"/>
          <w:highlight w:val="none"/>
          <w:lang w:bidi="zh-CN"/>
        </w:rPr>
        <w:t>九</w:t>
      </w:r>
      <w:r>
        <w:rPr>
          <w:rFonts w:hint="eastAsia" w:cs="宋体"/>
          <w:b/>
          <w:bCs/>
          <w:color w:val="auto"/>
          <w:highlight w:val="none"/>
          <w:lang w:val="zh-CN" w:bidi="zh-CN"/>
        </w:rPr>
        <w:t>、履约保证金</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1.履约保证金为</w:t>
      </w:r>
      <w:r>
        <w:rPr>
          <w:rFonts w:hint="eastAsia" w:cs="宋体"/>
          <w:color w:val="auto"/>
          <w:highlight w:val="none"/>
          <w:lang w:bidi="zh-CN"/>
        </w:rPr>
        <w:t>签约合同价的3%，即人民币（大写）：XXXXX，（</w:t>
      </w:r>
      <w:r>
        <w:rPr>
          <w:rFonts w:hint="eastAsia" w:cs="宋体"/>
          <w:bCs/>
          <w:color w:val="auto"/>
          <w:highlight w:val="none"/>
          <w:lang w:bidi="zh-CN"/>
        </w:rPr>
        <w:t xml:space="preserve">¥ </w:t>
      </w:r>
      <w:r>
        <w:rPr>
          <w:rFonts w:hint="eastAsia" w:cs="宋体"/>
          <w:color w:val="auto"/>
          <w:highlight w:val="none"/>
          <w:u w:val="single"/>
          <w:lang w:bidi="zh-CN"/>
        </w:rPr>
        <w:t>XXX</w:t>
      </w:r>
      <w:r>
        <w:rPr>
          <w:rFonts w:hint="eastAsia" w:cs="宋体"/>
          <w:color w:val="auto"/>
          <w:highlight w:val="none"/>
          <w:lang w:bidi="zh-CN"/>
        </w:rPr>
        <w:t>元）</w:t>
      </w:r>
      <w:r>
        <w:rPr>
          <w:rFonts w:hint="eastAsia" w:cs="宋体"/>
          <w:color w:val="auto"/>
          <w:highlight w:val="none"/>
          <w:lang w:val="zh-CN" w:bidi="zh-CN"/>
        </w:rPr>
        <w:t>，</w:t>
      </w:r>
      <w:r>
        <w:rPr>
          <w:rFonts w:hint="eastAsia" w:cs="宋体"/>
          <w:color w:val="auto"/>
          <w:highlight w:val="none"/>
          <w:lang w:bidi="zh-CN"/>
        </w:rPr>
        <w:t>乙方</w:t>
      </w:r>
      <w:r>
        <w:rPr>
          <w:rFonts w:hint="eastAsia" w:cs="宋体"/>
          <w:color w:val="auto"/>
          <w:highlight w:val="none"/>
          <w:lang w:val="zh-CN" w:bidi="zh-CN"/>
        </w:rPr>
        <w:t>应在成交通知书发出之日起合同签订前以银行转账、支票、汇票、本票等非现金形式向</w:t>
      </w:r>
      <w:r>
        <w:rPr>
          <w:rFonts w:hint="eastAsia" w:cs="宋体"/>
          <w:color w:val="auto"/>
          <w:highlight w:val="none"/>
          <w:lang w:bidi="zh-CN"/>
        </w:rPr>
        <w:t>甲方</w:t>
      </w:r>
      <w:r>
        <w:rPr>
          <w:rFonts w:hint="eastAsia" w:cs="宋体"/>
          <w:color w:val="auto"/>
          <w:highlight w:val="none"/>
          <w:lang w:val="zh-CN" w:bidi="zh-CN"/>
        </w:rPr>
        <w:t>提交履约保证金。</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2.工程竣工后，履约保证金自动转为本工程质量保证金。</w:t>
      </w:r>
      <w:r>
        <w:rPr>
          <w:rFonts w:hint="eastAsia" w:cs="宋体"/>
          <w:color w:val="auto"/>
          <w:highlight w:val="none"/>
          <w:lang w:bidi="zh-CN"/>
        </w:rPr>
        <w:t>项目履行</w:t>
      </w:r>
      <w:r>
        <w:rPr>
          <w:rFonts w:hint="eastAsia" w:cs="宋体"/>
          <w:color w:val="auto"/>
          <w:highlight w:val="none"/>
          <w:lang w:val="zh-CN" w:bidi="zh-CN"/>
        </w:rPr>
        <w:t>(含质保)完毕且验收合格后，10个日历天内无息退还乙方应退部分质保金。</w:t>
      </w:r>
    </w:p>
    <w:p>
      <w:pPr>
        <w:pStyle w:val="13"/>
        <w:spacing w:line="520" w:lineRule="exact"/>
        <w:ind w:firstLine="480" w:firstLineChars="200"/>
        <w:rPr>
          <w:rFonts w:ascii="宋体" w:cs="宋体"/>
          <w:color w:val="auto"/>
          <w:highlight w:val="none"/>
          <w:lang w:val="zh-CN" w:bidi="zh-CN"/>
        </w:rPr>
      </w:pPr>
      <w:r>
        <w:rPr>
          <w:rFonts w:hint="eastAsia" w:ascii="宋体" w:cs="宋体"/>
          <w:color w:val="auto"/>
          <w:highlight w:val="none"/>
          <w:lang w:val="zh-CN" w:bidi="zh-CN"/>
        </w:rPr>
        <w:t>1）</w:t>
      </w:r>
      <w:r>
        <w:rPr>
          <w:rFonts w:hint="eastAsia" w:ascii="宋体" w:cs="宋体"/>
          <w:color w:val="auto"/>
          <w:highlight w:val="none"/>
          <w:lang w:bidi="zh-CN"/>
        </w:rPr>
        <w:t>缺陷责任期为</w:t>
      </w:r>
      <w:r>
        <w:rPr>
          <w:rFonts w:hint="eastAsia" w:ascii="宋体" w:cs="宋体"/>
          <w:color w:val="auto"/>
          <w:highlight w:val="none"/>
          <w:lang w:val="zh-CN" w:bidi="zh-CN"/>
        </w:rPr>
        <w:t>2年，</w:t>
      </w:r>
      <w:r>
        <w:rPr>
          <w:rFonts w:hint="eastAsia" w:ascii="宋体" w:cs="宋体"/>
          <w:color w:val="auto"/>
          <w:highlight w:val="none"/>
          <w:lang w:bidi="zh-CN"/>
        </w:rPr>
        <w:t>缺陷责任期届满且乙方已经对缺陷责任期内的工程质量问题进行妥善修复的，甲方在收到乙方质保金退还申请</w:t>
      </w:r>
      <w:r>
        <w:rPr>
          <w:rFonts w:hint="eastAsia" w:ascii="宋体" w:cs="宋体"/>
          <w:color w:val="auto"/>
          <w:highlight w:val="none"/>
          <w:lang w:val="zh-CN" w:bidi="zh-CN"/>
        </w:rPr>
        <w:t>后10个日历天内无息退还质量保证金。</w:t>
      </w:r>
    </w:p>
    <w:p>
      <w:pPr>
        <w:pStyle w:val="23"/>
        <w:spacing w:after="0" w:line="520" w:lineRule="exact"/>
        <w:ind w:firstLine="480" w:firstLineChars="200"/>
        <w:rPr>
          <w:rFonts w:ascii="宋体" w:cs="宋体"/>
          <w:color w:val="auto"/>
          <w:highlight w:val="none"/>
        </w:rPr>
      </w:pPr>
      <w:r>
        <w:rPr>
          <w:rFonts w:hint="eastAsia" w:ascii="宋体" w:cs="宋体"/>
          <w:color w:val="auto"/>
          <w:highlight w:val="none"/>
          <w:lang w:val="zh-CN" w:bidi="zh-CN"/>
        </w:rPr>
        <w:t>2）因甲方原因逾期退还的，应当以未退还金额为基数，按合同订立时1年期贷款市场报价利率标准向乙方支付相应违约金，但违约金最高不得超过未退还金额的百分之五。若因乙方不及时或未提供“收到退还质保金的收据”、“售后服务验收报告单”、“质保金退还申请”的，则甲方不承担逾期退还违约责任。</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3.履约保证金汇入的银行及账号：</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收款单位：成都市技师学院</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开户行：工行四川成都分行郫都红光支行</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银行账号：4402054609100031151</w:t>
      </w:r>
    </w:p>
    <w:p>
      <w:pPr>
        <w:wordWrap w:val="0"/>
        <w:autoSpaceDE w:val="0"/>
        <w:autoSpaceDN w:val="0"/>
        <w:spacing w:line="520" w:lineRule="exact"/>
        <w:ind w:firstLine="480" w:firstLineChars="200"/>
        <w:rPr>
          <w:rFonts w:cs="宋体"/>
          <w:color w:val="auto"/>
          <w:highlight w:val="none"/>
        </w:rPr>
      </w:pPr>
      <w:r>
        <w:rPr>
          <w:rFonts w:hint="eastAsia" w:cs="宋体"/>
          <w:color w:val="auto"/>
          <w:highlight w:val="none"/>
          <w:lang w:val="zh-CN"/>
        </w:rPr>
        <w:t>4.履约保证金不予退还情形：一是</w:t>
      </w:r>
      <w:r>
        <w:rPr>
          <w:rFonts w:hint="eastAsia" w:cs="宋体"/>
          <w:color w:val="auto"/>
          <w:highlight w:val="none"/>
        </w:rPr>
        <w:t>乙方</w:t>
      </w:r>
      <w:r>
        <w:rPr>
          <w:rFonts w:hint="eastAsia" w:cs="宋体"/>
          <w:color w:val="auto"/>
          <w:highlight w:val="none"/>
          <w:lang w:val="zh-CN"/>
        </w:rPr>
        <w:t>未按合同要求履行的，其履约保证金(质保金)全部扣除。二是</w:t>
      </w:r>
      <w:r>
        <w:rPr>
          <w:rFonts w:hint="eastAsia" w:cs="宋体"/>
          <w:color w:val="auto"/>
          <w:highlight w:val="none"/>
        </w:rPr>
        <w:t>乙方</w:t>
      </w:r>
      <w:r>
        <w:rPr>
          <w:rFonts w:hint="eastAsia" w:cs="宋体"/>
          <w:color w:val="auto"/>
          <w:highlight w:val="none"/>
          <w:lang w:val="zh-CN"/>
        </w:rPr>
        <w:t>交纳了履约保证金，但因</w:t>
      </w:r>
      <w:r>
        <w:rPr>
          <w:rFonts w:hint="eastAsia" w:cs="宋体"/>
          <w:color w:val="auto"/>
          <w:highlight w:val="none"/>
        </w:rPr>
        <w:t>乙方</w:t>
      </w:r>
      <w:r>
        <w:rPr>
          <w:rFonts w:hint="eastAsia" w:cs="宋体"/>
          <w:color w:val="auto"/>
          <w:highlight w:val="none"/>
          <w:lang w:val="zh-CN"/>
        </w:rPr>
        <w:t>自身原因被取消成交资格或在成交公示期满之日起30日历天(含法定节假日)内</w:t>
      </w:r>
      <w:r>
        <w:rPr>
          <w:rFonts w:hint="eastAsia" w:cs="宋体"/>
          <w:color w:val="auto"/>
          <w:highlight w:val="none"/>
        </w:rPr>
        <w:t>甲方不按竞争性谈判文件确定的事项与甲方签订合同的，其履约保证金不予退还。</w:t>
      </w:r>
      <w:r>
        <w:rPr>
          <w:rFonts w:hint="eastAsia" w:cs="宋体"/>
          <w:bCs/>
          <w:color w:val="auto"/>
          <w:highlight w:val="none"/>
        </w:rPr>
        <w:t>三、是法律法规或合同约定规定的其他情形。</w:t>
      </w:r>
    </w:p>
    <w:p>
      <w:pPr>
        <w:wordWrap w:val="0"/>
        <w:autoSpaceDE w:val="0"/>
        <w:autoSpaceDN w:val="0"/>
        <w:spacing w:line="520" w:lineRule="exact"/>
        <w:ind w:firstLine="482" w:firstLineChars="200"/>
        <w:rPr>
          <w:rFonts w:cs="宋体"/>
          <w:b/>
          <w:bCs/>
          <w:color w:val="auto"/>
          <w:highlight w:val="none"/>
          <w:lang w:val="zh-CN" w:bidi="zh-CN"/>
        </w:rPr>
      </w:pPr>
      <w:r>
        <w:rPr>
          <w:rFonts w:hint="eastAsia" w:cs="宋体"/>
          <w:b/>
          <w:bCs/>
          <w:color w:val="auto"/>
          <w:highlight w:val="none"/>
          <w:lang w:bidi="zh-CN"/>
        </w:rPr>
        <w:t>十</w:t>
      </w:r>
      <w:r>
        <w:rPr>
          <w:rFonts w:hint="eastAsia" w:cs="宋体"/>
          <w:b/>
          <w:bCs/>
          <w:color w:val="auto"/>
          <w:highlight w:val="none"/>
          <w:lang w:val="zh-CN" w:bidi="zh-CN"/>
        </w:rPr>
        <w:t>、验收标准</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1.验收主体：甲方。</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2.验收时间及程序：</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(1)工程施工过程中，若有隐蔽工程的，乙方应在隐蔽工程完成后2日内书面通知甲方验收，甲方收到乙方隐蔽工程验收通知后5日内完成隐蔽工程的验收，验收合格方能进入下一道工序。若乙方未通知甲方参加验收，甲方有权要求乙方返工、支付违约金并重新办理验收手续，由此导致超出工程期限的，乙方承担相应的逾期责任，并且因重新返工和办理验收手续所产生的费用也由乙方自行承担。</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(2)工程全部竣工后，乙方应书面通知甲方正式验收，甲方在接到验收通知后20日内组织验收小组进行现场验收。验收合格，双方签署《工程竣工验收报告》。如甲方在指定时间内未能组织验收，需及时通知乙方，另定验收日期，但甲方应承认竣工日期。</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(3)质保期内单次售后服务完成后，甲方收到乙方售后服务单次验收申请之日起10日历天内组织售后服务验收。验收合格，则签署《售后服务验收报告单》；若单次售后服务验收不合格，甲方有权要求乙方限期整改，若整改依然不能达到要求的或未在甲方通知的时间内完成整改的，甲方有权按照合同约定第十二条第2款第（5）项约定追究乙方的违约责任。</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3.验收方式：工程竣工验收及售后服务验收均为现场验收。</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4.验收内容及标准：</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(1)工程内容验收包括①是否按照约定完成施工；②工程和工程量达到甲方的设计使用功能，且符合现行国家施工验收规范、道路工程质量验收标准、质量评定标准及其他相关法律、法规当地行政主管部门颁发的有关文件等要求，③乙方竣工的项目需符合本合同的约定。</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(2)售后服务验收内容包括乙方①是否按时到场开展售后服务②是否按照质量保修书约定承担工程质量保修责任，③质量保修成果是否符合道路工程质量验收标准、质量评定标准及其他相关法律、法规当地行政主管部门颁发的有关文件等要求。</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5.验收不合格的处理方式：</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5.1若竣工验收不合格要求整改的，整改时间由甲方根据项目具体情况确定，其返工整改费用由乙方承担，且工期不顺延，同时乙方应当赔偿由此给甲方造成的全部损失。若乙方未在约定时间内完成整改或整改后甲方验收仍无法达到要求的，则视为乙方不能履约，甲方有权终止合同，并按合同第十二条第2款第（4）项约定追究乙方的违约责任。</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5.2若单次售后服务验收不合格，甲方有权要求整改，整改时间由甲方根据项目具体情况确定，其整改费用由乙方承担，若乙方未在约定时间内完成整改或整改后甲方验收仍无法达到要求的，则甲方有权按合同第十二条第2款第（5）项约定追究乙方的违约责任。</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6.乙方提供竣工验收资料的内容：竣工验收后15日内将施工过程中形成的有关完整资料分类整理，乙方提交的竣工资料和竣工图必须达到《建设工程文件归档规范》(GB/T 50328-2019)要求。乙方应按时递交结算资料，竣工验收后15日内未递交的，每逾1日递交，乙方应按暂定总金额千分之一向甲方支付违约金（甲方有权直接从应付款项中扣除）；逾期超过15日且经甲方提醒仍不递交的，甲方有权没收乙方履约保证金，且不予支付乙方剩余合同价款。</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7.其他未尽事宜参照《财政部关于进一步加强政府采购需求和履约验收管理的指导意见》(财库〔2016〕205号)的要求进行验收。</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8.交付方式及标准：工程竣工后，经甲方组织各方实地验收合格后，各方在《工程竣工验收报告》上签字，视为正式交付。</w:t>
      </w:r>
    </w:p>
    <w:p>
      <w:pPr>
        <w:wordWrap w:val="0"/>
        <w:autoSpaceDE w:val="0"/>
        <w:autoSpaceDN w:val="0"/>
        <w:spacing w:line="520" w:lineRule="exact"/>
        <w:ind w:firstLine="482" w:firstLineChars="200"/>
        <w:rPr>
          <w:rFonts w:cs="宋体"/>
          <w:b/>
          <w:bCs/>
          <w:color w:val="auto"/>
          <w:kern w:val="0"/>
          <w:highlight w:val="none"/>
          <w:lang w:val="zh-CN" w:bidi="zh-CN"/>
        </w:rPr>
      </w:pPr>
      <w:r>
        <w:rPr>
          <w:rFonts w:hint="eastAsia" w:cs="宋体"/>
          <w:b/>
          <w:bCs/>
          <w:color w:val="auto"/>
          <w:kern w:val="0"/>
          <w:highlight w:val="none"/>
          <w:lang w:bidi="zh-CN"/>
        </w:rPr>
        <w:t>十一</w:t>
      </w:r>
      <w:r>
        <w:rPr>
          <w:rFonts w:hint="eastAsia" w:cs="宋体"/>
          <w:b/>
          <w:bCs/>
          <w:color w:val="auto"/>
          <w:kern w:val="0"/>
          <w:highlight w:val="none"/>
          <w:lang w:val="zh-CN" w:bidi="zh-CN"/>
        </w:rPr>
        <w:t>、其他商务要求</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1.对施工现场交通和噪音的要求：遵守地方政府和有关部门对施工场地交通和施工噪音等管理规定。施工单位应尽量减小施工对教学秩序的影响。</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2.施工场地整洁卫生的要求：乙方保证施工现场清洁。</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3.保护建筑物结构及相应管线和设备的措施：乙方造成学校管网、电缆、树木、构筑物等损坏的，要在甲方规定期限内进行修复，无法修复的除照价赔偿外，还需要向甲方偿付合同总金额的百分之五的违约金。</w:t>
      </w:r>
    </w:p>
    <w:p>
      <w:pPr>
        <w:wordWrap w:val="0"/>
        <w:autoSpaceDE w:val="0"/>
        <w:autoSpaceDN w:val="0"/>
        <w:spacing w:line="520" w:lineRule="exact"/>
        <w:ind w:firstLine="480" w:firstLineChars="200"/>
        <w:rPr>
          <w:rFonts w:cs="宋体"/>
          <w:bCs/>
          <w:color w:val="auto"/>
          <w:highlight w:val="none"/>
        </w:rPr>
      </w:pPr>
      <w:r>
        <w:rPr>
          <w:rFonts w:hint="eastAsia" w:cs="宋体"/>
          <w:bCs/>
          <w:color w:val="auto"/>
          <w:highlight w:val="none"/>
        </w:rPr>
        <w:t>4.乙方提供的主要材料设备应在使用前向甲方提供建筑材料样品、产品合格证书，否则不得使用；竣工时建筑材料的产品合格证书作为结算资料一并提交甲方。</w:t>
      </w:r>
    </w:p>
    <w:p>
      <w:pPr>
        <w:wordWrap w:val="0"/>
        <w:autoSpaceDE w:val="0"/>
        <w:autoSpaceDN w:val="0"/>
        <w:spacing w:line="520" w:lineRule="exact"/>
        <w:ind w:firstLine="480" w:firstLineChars="200"/>
        <w:rPr>
          <w:rFonts w:cs="宋体"/>
          <w:color w:val="auto"/>
          <w:highlight w:val="none"/>
          <w:lang w:bidi="zh-CN"/>
        </w:rPr>
      </w:pPr>
      <w:r>
        <w:rPr>
          <w:rFonts w:hint="eastAsia" w:cs="宋体"/>
          <w:bCs/>
          <w:color w:val="auto"/>
          <w:highlight w:val="none"/>
        </w:rPr>
        <w:t>5.乙方在项目执行过程中定期向甲方通告本项目供货的重大事项及其进度</w:t>
      </w:r>
      <w:r>
        <w:rPr>
          <w:rFonts w:hint="eastAsia" w:cs="宋体"/>
          <w:color w:val="auto"/>
          <w:highlight w:val="none"/>
          <w:lang w:bidi="zh-CN"/>
        </w:rPr>
        <w:t>。</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bidi="zh-CN"/>
        </w:rPr>
        <w:t>6.乙方应</w:t>
      </w:r>
      <w:r>
        <w:rPr>
          <w:rFonts w:hint="eastAsia" w:cs="宋体"/>
          <w:color w:val="auto"/>
          <w:highlight w:val="none"/>
          <w:lang w:val="zh-CN" w:bidi="zh-CN"/>
        </w:rPr>
        <w:t>制定详细</w:t>
      </w:r>
      <w:r>
        <w:rPr>
          <w:rFonts w:hint="eastAsia" w:cs="宋体"/>
          <w:color w:val="auto"/>
          <w:highlight w:val="none"/>
          <w:lang w:bidi="zh-CN"/>
        </w:rPr>
        <w:t>的</w:t>
      </w:r>
      <w:r>
        <w:rPr>
          <w:rFonts w:hint="eastAsia" w:cs="宋体"/>
          <w:color w:val="auto"/>
          <w:highlight w:val="none"/>
          <w:lang w:val="zh-CN" w:bidi="zh-CN"/>
        </w:rPr>
        <w:t>施工方案与技术措施、项目管理机构方</w:t>
      </w:r>
      <w:r>
        <w:rPr>
          <w:rFonts w:hint="eastAsia" w:cs="宋体"/>
          <w:color w:val="auto"/>
          <w:highlight w:val="none"/>
          <w:lang w:bidi="zh-CN"/>
        </w:rPr>
        <w:t>案、</w:t>
      </w:r>
      <w:r>
        <w:rPr>
          <w:rFonts w:hint="eastAsia" w:cs="宋体"/>
          <w:color w:val="auto"/>
          <w:highlight w:val="none"/>
          <w:lang w:val="zh-CN" w:bidi="zh-CN"/>
        </w:rPr>
        <w:t>质量管理体系及保证措施、安全防护及文明施工管理体系与措施、环境保护管理体系与措施、项目进度计划与措施</w:t>
      </w:r>
      <w:r>
        <w:rPr>
          <w:rFonts w:hint="eastAsia" w:cs="宋体"/>
          <w:color w:val="auto"/>
          <w:highlight w:val="none"/>
          <w:lang w:bidi="zh-CN"/>
        </w:rPr>
        <w:t>具体内容详见乙方响应文件。</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7.乙方</w:t>
      </w:r>
      <w:r>
        <w:rPr>
          <w:rFonts w:hint="eastAsia" w:cs="宋体"/>
          <w:color w:val="auto"/>
          <w:highlight w:val="none"/>
          <w:lang w:val="zh-CN" w:bidi="zh-CN"/>
        </w:rPr>
        <w:t>拟投入本项目的团队成员</w:t>
      </w:r>
      <w:r>
        <w:rPr>
          <w:rFonts w:hint="eastAsia" w:cs="宋体"/>
          <w:color w:val="auto"/>
          <w:highlight w:val="none"/>
          <w:lang w:bidi="zh-CN"/>
        </w:rPr>
        <w:t>详见乙方响应文件。</w:t>
      </w:r>
    </w:p>
    <w:p>
      <w:pPr>
        <w:wordWrap w:val="0"/>
        <w:autoSpaceDE w:val="0"/>
        <w:autoSpaceDN w:val="0"/>
        <w:spacing w:line="520" w:lineRule="exact"/>
        <w:ind w:firstLine="482" w:firstLineChars="200"/>
        <w:rPr>
          <w:rFonts w:cs="宋体"/>
          <w:b/>
          <w:bCs/>
          <w:color w:val="auto"/>
          <w:highlight w:val="none"/>
          <w:lang w:val="zh-CN" w:bidi="zh-CN"/>
        </w:rPr>
      </w:pPr>
      <w:r>
        <w:rPr>
          <w:rFonts w:hint="eastAsia" w:cs="宋体"/>
          <w:b/>
          <w:bCs/>
          <w:color w:val="auto"/>
          <w:highlight w:val="none"/>
          <w:lang w:bidi="zh-CN"/>
        </w:rPr>
        <w:t>十二</w:t>
      </w:r>
      <w:r>
        <w:rPr>
          <w:rFonts w:hint="eastAsia" w:cs="宋体"/>
          <w:b/>
          <w:bCs/>
          <w:color w:val="auto"/>
          <w:highlight w:val="none"/>
          <w:lang w:val="zh-CN" w:bidi="zh-CN"/>
        </w:rPr>
        <w:t>、违约责任</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1.甲方违约的责任：</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(1)甲方应根据合同约定的时间、方式和甲方确认的工程量，按构成合同价款相应项目的单价和取费标准计算，支付工程价款。</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(2)甲方故意逾期支付工程款的，除应及时付足工程款外，应向乙方</w:t>
      </w:r>
      <w:r>
        <w:rPr>
          <w:rFonts w:hint="eastAsia" w:cs="宋体"/>
          <w:color w:val="auto"/>
          <w:highlight w:val="none"/>
          <w:lang w:bidi="zh-CN"/>
        </w:rPr>
        <w:t>支</w:t>
      </w:r>
      <w:r>
        <w:rPr>
          <w:rFonts w:hint="eastAsia" w:cs="宋体"/>
          <w:color w:val="auto"/>
          <w:highlight w:val="none"/>
          <w:lang w:val="zh-CN" w:bidi="zh-CN"/>
        </w:rPr>
        <w:t>付欠款总额万分之一/天的违约金，但逾期违约金不得超过欠款总额的百分之三十。逾期付款超过30个日历天的，乙方有权终止合同。非甲方故意逾期付款的，甲方不承担任何逾期付款责任，乙方也不得终止合同(说明：如因2023年年终财政关闭支付系统导致甲方在合同履行期间无法支付，则甲方不承担逾期支付责任，待2024年财政支付系统开通后支付)。</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2.乙方违约的责任：</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(1)乙方应严格按照合同约定进行施工；每逾期1日完工，</w:t>
      </w:r>
      <w:r>
        <w:rPr>
          <w:rFonts w:hint="eastAsia" w:cs="宋体"/>
          <w:color w:val="auto"/>
          <w:highlight w:val="none"/>
          <w:lang w:bidi="zh-CN"/>
        </w:rPr>
        <w:t>乙方应向甲方支付</w:t>
      </w:r>
      <w:r>
        <w:rPr>
          <w:rFonts w:hint="eastAsia" w:cs="宋体"/>
          <w:color w:val="auto"/>
          <w:highlight w:val="none"/>
          <w:lang w:val="zh-CN" w:bidi="zh-CN"/>
        </w:rPr>
        <w:t>合同暂定价千分之一的违约金，逾期超过20日历天，甲方有权解除合同，不再返还乙方的履约保证金，并有权要求乙方向甲方支付合同暂定价百分之三十的违约金，甲方不再向乙方支付任何费用且乙方须全额退还甲方已经支付的货款及其利息，同时甲方有权继续追究乙方由此给甲方造成的损失和乙方的法律责任。</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(2)乙方应按时递交竣工结算资料，竣工验收后15日内未递交的，每逾1日递交，乙方应按</w:t>
      </w:r>
      <w:r>
        <w:rPr>
          <w:rFonts w:hint="eastAsia" w:cs="宋体"/>
          <w:color w:val="auto"/>
          <w:highlight w:val="none"/>
          <w:lang w:bidi="zh-CN"/>
        </w:rPr>
        <w:t>暂定价的</w:t>
      </w:r>
      <w:r>
        <w:rPr>
          <w:rFonts w:hint="eastAsia" w:cs="宋体"/>
          <w:color w:val="auto"/>
          <w:highlight w:val="none"/>
          <w:lang w:val="zh-CN" w:bidi="zh-CN"/>
        </w:rPr>
        <w:t>千分之一向甲方支付违约金（甲方有权直接从应付的费用中进行扣除）；超过15日且经甲方提醒后仍不递交的，甲方有权没收乙方履约保证金，且不予支付乙方剩余合同价款。</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(3)乙方不得将本合同标的全部或部分转让给第三方，否则，</w:t>
      </w:r>
      <w:r>
        <w:rPr>
          <w:rFonts w:hint="eastAsia" w:cs="宋体"/>
          <w:color w:val="auto"/>
          <w:highlight w:val="none"/>
          <w:lang w:bidi="zh-CN"/>
        </w:rPr>
        <w:t>由此产生的所有责任和后果均由乙方自行承担，</w:t>
      </w:r>
      <w:r>
        <w:rPr>
          <w:rFonts w:hint="eastAsia" w:cs="宋体"/>
          <w:color w:val="auto"/>
          <w:highlight w:val="none"/>
          <w:lang w:val="zh-CN" w:bidi="zh-CN"/>
        </w:rPr>
        <w:t>甲方有权立即解除合同，并要求乙方退还甲方已支付的所有费用，且</w:t>
      </w:r>
      <w:r>
        <w:rPr>
          <w:rFonts w:hint="eastAsia" w:cs="宋体"/>
          <w:color w:val="auto"/>
          <w:highlight w:val="none"/>
          <w:lang w:bidi="zh-CN"/>
        </w:rPr>
        <w:t>甲方</w:t>
      </w:r>
      <w:r>
        <w:rPr>
          <w:rFonts w:hint="eastAsia" w:cs="宋体"/>
          <w:color w:val="auto"/>
          <w:highlight w:val="none"/>
          <w:lang w:val="zh-CN" w:bidi="zh-CN"/>
        </w:rPr>
        <w:t>不予退还乙方履约保证金，同时，甲方不再支付乙方剩余合同价款，乙方还应向甲方支付合同暂定价的百分之十作为违约金，并赔偿由此给甲方造成的全部损失(包含退还甲方已支付乙方的所有工程款)。</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(4)乙方未在</w:t>
      </w:r>
      <w:r>
        <w:rPr>
          <w:rFonts w:hint="eastAsia" w:cs="宋体"/>
          <w:color w:val="auto"/>
          <w:highlight w:val="none"/>
          <w:lang w:bidi="zh-CN"/>
        </w:rPr>
        <w:t>甲方通知的</w:t>
      </w:r>
      <w:r>
        <w:rPr>
          <w:rFonts w:hint="eastAsia" w:cs="宋体"/>
          <w:color w:val="auto"/>
          <w:highlight w:val="none"/>
          <w:lang w:val="zh-CN" w:bidi="zh-CN"/>
        </w:rPr>
        <w:t>时间内完成竣工验收整改或竣工验收整改后甲方验收仍无法达到要求的，甲方有权终止本合同，不予退还乙方的履约保证金且有权要求乙方全额退还甲方已经付给乙方的工程款及其利息，同时乙方应向甲方支付合同</w:t>
      </w:r>
      <w:r>
        <w:rPr>
          <w:rFonts w:hint="eastAsia" w:cs="宋体"/>
          <w:color w:val="auto"/>
          <w:highlight w:val="none"/>
          <w:lang w:bidi="zh-CN"/>
        </w:rPr>
        <w:t>暂定价</w:t>
      </w:r>
      <w:r>
        <w:rPr>
          <w:rFonts w:hint="eastAsia" w:cs="宋体"/>
          <w:color w:val="auto"/>
          <w:highlight w:val="none"/>
          <w:lang w:val="zh-CN" w:bidi="zh-CN"/>
        </w:rPr>
        <w:t>百分之三十的违约金，并且甲方有权继续追究乙方由此给甲方造成的损失和乙方的法律责任。</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(5)</w:t>
      </w:r>
      <w:r>
        <w:rPr>
          <w:rFonts w:hint="eastAsia" w:cs="宋体"/>
          <w:color w:val="auto"/>
          <w:highlight w:val="none"/>
          <w:lang w:bidi="zh-CN"/>
        </w:rPr>
        <w:t>缺陷责任期内，</w:t>
      </w:r>
      <w:r>
        <w:rPr>
          <w:rFonts w:hint="eastAsia" w:cs="宋体"/>
          <w:color w:val="auto"/>
          <w:highlight w:val="none"/>
          <w:lang w:val="zh-CN" w:bidi="zh-CN"/>
        </w:rPr>
        <w:t>乙方未在约定时间内提供售后服务或完成售后服务整改，或整改后甲方验收仍无法达到要求的，甲方有权要求乙方向甲方支付合同</w:t>
      </w:r>
      <w:r>
        <w:rPr>
          <w:rFonts w:hint="eastAsia" w:cs="宋体"/>
          <w:color w:val="auto"/>
          <w:highlight w:val="none"/>
          <w:lang w:bidi="zh-CN"/>
        </w:rPr>
        <w:t>暂定价</w:t>
      </w:r>
      <w:r>
        <w:rPr>
          <w:rFonts w:hint="eastAsia" w:cs="宋体"/>
          <w:color w:val="auto"/>
          <w:highlight w:val="none"/>
          <w:lang w:val="zh-CN" w:bidi="zh-CN"/>
        </w:rPr>
        <w:t>百分之三十</w:t>
      </w:r>
      <w:r>
        <w:rPr>
          <w:rFonts w:hint="eastAsia" w:cs="宋体"/>
          <w:color w:val="auto"/>
          <w:highlight w:val="none"/>
          <w:lang w:bidi="zh-CN"/>
        </w:rPr>
        <w:t>/次</w:t>
      </w:r>
      <w:r>
        <w:rPr>
          <w:rFonts w:hint="eastAsia" w:cs="宋体"/>
          <w:color w:val="auto"/>
          <w:highlight w:val="none"/>
          <w:lang w:val="zh-CN" w:bidi="zh-CN"/>
        </w:rPr>
        <w:t>的违约金，并且甲方可委托他人修理，</w:t>
      </w:r>
      <w:r>
        <w:rPr>
          <w:rFonts w:hint="eastAsia" w:cs="宋体"/>
          <w:color w:val="auto"/>
          <w:highlight w:val="none"/>
          <w:lang w:bidi="zh-CN"/>
        </w:rPr>
        <w:t>产生</w:t>
      </w:r>
      <w:r>
        <w:rPr>
          <w:rFonts w:hint="eastAsia" w:cs="宋体"/>
          <w:color w:val="auto"/>
          <w:highlight w:val="none"/>
          <w:lang w:val="zh-CN" w:bidi="zh-CN"/>
        </w:rPr>
        <w:t>的费用从质保金中扣除。质保金不足以支付上述费用时，由乙方进行补足。甲方有权继续追究乙方由此给甲方造成的损失和乙方的法律责任。</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(6)甲方可直接从未支付乙方价款中按照约定扣除乙方应支付的违约金及赔偿款，乙方赔偿范围包括但不限于甲方直接损失、间接损失、律师费、差旅费、保全费等。乙方偿付的违约金不足以弥补甲方损失的，还应按甲方损失尚未弥补的部分，支付赔偿金给甲方。</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(7)如因乙方工作人员在履行职务过程中的疏忽、失职、过错等故意或者过失原因给甲方造成损失或侵害，包括但不限于工程质量事故、甲方本身的财产损失、由此而导致的甲方对任何第三方的法律责任等，乙方对此均应承担全部的赔偿责任。</w:t>
      </w:r>
    </w:p>
    <w:p>
      <w:pPr>
        <w:wordWrap w:val="0"/>
        <w:autoSpaceDE w:val="0"/>
        <w:autoSpaceDN w:val="0"/>
        <w:spacing w:line="520" w:lineRule="exact"/>
        <w:ind w:firstLine="482" w:firstLineChars="200"/>
        <w:rPr>
          <w:rFonts w:cs="宋体"/>
          <w:b/>
          <w:bCs/>
          <w:color w:val="auto"/>
          <w:highlight w:val="none"/>
          <w:lang w:val="zh-CN" w:bidi="zh-CN"/>
        </w:rPr>
      </w:pPr>
      <w:r>
        <w:rPr>
          <w:rFonts w:hint="eastAsia" w:cs="宋体"/>
          <w:b/>
          <w:bCs/>
          <w:color w:val="auto"/>
          <w:highlight w:val="none"/>
          <w:lang w:bidi="zh-CN"/>
        </w:rPr>
        <w:t>十三</w:t>
      </w:r>
      <w:r>
        <w:rPr>
          <w:rFonts w:hint="eastAsia" w:cs="宋体"/>
          <w:b/>
          <w:bCs/>
          <w:color w:val="auto"/>
          <w:highlight w:val="none"/>
          <w:lang w:val="zh-CN" w:bidi="zh-CN"/>
        </w:rPr>
        <w:t>、解决争议的方式</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1.因工程的质量问题发生争议，由</w:t>
      </w:r>
      <w:r>
        <w:rPr>
          <w:rFonts w:hint="eastAsia" w:cs="宋体"/>
          <w:color w:val="auto"/>
          <w:kern w:val="0"/>
          <w:highlight w:val="none"/>
          <w:lang w:bidi="zh-CN"/>
        </w:rPr>
        <w:t>甲方</w:t>
      </w:r>
      <w:r>
        <w:rPr>
          <w:rFonts w:hint="eastAsia" w:cs="宋体"/>
          <w:color w:val="auto"/>
          <w:kern w:val="0"/>
          <w:highlight w:val="none"/>
          <w:lang w:val="zh-CN" w:bidi="zh-CN"/>
        </w:rPr>
        <w:t>或其指定的第三方机构进行质量鉴定。工程符合标准的，鉴定费由</w:t>
      </w:r>
      <w:r>
        <w:rPr>
          <w:rFonts w:hint="eastAsia" w:cs="宋体"/>
          <w:color w:val="auto"/>
          <w:kern w:val="0"/>
          <w:highlight w:val="none"/>
          <w:lang w:bidi="zh-CN"/>
        </w:rPr>
        <w:t>甲方</w:t>
      </w:r>
      <w:r>
        <w:rPr>
          <w:rFonts w:hint="eastAsia" w:cs="宋体"/>
          <w:color w:val="auto"/>
          <w:kern w:val="0"/>
          <w:highlight w:val="none"/>
          <w:lang w:val="zh-CN" w:bidi="zh-CN"/>
        </w:rPr>
        <w:t>承担；工程不符合质量标准的，鉴定费由</w:t>
      </w:r>
      <w:r>
        <w:rPr>
          <w:rFonts w:hint="eastAsia" w:cs="宋体"/>
          <w:color w:val="auto"/>
          <w:kern w:val="0"/>
          <w:highlight w:val="none"/>
          <w:lang w:bidi="zh-CN"/>
        </w:rPr>
        <w:t>乙方</w:t>
      </w:r>
      <w:r>
        <w:rPr>
          <w:rFonts w:hint="eastAsia" w:cs="宋体"/>
          <w:color w:val="auto"/>
          <w:kern w:val="0"/>
          <w:highlight w:val="none"/>
          <w:lang w:val="zh-CN" w:bidi="zh-CN"/>
        </w:rPr>
        <w:t>承担。</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2.合同履行期间，若双方发生争议，双方应通过友好协商解决，经协商不能达成协议时，应向</w:t>
      </w:r>
      <w:r>
        <w:rPr>
          <w:rFonts w:hint="eastAsia" w:cs="宋体"/>
          <w:color w:val="auto"/>
          <w:kern w:val="0"/>
          <w:highlight w:val="none"/>
          <w:lang w:bidi="zh-CN"/>
        </w:rPr>
        <w:t>甲方</w:t>
      </w:r>
      <w:r>
        <w:rPr>
          <w:rFonts w:hint="eastAsia" w:cs="宋体"/>
          <w:color w:val="auto"/>
          <w:kern w:val="0"/>
          <w:highlight w:val="none"/>
          <w:lang w:val="zh-CN" w:bidi="zh-CN"/>
        </w:rPr>
        <w:t>所在地人民法院提起诉讼，除判决另有规定外，一切涉诉合理费用（</w:t>
      </w:r>
      <w:r>
        <w:rPr>
          <w:rFonts w:hint="eastAsia" w:cs="宋体"/>
          <w:color w:val="auto"/>
          <w:kern w:val="0"/>
          <w:highlight w:val="none"/>
          <w:lang w:bidi="zh-CN"/>
        </w:rPr>
        <w:t>包括但不限于诉讼费、律师费、保全费、公告费等</w:t>
      </w:r>
      <w:r>
        <w:rPr>
          <w:rFonts w:hint="eastAsia" w:cs="宋体"/>
          <w:color w:val="auto"/>
          <w:kern w:val="0"/>
          <w:highlight w:val="none"/>
          <w:lang w:val="zh-CN" w:bidi="zh-CN"/>
        </w:rPr>
        <w:t>）均</w:t>
      </w:r>
      <w:r>
        <w:rPr>
          <w:rFonts w:hint="eastAsia" w:cs="宋体"/>
          <w:color w:val="auto"/>
          <w:kern w:val="0"/>
          <w:highlight w:val="none"/>
          <w:lang w:bidi="zh-CN"/>
        </w:rPr>
        <w:t>由</w:t>
      </w:r>
      <w:r>
        <w:rPr>
          <w:rFonts w:hint="eastAsia" w:cs="宋体"/>
          <w:color w:val="auto"/>
          <w:kern w:val="0"/>
          <w:highlight w:val="none"/>
          <w:lang w:val="zh-CN" w:bidi="zh-CN"/>
        </w:rPr>
        <w:t>违约方承担。</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3.在诉讼期间，除正在进行诉讼的部分外，合同其他部分继续执行。</w:t>
      </w:r>
    </w:p>
    <w:p>
      <w:pPr>
        <w:wordWrap w:val="0"/>
        <w:autoSpaceDE w:val="0"/>
        <w:autoSpaceDN w:val="0"/>
        <w:spacing w:line="520" w:lineRule="exact"/>
        <w:ind w:firstLine="482" w:firstLineChars="200"/>
        <w:rPr>
          <w:rFonts w:cs="宋体"/>
          <w:b/>
          <w:bCs/>
          <w:color w:val="auto"/>
          <w:highlight w:val="none"/>
          <w:lang w:val="zh-CN" w:bidi="zh-CN"/>
        </w:rPr>
      </w:pPr>
      <w:r>
        <w:rPr>
          <w:rFonts w:hint="eastAsia" w:cs="宋体"/>
          <w:b/>
          <w:bCs/>
          <w:color w:val="auto"/>
          <w:highlight w:val="none"/>
          <w:lang w:bidi="zh-CN"/>
        </w:rPr>
        <w:t>十四</w:t>
      </w:r>
      <w:r>
        <w:rPr>
          <w:rFonts w:hint="eastAsia" w:cs="宋体"/>
          <w:b/>
          <w:bCs/>
          <w:color w:val="auto"/>
          <w:highlight w:val="none"/>
          <w:lang w:val="zh-CN" w:bidi="zh-CN"/>
        </w:rPr>
        <w:t>、团队要求</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1.</w:t>
      </w:r>
      <w:r>
        <w:rPr>
          <w:rFonts w:hint="eastAsia" w:cs="宋体"/>
          <w:color w:val="auto"/>
          <w:highlight w:val="none"/>
          <w:lang w:val="zh-CN" w:bidi="zh-CN"/>
        </w:rPr>
        <w:t>乙方项目经理：XXX</w:t>
      </w:r>
      <w:r>
        <w:rPr>
          <w:rFonts w:hint="eastAsia" w:cs="宋体"/>
          <w:color w:val="auto"/>
          <w:highlight w:val="none"/>
          <w:lang w:bidi="zh-CN"/>
        </w:rPr>
        <w:t xml:space="preserve"> 联系电话：XXXXX</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2.技术负责人</w:t>
      </w:r>
      <w:r>
        <w:rPr>
          <w:rFonts w:hint="eastAsia" w:cs="宋体"/>
          <w:color w:val="auto"/>
          <w:highlight w:val="none"/>
          <w:lang w:val="zh-CN" w:bidi="zh-CN"/>
        </w:rPr>
        <w:t>：XXX</w:t>
      </w:r>
      <w:r>
        <w:rPr>
          <w:rFonts w:hint="eastAsia" w:cs="宋体"/>
          <w:color w:val="auto"/>
          <w:highlight w:val="none"/>
          <w:lang w:bidi="zh-CN"/>
        </w:rPr>
        <w:t xml:space="preserve">   联系电话：XXXXX</w:t>
      </w:r>
    </w:p>
    <w:p>
      <w:pPr>
        <w:wordWrap w:val="0"/>
        <w:autoSpaceDE w:val="0"/>
        <w:autoSpaceDN w:val="0"/>
        <w:spacing w:line="520" w:lineRule="exact"/>
        <w:ind w:firstLine="480" w:firstLineChars="200"/>
        <w:rPr>
          <w:rFonts w:cs="宋体"/>
          <w:color w:val="auto"/>
          <w:highlight w:val="none"/>
          <w:lang w:bidi="zh-CN"/>
        </w:rPr>
      </w:pPr>
      <w:r>
        <w:rPr>
          <w:rFonts w:hint="eastAsia" w:cs="宋体"/>
          <w:color w:val="auto"/>
          <w:highlight w:val="none"/>
          <w:lang w:bidi="zh-CN"/>
        </w:rPr>
        <w:t>乙方不得随意更换人员，若因特殊原因需要更换人员的，需提前5日告知甲方并征得甲方同意；若乙方擅自更换人员的，相关责任与后果由乙方自行承担，甲方有权解除合同并要求乙方退还甲方已支付的全部费用。</w:t>
      </w:r>
    </w:p>
    <w:p>
      <w:pPr>
        <w:pStyle w:val="13"/>
        <w:spacing w:line="520" w:lineRule="exact"/>
        <w:ind w:firstLine="480" w:firstLineChars="200"/>
        <w:rPr>
          <w:rFonts w:ascii="宋体" w:cs="宋体"/>
          <w:color w:val="auto"/>
          <w:highlight w:val="none"/>
          <w:lang w:bidi="zh-CN"/>
        </w:rPr>
      </w:pPr>
      <w:r>
        <w:rPr>
          <w:rFonts w:hint="eastAsia" w:ascii="宋体" w:cs="宋体"/>
          <w:color w:val="auto"/>
          <w:highlight w:val="none"/>
          <w:lang w:bidi="zh-CN"/>
        </w:rPr>
        <w:t>除项目经理、技术负责人以外，项目至少需配置安全员（需具备安全生产考核合格证C证）</w:t>
      </w:r>
      <w:r>
        <w:rPr>
          <w:rFonts w:hint="eastAsia" w:ascii="宋体" w:cs="宋体"/>
          <w:color w:val="auto"/>
          <w:highlight w:val="none"/>
          <w:u w:val="single"/>
          <w:lang w:bidi="zh-CN"/>
        </w:rPr>
        <w:t>XXX</w:t>
      </w:r>
      <w:r>
        <w:rPr>
          <w:rFonts w:hint="eastAsia" w:ascii="宋体" w:cs="宋体"/>
          <w:color w:val="auto"/>
          <w:highlight w:val="none"/>
          <w:lang w:bidi="zh-CN"/>
        </w:rPr>
        <w:t>、施工员</w:t>
      </w:r>
      <w:r>
        <w:rPr>
          <w:rFonts w:hint="eastAsia" w:ascii="宋体" w:cs="宋体"/>
          <w:color w:val="auto"/>
          <w:highlight w:val="none"/>
          <w:u w:val="single"/>
          <w:lang w:bidi="zh-CN"/>
        </w:rPr>
        <w:t xml:space="preserve"> XXX</w:t>
      </w:r>
      <w:r>
        <w:rPr>
          <w:rFonts w:hint="eastAsia" w:ascii="宋体" w:cs="宋体"/>
          <w:color w:val="auto"/>
          <w:highlight w:val="none"/>
          <w:lang w:bidi="zh-CN"/>
        </w:rPr>
        <w:t xml:space="preserve"> 、资料员XXX</w:t>
      </w:r>
      <w:r>
        <w:rPr>
          <w:rFonts w:hint="eastAsia" w:ascii="宋体" w:cs="宋体"/>
          <w:color w:val="auto"/>
          <w:highlight w:val="none"/>
          <w:u w:val="single"/>
          <w:lang w:bidi="zh-CN"/>
        </w:rPr>
        <w:t xml:space="preserve"> </w:t>
      </w:r>
      <w:r>
        <w:rPr>
          <w:rFonts w:hint="eastAsia" w:ascii="宋体" w:cs="宋体"/>
          <w:color w:val="auto"/>
          <w:highlight w:val="none"/>
          <w:lang w:bidi="zh-CN"/>
        </w:rPr>
        <w:t>。</w:t>
      </w:r>
    </w:p>
    <w:p>
      <w:pPr>
        <w:wordWrap w:val="0"/>
        <w:autoSpaceDE w:val="0"/>
        <w:autoSpaceDN w:val="0"/>
        <w:spacing w:line="520" w:lineRule="exact"/>
        <w:ind w:firstLine="482" w:firstLineChars="200"/>
        <w:rPr>
          <w:rFonts w:cs="宋体"/>
          <w:b/>
          <w:bCs/>
          <w:color w:val="auto"/>
          <w:highlight w:val="none"/>
          <w:lang w:val="zh-CN" w:bidi="zh-CN"/>
        </w:rPr>
      </w:pPr>
      <w:r>
        <w:rPr>
          <w:rFonts w:hint="eastAsia" w:cs="宋体"/>
          <w:b/>
          <w:bCs/>
          <w:color w:val="auto"/>
          <w:highlight w:val="none"/>
          <w:lang w:bidi="zh-CN"/>
        </w:rPr>
        <w:t>十五</w:t>
      </w:r>
      <w:r>
        <w:rPr>
          <w:rFonts w:hint="eastAsia" w:cs="宋体"/>
          <w:b/>
          <w:bCs/>
          <w:color w:val="auto"/>
          <w:highlight w:val="none"/>
          <w:lang w:val="zh-CN" w:bidi="zh-CN"/>
        </w:rPr>
        <w:t>、承诺</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1.甲方承诺按照法律规定履行项目审批手续、筹集工程建设资金并按照合同约定的期限和方式支付合同价款。</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2.乙方承诺按照法律规定及合同约定组织完成工程施工，确保工程质量和安全，不进行转包及违法分包，并在缺陷责任期及保修期内承担相应的工程维修责任。</w:t>
      </w:r>
    </w:p>
    <w:p>
      <w:pPr>
        <w:wordWrap w:val="0"/>
        <w:autoSpaceDE w:val="0"/>
        <w:autoSpaceDN w:val="0"/>
        <w:spacing w:line="520" w:lineRule="exact"/>
        <w:ind w:firstLine="480" w:firstLineChars="200"/>
        <w:rPr>
          <w:rFonts w:cs="宋体"/>
          <w:color w:val="auto"/>
          <w:highlight w:val="none"/>
          <w:lang w:val="zh-CN" w:bidi="zh-CN"/>
        </w:rPr>
      </w:pPr>
      <w:r>
        <w:rPr>
          <w:rFonts w:hint="eastAsia" w:cs="宋体"/>
          <w:color w:val="auto"/>
          <w:highlight w:val="none"/>
          <w:lang w:val="zh-CN" w:bidi="zh-CN"/>
        </w:rPr>
        <w:t>3.甲方和乙方通过采购形式签订合同的，双方理解并承诺不再就同一工程另行签订与合同实质性内容相背离的协议。</w:t>
      </w:r>
    </w:p>
    <w:p>
      <w:pPr>
        <w:wordWrap w:val="0"/>
        <w:autoSpaceDE w:val="0"/>
        <w:autoSpaceDN w:val="0"/>
        <w:spacing w:line="520" w:lineRule="exact"/>
        <w:ind w:firstLine="480" w:firstLineChars="200"/>
        <w:rPr>
          <w:rFonts w:cs="宋体"/>
          <w:color w:val="auto"/>
          <w:kern w:val="0"/>
          <w:highlight w:val="none"/>
          <w:lang w:bidi="zh-CN"/>
        </w:rPr>
      </w:pPr>
      <w:r>
        <w:rPr>
          <w:rFonts w:hint="eastAsia" w:cs="宋体"/>
          <w:color w:val="auto"/>
          <w:kern w:val="0"/>
          <w:highlight w:val="none"/>
          <w:lang w:val="zh-CN" w:bidi="zh-CN"/>
        </w:rPr>
        <w:t>4.工程整体质保2年，质保期按竣工验收合格之日算起。</w:t>
      </w:r>
    </w:p>
    <w:p>
      <w:pPr>
        <w:wordWrap w:val="0"/>
        <w:autoSpaceDE w:val="0"/>
        <w:autoSpaceDN w:val="0"/>
        <w:spacing w:line="520" w:lineRule="exact"/>
        <w:ind w:firstLine="482" w:firstLineChars="200"/>
        <w:rPr>
          <w:rFonts w:cs="宋体"/>
          <w:b/>
          <w:color w:val="auto"/>
          <w:kern w:val="0"/>
          <w:highlight w:val="none"/>
          <w:lang w:val="zh-CN" w:bidi="zh-CN"/>
        </w:rPr>
      </w:pPr>
      <w:r>
        <w:rPr>
          <w:rFonts w:hint="eastAsia" w:cs="宋体"/>
          <w:b/>
          <w:color w:val="auto"/>
          <w:kern w:val="0"/>
          <w:highlight w:val="none"/>
          <w:lang w:val="zh-CN" w:bidi="zh-CN"/>
        </w:rPr>
        <w:t>十六、词语含义</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本协议书中词语含义与第</w:t>
      </w:r>
      <w:r>
        <w:rPr>
          <w:rFonts w:hint="eastAsia" w:cs="宋体"/>
          <w:color w:val="auto"/>
          <w:kern w:val="0"/>
          <w:highlight w:val="none"/>
          <w:lang w:bidi="zh-CN"/>
        </w:rPr>
        <w:t>三</w:t>
      </w:r>
      <w:r>
        <w:rPr>
          <w:rFonts w:hint="eastAsia" w:cs="宋体"/>
          <w:color w:val="auto"/>
          <w:kern w:val="0"/>
          <w:highlight w:val="none"/>
          <w:lang w:val="zh-CN" w:bidi="zh-CN"/>
        </w:rPr>
        <w:t>部分通用合同条款中赋予的含义相同。</w:t>
      </w:r>
    </w:p>
    <w:p>
      <w:pPr>
        <w:wordWrap w:val="0"/>
        <w:autoSpaceDE w:val="0"/>
        <w:autoSpaceDN w:val="0"/>
        <w:spacing w:line="520" w:lineRule="exact"/>
        <w:ind w:firstLine="482" w:firstLineChars="200"/>
        <w:rPr>
          <w:rFonts w:cs="宋体"/>
          <w:b/>
          <w:color w:val="auto"/>
          <w:kern w:val="0"/>
          <w:highlight w:val="none"/>
          <w:lang w:val="zh-CN" w:bidi="zh-CN"/>
        </w:rPr>
      </w:pPr>
      <w:r>
        <w:rPr>
          <w:rFonts w:hint="eastAsia" w:cs="宋体"/>
          <w:b/>
          <w:color w:val="auto"/>
          <w:kern w:val="0"/>
          <w:highlight w:val="none"/>
          <w:lang w:val="zh-CN" w:bidi="zh-CN"/>
        </w:rPr>
        <w:t>十七、合同文件构成</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本协议书与下列文件一起构成合同文件：</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(1)成交通知书；</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(2)响应函；</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(3)专用合同条款及其附件；</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(4)通用合同条款；</w:t>
      </w:r>
    </w:p>
    <w:p>
      <w:pPr>
        <w:wordWrap w:val="0"/>
        <w:autoSpaceDE w:val="0"/>
        <w:autoSpaceDN w:val="0"/>
        <w:spacing w:line="520" w:lineRule="exact"/>
        <w:ind w:firstLine="480" w:firstLineChars="200"/>
        <w:rPr>
          <w:rFonts w:cs="宋体"/>
          <w:color w:val="auto"/>
          <w:kern w:val="0"/>
          <w:highlight w:val="none"/>
          <w:lang w:bidi="zh-CN"/>
        </w:rPr>
      </w:pPr>
      <w:r>
        <w:rPr>
          <w:rFonts w:hint="eastAsia" w:cs="宋体"/>
          <w:color w:val="auto"/>
          <w:kern w:val="0"/>
          <w:highlight w:val="none"/>
          <w:lang w:val="zh-CN" w:bidi="zh-CN"/>
        </w:rPr>
        <w:t>(5)</w:t>
      </w:r>
      <w:r>
        <w:rPr>
          <w:rFonts w:hint="eastAsia" w:cs="宋体"/>
          <w:color w:val="auto"/>
          <w:kern w:val="0"/>
          <w:highlight w:val="none"/>
          <w:lang w:bidi="zh-CN"/>
        </w:rPr>
        <w:t>甲方的谈判文件；</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val="zh-CN" w:bidi="zh-CN"/>
        </w:rPr>
        <w:t>(</w:t>
      </w:r>
      <w:r>
        <w:rPr>
          <w:rFonts w:hint="eastAsia" w:cs="宋体"/>
          <w:bCs/>
          <w:color w:val="auto"/>
          <w:highlight w:val="none"/>
          <w:lang w:bidi="zh-CN"/>
        </w:rPr>
        <w:t>6)乙方响应文件；</w:t>
      </w:r>
    </w:p>
    <w:p>
      <w:pPr>
        <w:wordWrap w:val="0"/>
        <w:autoSpaceDE w:val="0"/>
        <w:autoSpaceDN w:val="0"/>
        <w:spacing w:line="520" w:lineRule="exact"/>
        <w:ind w:firstLine="480" w:firstLineChars="200"/>
        <w:rPr>
          <w:rFonts w:cs="宋体"/>
          <w:color w:val="auto"/>
          <w:kern w:val="0"/>
          <w:highlight w:val="none"/>
          <w:lang w:bidi="zh-CN"/>
        </w:rPr>
      </w:pPr>
      <w:r>
        <w:rPr>
          <w:rFonts w:hint="eastAsia" w:cs="宋体"/>
          <w:color w:val="auto"/>
          <w:kern w:val="0"/>
          <w:highlight w:val="none"/>
          <w:lang w:bidi="zh-CN"/>
        </w:rPr>
        <w:t>(7)房屋建筑工程质量保修书；</w:t>
      </w:r>
    </w:p>
    <w:p>
      <w:pPr>
        <w:wordWrap w:val="0"/>
        <w:autoSpaceDE w:val="0"/>
        <w:autoSpaceDN w:val="0"/>
        <w:spacing w:line="520" w:lineRule="exact"/>
        <w:ind w:firstLine="480" w:firstLineChars="200"/>
        <w:rPr>
          <w:rFonts w:cs="宋体"/>
          <w:color w:val="auto"/>
          <w:kern w:val="0"/>
          <w:highlight w:val="none"/>
          <w:lang w:bidi="zh-CN"/>
        </w:rPr>
      </w:pPr>
      <w:r>
        <w:rPr>
          <w:rFonts w:hint="eastAsia" w:cs="宋体"/>
          <w:color w:val="auto"/>
          <w:kern w:val="0"/>
          <w:highlight w:val="none"/>
          <w:lang w:val="zh-CN" w:bidi="zh-CN"/>
        </w:rPr>
        <w:t>上述各项合同文件包括合同当事人就该项合同文件所作出的补充和修改，属于同一类内容的文件，应以最新签署的为准。专用合同条款及其附件须经合同当事人签字、盖章。</w:t>
      </w:r>
    </w:p>
    <w:p>
      <w:pPr>
        <w:wordWrap w:val="0"/>
        <w:autoSpaceDE w:val="0"/>
        <w:autoSpaceDN w:val="0"/>
        <w:spacing w:line="520" w:lineRule="exact"/>
        <w:ind w:firstLine="482" w:firstLineChars="200"/>
        <w:rPr>
          <w:rFonts w:cs="宋体"/>
          <w:b/>
          <w:color w:val="auto"/>
          <w:kern w:val="0"/>
          <w:highlight w:val="none"/>
          <w:lang w:val="zh-CN" w:bidi="zh-CN"/>
        </w:rPr>
      </w:pPr>
      <w:r>
        <w:rPr>
          <w:rFonts w:hint="eastAsia" w:cs="宋体"/>
          <w:b/>
          <w:color w:val="auto"/>
          <w:kern w:val="0"/>
          <w:highlight w:val="none"/>
          <w:lang w:bidi="zh-CN"/>
        </w:rPr>
        <w:t>十八</w:t>
      </w:r>
      <w:r>
        <w:rPr>
          <w:rFonts w:hint="eastAsia" w:cs="宋体"/>
          <w:b/>
          <w:color w:val="auto"/>
          <w:kern w:val="0"/>
          <w:highlight w:val="none"/>
          <w:lang w:val="zh-CN" w:bidi="zh-CN"/>
        </w:rPr>
        <w:t>、补充协议</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合同未尽事宜，合同当事人另行签订补充协议，补充协议是合同的组成部分。补充合同与本合同具有同等法律效力。</w:t>
      </w:r>
    </w:p>
    <w:p>
      <w:pPr>
        <w:wordWrap w:val="0"/>
        <w:autoSpaceDE w:val="0"/>
        <w:autoSpaceDN w:val="0"/>
        <w:spacing w:line="520" w:lineRule="exact"/>
        <w:ind w:firstLine="482" w:firstLineChars="200"/>
        <w:rPr>
          <w:rFonts w:cs="宋体"/>
          <w:b/>
          <w:color w:val="auto"/>
          <w:kern w:val="0"/>
          <w:highlight w:val="none"/>
          <w:lang w:val="zh-CN" w:bidi="zh-CN"/>
        </w:rPr>
      </w:pPr>
      <w:r>
        <w:rPr>
          <w:rFonts w:hint="eastAsia" w:cs="宋体"/>
          <w:b/>
          <w:color w:val="auto"/>
          <w:kern w:val="0"/>
          <w:highlight w:val="none"/>
          <w:lang w:bidi="zh-CN"/>
        </w:rPr>
        <w:t>十九</w:t>
      </w:r>
      <w:r>
        <w:rPr>
          <w:rFonts w:hint="eastAsia" w:cs="宋体"/>
          <w:b/>
          <w:color w:val="auto"/>
          <w:kern w:val="0"/>
          <w:highlight w:val="none"/>
          <w:lang w:val="zh-CN" w:bidi="zh-CN"/>
        </w:rPr>
        <w:t>、合同生效</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本合同自乙方</w:t>
      </w:r>
      <w:r>
        <w:rPr>
          <w:rFonts w:hint="eastAsia" w:cs="宋体"/>
          <w:color w:val="auto"/>
          <w:kern w:val="0"/>
          <w:highlight w:val="none"/>
          <w:lang w:bidi="zh-CN"/>
        </w:rPr>
        <w:t>缴纳</w:t>
      </w:r>
      <w:r>
        <w:rPr>
          <w:rFonts w:hint="eastAsia" w:cs="宋体"/>
          <w:color w:val="auto"/>
          <w:kern w:val="0"/>
          <w:highlight w:val="none"/>
          <w:lang w:val="zh-CN" w:bidi="zh-CN"/>
        </w:rPr>
        <w:t>履约保证金后，</w:t>
      </w:r>
      <w:r>
        <w:rPr>
          <w:rFonts w:hint="eastAsia" w:cs="宋体"/>
          <w:color w:val="auto"/>
          <w:kern w:val="0"/>
          <w:highlight w:val="none"/>
          <w:lang w:bidi="zh-CN"/>
        </w:rPr>
        <w:t>且</w:t>
      </w:r>
      <w:r>
        <w:rPr>
          <w:rFonts w:hint="eastAsia" w:cs="宋体"/>
          <w:color w:val="auto"/>
          <w:kern w:val="0"/>
          <w:highlight w:val="none"/>
          <w:lang w:val="zh-CN" w:bidi="zh-CN"/>
        </w:rPr>
        <w:t>双方法定代表人或授权代表签字并加盖</w:t>
      </w:r>
      <w:r>
        <w:rPr>
          <w:rFonts w:hint="eastAsia" w:cs="宋体"/>
          <w:color w:val="auto"/>
          <w:kern w:val="0"/>
          <w:highlight w:val="none"/>
          <w:lang w:bidi="zh-CN"/>
        </w:rPr>
        <w:t>单位公</w:t>
      </w:r>
      <w:r>
        <w:rPr>
          <w:rFonts w:hint="eastAsia" w:cs="宋体"/>
          <w:color w:val="auto"/>
          <w:kern w:val="0"/>
          <w:highlight w:val="none"/>
          <w:lang w:val="zh-CN" w:bidi="zh-CN"/>
        </w:rPr>
        <w:t>章</w:t>
      </w:r>
      <w:r>
        <w:rPr>
          <w:rFonts w:hint="eastAsia" w:cs="宋体"/>
          <w:color w:val="auto"/>
          <w:kern w:val="0"/>
          <w:highlight w:val="none"/>
          <w:lang w:bidi="zh-CN"/>
        </w:rPr>
        <w:t>后</w:t>
      </w:r>
      <w:r>
        <w:rPr>
          <w:rFonts w:hint="eastAsia" w:cs="宋体"/>
          <w:color w:val="auto"/>
          <w:kern w:val="0"/>
          <w:highlight w:val="none"/>
          <w:lang w:val="zh-CN" w:bidi="zh-CN"/>
        </w:rPr>
        <w:t>生效。</w:t>
      </w:r>
    </w:p>
    <w:p>
      <w:pPr>
        <w:wordWrap w:val="0"/>
        <w:autoSpaceDE w:val="0"/>
        <w:autoSpaceDN w:val="0"/>
        <w:spacing w:line="520" w:lineRule="exact"/>
        <w:ind w:firstLine="482" w:firstLineChars="200"/>
        <w:rPr>
          <w:rFonts w:cs="宋体"/>
          <w:b/>
          <w:color w:val="auto"/>
          <w:kern w:val="0"/>
          <w:highlight w:val="none"/>
          <w:lang w:val="zh-CN" w:bidi="zh-CN"/>
        </w:rPr>
      </w:pPr>
      <w:r>
        <w:rPr>
          <w:rFonts w:hint="eastAsia" w:cs="宋体"/>
          <w:b/>
          <w:color w:val="auto"/>
          <w:kern w:val="0"/>
          <w:highlight w:val="none"/>
          <w:lang w:bidi="zh-CN"/>
        </w:rPr>
        <w:t>二十、</w:t>
      </w:r>
      <w:r>
        <w:rPr>
          <w:rFonts w:hint="eastAsia" w:cs="宋体"/>
          <w:b/>
          <w:color w:val="auto"/>
          <w:kern w:val="0"/>
          <w:highlight w:val="none"/>
          <w:lang w:val="zh-CN" w:bidi="zh-CN"/>
        </w:rPr>
        <w:t>合同份数</w:t>
      </w:r>
    </w:p>
    <w:p>
      <w:pPr>
        <w:wordWrap w:val="0"/>
        <w:autoSpaceDE w:val="0"/>
        <w:autoSpaceDN w:val="0"/>
        <w:spacing w:line="520" w:lineRule="exact"/>
        <w:ind w:firstLine="480" w:firstLineChars="200"/>
        <w:rPr>
          <w:rFonts w:cs="宋体"/>
          <w:color w:val="auto"/>
          <w:kern w:val="0"/>
          <w:highlight w:val="none"/>
          <w:lang w:val="zh-CN" w:bidi="zh-CN"/>
        </w:rPr>
      </w:pPr>
      <w:r>
        <w:rPr>
          <w:rFonts w:hint="eastAsia" w:cs="宋体"/>
          <w:color w:val="auto"/>
          <w:kern w:val="0"/>
          <w:highlight w:val="none"/>
          <w:lang w:val="zh-CN" w:bidi="zh-CN"/>
        </w:rPr>
        <w:t>本合同一式陆份，其中甲方肆份、乙方贰份，</w:t>
      </w:r>
      <w:r>
        <w:rPr>
          <w:rFonts w:hint="eastAsia" w:cs="宋体"/>
          <w:color w:val="auto"/>
          <w:kern w:val="0"/>
          <w:highlight w:val="none"/>
          <w:lang w:bidi="zh-CN"/>
        </w:rPr>
        <w:t>都</w:t>
      </w:r>
      <w:r>
        <w:rPr>
          <w:rFonts w:hint="eastAsia" w:cs="宋体"/>
          <w:color w:val="auto"/>
          <w:kern w:val="0"/>
          <w:highlight w:val="none"/>
          <w:lang w:val="zh-CN" w:bidi="zh-CN"/>
        </w:rPr>
        <w:t>具有同等法律效力。</w:t>
      </w:r>
    </w:p>
    <w:p>
      <w:pPr>
        <w:rPr>
          <w:rFonts w:cs="宋体"/>
          <w:b/>
          <w:color w:val="auto"/>
          <w:highlight w:val="none"/>
          <w:lang w:val="zh-CN" w:bidi="zh-CN"/>
        </w:rPr>
      </w:pPr>
      <w:r>
        <w:rPr>
          <w:rFonts w:hint="eastAsia" w:cs="宋体"/>
          <w:b/>
          <w:color w:val="auto"/>
          <w:highlight w:val="none"/>
          <w:lang w:val="zh-CN" w:bidi="zh-CN"/>
        </w:rPr>
        <w:br w:type="page"/>
      </w:r>
    </w:p>
    <w:p>
      <w:pPr>
        <w:wordWrap w:val="0"/>
        <w:autoSpaceDE w:val="0"/>
        <w:autoSpaceDN w:val="0"/>
        <w:spacing w:line="520" w:lineRule="exact"/>
        <w:jc w:val="center"/>
        <w:rPr>
          <w:rFonts w:cs="宋体"/>
          <w:b/>
          <w:color w:val="auto"/>
          <w:highlight w:val="none"/>
          <w:lang w:val="zh-CN" w:bidi="zh-CN"/>
        </w:rPr>
      </w:pPr>
      <w:r>
        <w:rPr>
          <w:rFonts w:hint="eastAsia" w:cs="宋体"/>
          <w:b/>
          <w:color w:val="auto"/>
          <w:highlight w:val="none"/>
          <w:lang w:val="zh-CN" w:bidi="zh-CN"/>
        </w:rPr>
        <w:t>此页以下为签署页无正文</w:t>
      </w:r>
    </w:p>
    <w:tbl>
      <w:tblPr>
        <w:tblStyle w:val="24"/>
        <w:tblpPr w:leftFromText="180" w:rightFromText="180" w:vertAnchor="text" w:horzAnchor="page" w:tblpX="1327" w:tblpY="386"/>
        <w:tblOverlap w:val="never"/>
        <w:tblW w:w="9705" w:type="dxa"/>
        <w:tblInd w:w="0" w:type="dxa"/>
        <w:tblLayout w:type="fixed"/>
        <w:tblCellMar>
          <w:top w:w="0" w:type="dxa"/>
          <w:left w:w="108" w:type="dxa"/>
          <w:bottom w:w="0" w:type="dxa"/>
          <w:right w:w="108" w:type="dxa"/>
        </w:tblCellMar>
      </w:tblPr>
      <w:tblGrid>
        <w:gridCol w:w="4852"/>
        <w:gridCol w:w="4853"/>
      </w:tblGrid>
      <w:tr>
        <w:tblPrEx>
          <w:tblCellMar>
            <w:top w:w="0" w:type="dxa"/>
            <w:left w:w="108" w:type="dxa"/>
            <w:bottom w:w="0" w:type="dxa"/>
            <w:right w:w="108" w:type="dxa"/>
          </w:tblCellMar>
        </w:tblPrEx>
        <w:tc>
          <w:tcPr>
            <w:tcW w:w="4852"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甲方：(盖章)</w:t>
            </w:r>
          </w:p>
        </w:tc>
        <w:tc>
          <w:tcPr>
            <w:tcW w:w="4853"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 xml:space="preserve">乙方：(盖章) </w:t>
            </w:r>
          </w:p>
        </w:tc>
      </w:tr>
      <w:tr>
        <w:tblPrEx>
          <w:tblCellMar>
            <w:top w:w="0" w:type="dxa"/>
            <w:left w:w="108" w:type="dxa"/>
            <w:bottom w:w="0" w:type="dxa"/>
            <w:right w:w="108" w:type="dxa"/>
          </w:tblCellMar>
        </w:tblPrEx>
        <w:trPr>
          <w:trHeight w:val="372" w:hRule="atLeast"/>
        </w:trPr>
        <w:tc>
          <w:tcPr>
            <w:tcW w:w="4852"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法定代表人(授权代理人)：</w:t>
            </w:r>
          </w:p>
        </w:tc>
        <w:tc>
          <w:tcPr>
            <w:tcW w:w="4853"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法定代表人(授权代理人)：</w:t>
            </w:r>
          </w:p>
        </w:tc>
      </w:tr>
      <w:tr>
        <w:tblPrEx>
          <w:tblCellMar>
            <w:top w:w="0" w:type="dxa"/>
            <w:left w:w="108" w:type="dxa"/>
            <w:bottom w:w="0" w:type="dxa"/>
            <w:right w:w="108" w:type="dxa"/>
          </w:tblCellMar>
        </w:tblPrEx>
        <w:tc>
          <w:tcPr>
            <w:tcW w:w="4852"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地址：成都市郫都区红光街道港通北三路1899号</w:t>
            </w:r>
          </w:p>
        </w:tc>
        <w:tc>
          <w:tcPr>
            <w:tcW w:w="4853"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地址：XXXXXX</w:t>
            </w:r>
          </w:p>
        </w:tc>
      </w:tr>
      <w:tr>
        <w:tblPrEx>
          <w:tblCellMar>
            <w:top w:w="0" w:type="dxa"/>
            <w:left w:w="108" w:type="dxa"/>
            <w:bottom w:w="0" w:type="dxa"/>
            <w:right w:w="108" w:type="dxa"/>
          </w:tblCellMar>
        </w:tblPrEx>
        <w:tc>
          <w:tcPr>
            <w:tcW w:w="4852" w:type="dxa"/>
            <w:vAlign w:val="center"/>
          </w:tcPr>
          <w:p>
            <w:pPr>
              <w:wordWrap w:val="0"/>
              <w:autoSpaceDE w:val="0"/>
              <w:autoSpaceDN w:val="0"/>
              <w:rPr>
                <w:rFonts w:cs="宋体"/>
                <w:color w:val="auto"/>
                <w:kern w:val="0"/>
                <w:highlight w:val="none"/>
                <w:lang w:bidi="zh-CN"/>
              </w:rPr>
            </w:pPr>
            <w:r>
              <w:rPr>
                <w:rFonts w:hint="eastAsia" w:cs="宋体"/>
                <w:color w:val="auto"/>
                <w:kern w:val="0"/>
                <w:highlight w:val="none"/>
                <w:lang w:val="zh-CN" w:bidi="zh-CN"/>
              </w:rPr>
              <w:t>联系电话：61835016</w:t>
            </w:r>
          </w:p>
        </w:tc>
        <w:tc>
          <w:tcPr>
            <w:tcW w:w="4853" w:type="dxa"/>
            <w:vAlign w:val="center"/>
          </w:tcPr>
          <w:p>
            <w:pPr>
              <w:wordWrap w:val="0"/>
              <w:autoSpaceDE w:val="0"/>
              <w:autoSpaceDN w:val="0"/>
              <w:rPr>
                <w:rFonts w:cs="宋体"/>
                <w:color w:val="auto"/>
                <w:kern w:val="0"/>
                <w:highlight w:val="none"/>
                <w:lang w:bidi="zh-CN"/>
              </w:rPr>
            </w:pPr>
            <w:r>
              <w:rPr>
                <w:rFonts w:hint="eastAsia" w:cs="宋体"/>
                <w:color w:val="auto"/>
                <w:kern w:val="0"/>
                <w:highlight w:val="none"/>
                <w:lang w:val="zh-CN" w:bidi="zh-CN"/>
              </w:rPr>
              <w:t xml:space="preserve">联系电话：XXXXX </w:t>
            </w:r>
          </w:p>
        </w:tc>
      </w:tr>
      <w:tr>
        <w:tblPrEx>
          <w:tblCellMar>
            <w:top w:w="0" w:type="dxa"/>
            <w:left w:w="108" w:type="dxa"/>
            <w:bottom w:w="0" w:type="dxa"/>
            <w:right w:w="108" w:type="dxa"/>
          </w:tblCellMar>
        </w:tblPrEx>
        <w:tc>
          <w:tcPr>
            <w:tcW w:w="4852"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开户银行：</w:t>
            </w:r>
            <w:r>
              <w:rPr>
                <w:rFonts w:hint="eastAsia" w:cs="宋体"/>
                <w:snapToGrid w:val="0"/>
                <w:color w:val="auto"/>
                <w:kern w:val="0"/>
                <w:highlight w:val="none"/>
                <w:lang w:val="zh-CN" w:bidi="zh-CN"/>
              </w:rPr>
              <w:t>工行四川成都分行郫都红光支行</w:t>
            </w:r>
          </w:p>
        </w:tc>
        <w:tc>
          <w:tcPr>
            <w:tcW w:w="4853"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开户银行：XXXXX</w:t>
            </w:r>
          </w:p>
        </w:tc>
      </w:tr>
      <w:tr>
        <w:tblPrEx>
          <w:tblCellMar>
            <w:top w:w="0" w:type="dxa"/>
            <w:left w:w="108" w:type="dxa"/>
            <w:bottom w:w="0" w:type="dxa"/>
            <w:right w:w="108" w:type="dxa"/>
          </w:tblCellMar>
        </w:tblPrEx>
        <w:tc>
          <w:tcPr>
            <w:tcW w:w="4852" w:type="dxa"/>
            <w:vAlign w:val="center"/>
          </w:tcPr>
          <w:p>
            <w:pPr>
              <w:wordWrap w:val="0"/>
              <w:autoSpaceDE w:val="0"/>
              <w:autoSpaceDN w:val="0"/>
              <w:rPr>
                <w:rFonts w:cs="宋体"/>
                <w:color w:val="auto"/>
                <w:kern w:val="0"/>
                <w:highlight w:val="none"/>
                <w:lang w:bidi="zh-CN"/>
              </w:rPr>
            </w:pPr>
            <w:r>
              <w:rPr>
                <w:rFonts w:hint="eastAsia" w:cs="宋体"/>
                <w:color w:val="auto"/>
                <w:kern w:val="0"/>
                <w:highlight w:val="none"/>
                <w:lang w:val="zh-CN" w:bidi="zh-CN"/>
              </w:rPr>
              <w:t>账    号：</w:t>
            </w:r>
            <w:r>
              <w:rPr>
                <w:rFonts w:hint="eastAsia" w:cs="宋体"/>
                <w:color w:val="auto"/>
                <w:kern w:val="0"/>
                <w:highlight w:val="none"/>
                <w:lang w:bidi="zh-CN"/>
              </w:rPr>
              <w:t>44020546091000031151</w:t>
            </w:r>
          </w:p>
        </w:tc>
        <w:tc>
          <w:tcPr>
            <w:tcW w:w="4853"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账    号：XXXXX</w:t>
            </w:r>
          </w:p>
        </w:tc>
      </w:tr>
      <w:tr>
        <w:tblPrEx>
          <w:tblCellMar>
            <w:top w:w="0" w:type="dxa"/>
            <w:left w:w="108" w:type="dxa"/>
            <w:bottom w:w="0" w:type="dxa"/>
            <w:right w:w="108" w:type="dxa"/>
          </w:tblCellMar>
        </w:tblPrEx>
        <w:tc>
          <w:tcPr>
            <w:tcW w:w="4852"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签约日期：   年</w:t>
            </w:r>
            <w:r>
              <w:rPr>
                <w:rFonts w:hint="eastAsia" w:cs="宋体"/>
                <w:color w:val="auto"/>
                <w:kern w:val="0"/>
                <w:highlight w:val="none"/>
                <w:lang w:bidi="zh-CN"/>
              </w:rPr>
              <w:t xml:space="preserve">  </w:t>
            </w:r>
            <w:r>
              <w:rPr>
                <w:rFonts w:hint="eastAsia" w:cs="宋体"/>
                <w:color w:val="auto"/>
                <w:kern w:val="0"/>
                <w:highlight w:val="none"/>
                <w:lang w:val="zh-CN" w:bidi="zh-CN"/>
              </w:rPr>
              <w:t>月</w:t>
            </w:r>
            <w:r>
              <w:rPr>
                <w:rFonts w:hint="eastAsia" w:cs="宋体"/>
                <w:color w:val="auto"/>
                <w:kern w:val="0"/>
                <w:highlight w:val="none"/>
                <w:lang w:bidi="zh-CN"/>
              </w:rPr>
              <w:t xml:space="preserve">   </w:t>
            </w:r>
            <w:r>
              <w:rPr>
                <w:rFonts w:hint="eastAsia" w:cs="宋体"/>
                <w:color w:val="auto"/>
                <w:kern w:val="0"/>
                <w:highlight w:val="none"/>
                <w:lang w:val="zh-CN" w:bidi="zh-CN"/>
              </w:rPr>
              <w:t>日</w:t>
            </w:r>
          </w:p>
        </w:tc>
        <w:tc>
          <w:tcPr>
            <w:tcW w:w="4853" w:type="dxa"/>
            <w:vAlign w:val="center"/>
          </w:tcPr>
          <w:p>
            <w:pPr>
              <w:wordWrap w:val="0"/>
              <w:autoSpaceDE w:val="0"/>
              <w:autoSpaceDN w:val="0"/>
              <w:rPr>
                <w:rFonts w:cs="宋体"/>
                <w:color w:val="auto"/>
                <w:kern w:val="0"/>
                <w:highlight w:val="none"/>
                <w:lang w:val="zh-CN" w:bidi="zh-CN"/>
              </w:rPr>
            </w:pPr>
            <w:r>
              <w:rPr>
                <w:rFonts w:hint="eastAsia" w:cs="宋体"/>
                <w:color w:val="auto"/>
                <w:kern w:val="0"/>
                <w:highlight w:val="none"/>
                <w:lang w:val="zh-CN" w:bidi="zh-CN"/>
              </w:rPr>
              <w:t>签约日期：  年  月</w:t>
            </w:r>
            <w:r>
              <w:rPr>
                <w:rFonts w:hint="eastAsia" w:cs="宋体"/>
                <w:color w:val="auto"/>
                <w:kern w:val="0"/>
                <w:highlight w:val="none"/>
                <w:lang w:bidi="zh-CN"/>
              </w:rPr>
              <w:t xml:space="preserve">   </w:t>
            </w:r>
            <w:r>
              <w:rPr>
                <w:rFonts w:hint="eastAsia" w:cs="宋体"/>
                <w:color w:val="auto"/>
                <w:kern w:val="0"/>
                <w:highlight w:val="none"/>
                <w:lang w:val="zh-CN" w:bidi="zh-CN"/>
              </w:rPr>
              <w:t>日</w:t>
            </w:r>
          </w:p>
        </w:tc>
      </w:tr>
    </w:tbl>
    <w:p>
      <w:pPr>
        <w:wordWrap w:val="0"/>
        <w:autoSpaceDE w:val="0"/>
        <w:autoSpaceDN w:val="0"/>
        <w:ind w:firstLine="560" w:firstLineChars="200"/>
        <w:rPr>
          <w:rFonts w:cs="宋体"/>
          <w:bCs/>
          <w:color w:val="auto"/>
          <w:sz w:val="28"/>
          <w:szCs w:val="28"/>
          <w:highlight w:val="none"/>
          <w:lang w:val="zh-CN" w:bidi="zh-CN"/>
        </w:rPr>
      </w:pPr>
    </w:p>
    <w:p>
      <w:pPr>
        <w:wordWrap w:val="0"/>
        <w:autoSpaceDE w:val="0"/>
        <w:autoSpaceDN w:val="0"/>
        <w:ind w:firstLine="560" w:firstLineChars="200"/>
        <w:jc w:val="center"/>
        <w:rPr>
          <w:rFonts w:cs="宋体"/>
          <w:color w:val="auto"/>
          <w:kern w:val="0"/>
          <w:sz w:val="28"/>
          <w:szCs w:val="28"/>
          <w:highlight w:val="none"/>
          <w:lang w:val="zh-CN" w:bidi="zh-CN"/>
        </w:rPr>
      </w:pPr>
      <w:r>
        <w:rPr>
          <w:rFonts w:hint="eastAsia" w:cs="宋体"/>
          <w:color w:val="auto"/>
          <w:kern w:val="0"/>
          <w:sz w:val="28"/>
          <w:szCs w:val="28"/>
          <w:highlight w:val="none"/>
          <w:lang w:val="zh-CN" w:bidi="zh-CN"/>
        </w:rPr>
        <w:tab/>
      </w:r>
    </w:p>
    <w:p>
      <w:pPr>
        <w:autoSpaceDE w:val="0"/>
        <w:autoSpaceDN w:val="0"/>
        <w:rPr>
          <w:rFonts w:cs="宋体"/>
          <w:color w:val="auto"/>
          <w:kern w:val="0"/>
          <w:sz w:val="28"/>
          <w:szCs w:val="28"/>
          <w:highlight w:val="none"/>
          <w:lang w:val="zh-CN" w:bidi="zh-CN"/>
        </w:rPr>
      </w:pPr>
      <w:r>
        <w:rPr>
          <w:rFonts w:hint="eastAsia" w:cs="宋体"/>
          <w:color w:val="auto"/>
          <w:kern w:val="0"/>
          <w:sz w:val="28"/>
          <w:szCs w:val="28"/>
          <w:highlight w:val="none"/>
          <w:lang w:val="zh-CN" w:bidi="zh-CN"/>
        </w:rPr>
        <w:br w:type="page"/>
      </w:r>
    </w:p>
    <w:p>
      <w:pPr>
        <w:wordWrap w:val="0"/>
        <w:autoSpaceDE w:val="0"/>
        <w:autoSpaceDN w:val="0"/>
        <w:spacing w:line="520" w:lineRule="exact"/>
        <w:ind w:firstLine="480" w:firstLineChars="200"/>
        <w:jc w:val="center"/>
        <w:rPr>
          <w:rFonts w:cs="宋体"/>
          <w:bCs/>
          <w:color w:val="auto"/>
          <w:kern w:val="0"/>
          <w:highlight w:val="none"/>
          <w:lang w:bidi="zh-CN"/>
        </w:rPr>
      </w:pPr>
      <w:r>
        <w:rPr>
          <w:rFonts w:hint="eastAsia" w:cs="宋体"/>
          <w:bCs/>
          <w:color w:val="auto"/>
          <w:kern w:val="0"/>
          <w:highlight w:val="none"/>
          <w:lang w:bidi="zh-CN"/>
        </w:rPr>
        <w:t>第二部分</w:t>
      </w:r>
    </w:p>
    <w:p>
      <w:pPr>
        <w:wordWrap w:val="0"/>
        <w:autoSpaceDE w:val="0"/>
        <w:autoSpaceDN w:val="0"/>
        <w:spacing w:line="520" w:lineRule="exact"/>
        <w:ind w:firstLine="482" w:firstLineChars="200"/>
        <w:jc w:val="center"/>
        <w:rPr>
          <w:rFonts w:cs="宋体"/>
          <w:b/>
          <w:bCs/>
          <w:color w:val="auto"/>
          <w:kern w:val="0"/>
          <w:highlight w:val="none"/>
          <w:lang w:val="zh-CN" w:bidi="zh-CN"/>
        </w:rPr>
      </w:pPr>
      <w:r>
        <w:rPr>
          <w:rFonts w:hint="eastAsia" w:cs="宋体"/>
          <w:b/>
          <w:bCs/>
          <w:color w:val="auto"/>
          <w:kern w:val="0"/>
          <w:highlight w:val="none"/>
          <w:lang w:val="zh-CN" w:bidi="zh-CN"/>
        </w:rPr>
        <w:t>工程质量保修书</w:t>
      </w:r>
    </w:p>
    <w:p>
      <w:pPr>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kern w:val="0"/>
          <w:highlight w:val="none"/>
          <w:lang w:val="zh-CN" w:bidi="zh-CN"/>
        </w:rPr>
        <w:t>发包人：(全称)</w:t>
      </w:r>
      <w:r>
        <w:rPr>
          <w:rFonts w:hint="eastAsia" w:cs="宋体"/>
          <w:color w:val="auto"/>
          <w:highlight w:val="none"/>
        </w:rPr>
        <w:t xml:space="preserve"> </w:t>
      </w:r>
      <w:r>
        <w:rPr>
          <w:rFonts w:hint="eastAsia" w:cs="宋体"/>
          <w:bCs/>
          <w:color w:val="auto"/>
          <w:kern w:val="0"/>
          <w:highlight w:val="none"/>
          <w:lang w:val="zh-CN" w:bidi="zh-CN"/>
        </w:rPr>
        <w:t>成都市技师学院</w:t>
      </w:r>
      <w:r>
        <w:rPr>
          <w:rFonts w:hint="eastAsia" w:cs="宋体"/>
          <w:bCs/>
          <w:color w:val="auto"/>
          <w:kern w:val="0"/>
          <w:highlight w:val="none"/>
          <w:lang w:bidi="zh-CN"/>
        </w:rPr>
        <w:t xml:space="preserve">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承包人：(全称)</w:t>
      </w:r>
      <w:r>
        <w:rPr>
          <w:rFonts w:hint="eastAsia" w:cs="宋体"/>
          <w:color w:val="auto"/>
          <w:highlight w:val="none"/>
        </w:rPr>
        <w:t xml:space="preserve"> </w:t>
      </w:r>
      <w:r>
        <w:rPr>
          <w:rFonts w:hint="eastAsia" w:cs="宋体"/>
          <w:bCs/>
          <w:color w:val="auto"/>
          <w:kern w:val="0"/>
          <w:highlight w:val="none"/>
          <w:lang w:val="zh-CN" w:bidi="zh-CN"/>
        </w:rPr>
        <w:t>XXXXX公司</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发包人、承包人根据《中华人民共和国建筑法》和《建设工程质量管理条例》，经协商一致，对成都市技师学院沥青路面维修工程签订工程质量保修书。</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一、工程质量保修范围和内容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承包人在质量保修期内，按照有关法律、法规、规章规定和双方约定，承担本工程质量保修责任。质量保修范围同工程量清单的全部范围。</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二、</w:t>
      </w:r>
      <w:r>
        <w:rPr>
          <w:rFonts w:hint="eastAsia" w:cs="宋体"/>
          <w:bCs/>
          <w:color w:val="auto"/>
          <w:kern w:val="0"/>
          <w:highlight w:val="none"/>
          <w:lang w:bidi="zh-CN"/>
        </w:rPr>
        <w:t>缺陷责任期与</w:t>
      </w:r>
      <w:r>
        <w:rPr>
          <w:rFonts w:hint="eastAsia" w:cs="宋体"/>
          <w:bCs/>
          <w:color w:val="auto"/>
          <w:kern w:val="0"/>
          <w:highlight w:val="none"/>
          <w:lang w:val="zh-CN" w:bidi="zh-CN"/>
        </w:rPr>
        <w:t>质量保修期</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缺陷责任期</w:t>
      </w:r>
      <w:r>
        <w:rPr>
          <w:rFonts w:hint="eastAsia" w:cs="宋体"/>
          <w:bCs/>
          <w:color w:val="auto"/>
          <w:kern w:val="0"/>
          <w:highlight w:val="none"/>
          <w:lang w:val="zh-CN" w:bidi="zh-CN"/>
        </w:rPr>
        <w:t>：</w:t>
      </w:r>
      <w:r>
        <w:rPr>
          <w:rFonts w:hint="eastAsia" w:cs="宋体"/>
          <w:bCs/>
          <w:color w:val="auto"/>
          <w:kern w:val="0"/>
          <w:highlight w:val="none"/>
          <w:lang w:bidi="zh-CN"/>
        </w:rPr>
        <w:t>2年。</w:t>
      </w:r>
      <w:r>
        <w:rPr>
          <w:rFonts w:hint="eastAsia" w:cs="宋体"/>
          <w:color w:val="auto"/>
          <w:kern w:val="0"/>
          <w:highlight w:val="none"/>
          <w:lang w:val="zh-CN" w:bidi="zh-CN"/>
        </w:rPr>
        <w:t>工程竣工</w:t>
      </w:r>
      <w:r>
        <w:rPr>
          <w:rFonts w:hint="eastAsia" w:cs="宋体"/>
          <w:color w:val="auto"/>
          <w:kern w:val="0"/>
          <w:highlight w:val="none"/>
          <w:lang w:bidi="zh-CN"/>
        </w:rPr>
        <w:t>且验收合格</w:t>
      </w:r>
      <w:r>
        <w:rPr>
          <w:rFonts w:hint="eastAsia" w:cs="宋体"/>
          <w:color w:val="auto"/>
          <w:kern w:val="0"/>
          <w:highlight w:val="none"/>
          <w:lang w:val="zh-CN" w:bidi="zh-CN"/>
        </w:rPr>
        <w:t>后，</w:t>
      </w:r>
      <w:r>
        <w:rPr>
          <w:rFonts w:hint="eastAsia" w:cs="宋体"/>
          <w:bCs/>
          <w:color w:val="auto"/>
          <w:kern w:val="0"/>
          <w:highlight w:val="none"/>
          <w:lang w:val="zh-CN" w:bidi="zh-CN"/>
        </w:rPr>
        <w:t>履约保证金自动转为本工程质量保证金。</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质量保修期：</w:t>
      </w:r>
      <w:r>
        <w:rPr>
          <w:rFonts w:hint="eastAsia" w:cs="宋体"/>
          <w:bCs/>
          <w:color w:val="auto"/>
          <w:kern w:val="0"/>
          <w:highlight w:val="none"/>
          <w:lang w:val="zh-CN" w:bidi="zh-CN"/>
        </w:rPr>
        <w:t>工程整体质保2年，质保期按竣工验收合格之日算起。</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三、质量保修责任</w:t>
      </w:r>
    </w:p>
    <w:p>
      <w:pPr>
        <w:wordWrap w:val="0"/>
        <w:autoSpaceDE w:val="0"/>
        <w:autoSpaceDN w:val="0"/>
        <w:spacing w:line="520" w:lineRule="exact"/>
        <w:ind w:firstLine="480" w:firstLineChars="200"/>
        <w:rPr>
          <w:rFonts w:cs="宋体"/>
          <w:bCs/>
          <w:color w:val="auto"/>
          <w:highlight w:val="none"/>
          <w:lang w:bidi="zh-CN"/>
        </w:rPr>
      </w:pPr>
      <w:r>
        <w:rPr>
          <w:rFonts w:hint="eastAsia" w:cs="宋体"/>
          <w:bCs/>
          <w:color w:val="auto"/>
          <w:highlight w:val="none"/>
          <w:lang w:val="zh-CN" w:bidi="zh-CN"/>
        </w:rPr>
        <w:t>1</w:t>
      </w:r>
      <w:r>
        <w:rPr>
          <w:rFonts w:hint="eastAsia" w:cs="宋体"/>
          <w:bCs/>
          <w:color w:val="auto"/>
          <w:highlight w:val="none"/>
          <w:lang w:bidi="zh-CN"/>
        </w:rPr>
        <w:t>.</w:t>
      </w:r>
      <w:r>
        <w:rPr>
          <w:rFonts w:hint="eastAsia" w:cs="宋体"/>
          <w:bCs/>
          <w:color w:val="auto"/>
          <w:highlight w:val="none"/>
          <w:lang w:val="zh-CN" w:bidi="zh-CN"/>
        </w:rPr>
        <w:t>质保期内提供免费售后服务和免费技术支持服务。承包人需提供电话、远程和上门三种服务模式，电话和远程30分钟内响应，上门</w:t>
      </w:r>
      <w:r>
        <w:rPr>
          <w:rFonts w:hint="eastAsia" w:cs="宋体"/>
          <w:bCs/>
          <w:color w:val="auto"/>
          <w:highlight w:val="none"/>
          <w:lang w:bidi="zh-CN"/>
        </w:rPr>
        <w:t>6</w:t>
      </w:r>
      <w:r>
        <w:rPr>
          <w:rFonts w:hint="eastAsia" w:cs="宋体"/>
          <w:bCs/>
          <w:color w:val="auto"/>
          <w:highlight w:val="none"/>
          <w:lang w:val="zh-CN" w:bidi="zh-CN"/>
        </w:rPr>
        <w:t>小时内到达。承包人</w:t>
      </w:r>
      <w:r>
        <w:rPr>
          <w:rFonts w:hint="eastAsia" w:cs="宋体"/>
          <w:bCs/>
          <w:color w:val="auto"/>
          <w:highlight w:val="none"/>
          <w:lang w:bidi="zh-CN"/>
        </w:rPr>
        <w:t>在接到发包人通知后</w:t>
      </w:r>
      <w:r>
        <w:rPr>
          <w:rFonts w:hint="eastAsia" w:cs="宋体"/>
          <w:bCs/>
          <w:color w:val="auto"/>
          <w:highlight w:val="none"/>
          <w:lang w:val="zh-CN" w:bidi="zh-CN"/>
        </w:rPr>
        <w:t>不在约定期限内派人</w:t>
      </w:r>
      <w:r>
        <w:rPr>
          <w:rFonts w:hint="eastAsia" w:cs="宋体"/>
          <w:bCs/>
          <w:color w:val="auto"/>
          <w:highlight w:val="none"/>
          <w:lang w:bidi="zh-CN"/>
        </w:rPr>
        <w:t>维修或拒绝维修</w:t>
      </w:r>
      <w:r>
        <w:rPr>
          <w:rFonts w:hint="eastAsia" w:cs="宋体"/>
          <w:bCs/>
          <w:color w:val="auto"/>
          <w:highlight w:val="none"/>
          <w:lang w:val="zh-CN" w:bidi="zh-CN"/>
        </w:rPr>
        <w:t>的，发包人可委托他人修理，发生的费用从质保金中扣除，并</w:t>
      </w:r>
      <w:r>
        <w:rPr>
          <w:rFonts w:hint="eastAsia" w:cs="宋体"/>
          <w:bCs/>
          <w:color w:val="auto"/>
          <w:highlight w:val="none"/>
          <w:lang w:bidi="zh-CN"/>
        </w:rPr>
        <w:t>且承包人</w:t>
      </w:r>
      <w:r>
        <w:rPr>
          <w:rFonts w:hint="eastAsia" w:cs="宋体"/>
          <w:bCs/>
          <w:color w:val="auto"/>
          <w:highlight w:val="none"/>
          <w:lang w:val="zh-CN" w:bidi="zh-CN"/>
        </w:rPr>
        <w:t>按照每次1000元</w:t>
      </w:r>
      <w:r>
        <w:rPr>
          <w:rFonts w:hint="eastAsia" w:cs="宋体"/>
          <w:bCs/>
          <w:color w:val="auto"/>
          <w:highlight w:val="none"/>
          <w:lang w:bidi="zh-CN"/>
        </w:rPr>
        <w:t>向甲方支付</w:t>
      </w:r>
      <w:r>
        <w:rPr>
          <w:rFonts w:hint="eastAsia" w:cs="宋体"/>
          <w:bCs/>
          <w:color w:val="auto"/>
          <w:highlight w:val="none"/>
          <w:lang w:val="zh-CN" w:bidi="zh-CN"/>
        </w:rPr>
        <w:t>违约金。质保金不足以支付上述费用</w:t>
      </w:r>
      <w:r>
        <w:rPr>
          <w:rFonts w:hint="eastAsia" w:cs="宋体"/>
          <w:bCs/>
          <w:color w:val="auto"/>
          <w:highlight w:val="none"/>
          <w:lang w:bidi="zh-CN"/>
        </w:rPr>
        <w:t>时</w:t>
      </w:r>
      <w:r>
        <w:rPr>
          <w:rFonts w:hint="eastAsia" w:cs="宋体"/>
          <w:bCs/>
          <w:color w:val="auto"/>
          <w:highlight w:val="none"/>
          <w:lang w:val="zh-CN" w:bidi="zh-CN"/>
        </w:rPr>
        <w:t>，由承包人进行补足。</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2.</w:t>
      </w:r>
      <w:r>
        <w:rPr>
          <w:rFonts w:hint="eastAsia" w:cs="宋体"/>
          <w:bCs/>
          <w:color w:val="auto"/>
          <w:kern w:val="0"/>
          <w:highlight w:val="none"/>
          <w:lang w:val="zh-CN" w:bidi="zh-CN"/>
        </w:rPr>
        <w:t>发生紧急抢修事故的，承包人在接到</w:t>
      </w:r>
      <w:r>
        <w:rPr>
          <w:rFonts w:hint="eastAsia" w:cs="宋体"/>
          <w:bCs/>
          <w:color w:val="auto"/>
          <w:kern w:val="0"/>
          <w:highlight w:val="none"/>
          <w:lang w:bidi="zh-CN"/>
        </w:rPr>
        <w:t>发包人</w:t>
      </w:r>
      <w:r>
        <w:rPr>
          <w:rFonts w:hint="eastAsia" w:cs="宋体"/>
          <w:bCs/>
          <w:color w:val="auto"/>
          <w:kern w:val="0"/>
          <w:highlight w:val="none"/>
          <w:lang w:val="zh-CN" w:bidi="zh-CN"/>
        </w:rPr>
        <w:t>事故通知后6小时内即到达事故现场抢修。若承包人</w:t>
      </w:r>
      <w:r>
        <w:rPr>
          <w:rFonts w:hint="eastAsia" w:cs="宋体"/>
          <w:bCs/>
          <w:color w:val="auto"/>
          <w:kern w:val="0"/>
          <w:highlight w:val="none"/>
          <w:lang w:bidi="zh-CN"/>
        </w:rPr>
        <w:t>在收到发包人通知后</w:t>
      </w:r>
      <w:r>
        <w:rPr>
          <w:rFonts w:hint="eastAsia" w:cs="宋体"/>
          <w:bCs/>
          <w:color w:val="auto"/>
          <w:kern w:val="0"/>
          <w:highlight w:val="none"/>
          <w:lang w:val="zh-CN" w:bidi="zh-CN"/>
        </w:rPr>
        <w:t>未能及时到达，或者累计超过3次</w:t>
      </w:r>
      <w:r>
        <w:rPr>
          <w:rFonts w:hint="eastAsia" w:cs="宋体"/>
          <w:bCs/>
          <w:color w:val="auto"/>
          <w:kern w:val="0"/>
          <w:highlight w:val="none"/>
          <w:lang w:bidi="zh-CN"/>
        </w:rPr>
        <w:t>抢修</w:t>
      </w:r>
      <w:r>
        <w:rPr>
          <w:rFonts w:hint="eastAsia" w:cs="宋体"/>
          <w:bCs/>
          <w:color w:val="auto"/>
          <w:kern w:val="0"/>
          <w:highlight w:val="none"/>
          <w:lang w:val="zh-CN" w:bidi="zh-CN"/>
        </w:rPr>
        <w:t>仍未能解决问题的，发包人有权另行聘请第三方进行抢修，由此产生的费用由发包人直接从质保金中扣除，不足部分发包人有权向承包人另行追索，同时，</w:t>
      </w:r>
      <w:r>
        <w:rPr>
          <w:rFonts w:hint="eastAsia" w:cs="宋体"/>
          <w:bCs/>
          <w:color w:val="auto"/>
          <w:kern w:val="0"/>
          <w:highlight w:val="none"/>
          <w:lang w:bidi="zh-CN"/>
        </w:rPr>
        <w:t>乙方应</w:t>
      </w:r>
      <w:r>
        <w:rPr>
          <w:rFonts w:hint="eastAsia" w:cs="宋体"/>
          <w:bCs/>
          <w:color w:val="auto"/>
          <w:kern w:val="0"/>
          <w:highlight w:val="none"/>
          <w:lang w:val="zh-CN" w:bidi="zh-CN"/>
        </w:rPr>
        <w:t>按照每次1000元</w:t>
      </w:r>
      <w:r>
        <w:rPr>
          <w:rFonts w:hint="eastAsia" w:cs="宋体"/>
          <w:bCs/>
          <w:color w:val="auto"/>
          <w:kern w:val="0"/>
          <w:highlight w:val="none"/>
          <w:lang w:bidi="zh-CN"/>
        </w:rPr>
        <w:t>向发包人支付</w:t>
      </w:r>
      <w:r>
        <w:rPr>
          <w:rFonts w:hint="eastAsia" w:cs="宋体"/>
          <w:bCs/>
          <w:color w:val="auto"/>
          <w:kern w:val="0"/>
          <w:highlight w:val="none"/>
          <w:lang w:val="zh-CN" w:bidi="zh-CN"/>
        </w:rPr>
        <w:t>违约金。</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3.</w:t>
      </w:r>
      <w:r>
        <w:rPr>
          <w:rFonts w:hint="eastAsia" w:cs="宋体"/>
          <w:bCs/>
          <w:color w:val="auto"/>
          <w:kern w:val="0"/>
          <w:highlight w:val="none"/>
          <w:lang w:val="zh-CN" w:bidi="zh-CN"/>
        </w:rPr>
        <w:t>对于涉及安全的质量问题，应当按照《建设工程质量管理条例》的规定，立即向当地建设行政主管部门报告，采取安全防范措施。非承包人施工质量引起的事故，抢修费用由发包人承担。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4.</w:t>
      </w:r>
      <w:r>
        <w:rPr>
          <w:rFonts w:hint="eastAsia" w:cs="宋体"/>
          <w:bCs/>
          <w:color w:val="auto"/>
          <w:kern w:val="0"/>
          <w:highlight w:val="none"/>
          <w:lang w:val="zh-CN" w:bidi="zh-CN"/>
        </w:rPr>
        <w:t>质量保修完成后，发包人收到承包人售后服务单次验收申请之日起10日历天内组织售后服务验收。承包人未在约定时间内提供售后服务或完成售后服务整改，或整改后发包人验收仍无法达到要求的，发包人有权不予退还承包人的质保金且有权要求承包人向发包人支付合同暂定价百分之三十的违约金，并且发包人可委托他人修理，发生的费用从质保金中扣除，并按照每次1000元从质保金中扣除违约金。质保金不足以支付上述费用时，由承包人进行补足。并且发包人有权继续追究承包人由此给发包人造成的损失和承包人的法律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四．保修费用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保修费用由造成质量缺陷的责任方承担。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五．质量保证金的返还</w:t>
      </w:r>
    </w:p>
    <w:p>
      <w:pPr>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kern w:val="0"/>
          <w:highlight w:val="none"/>
          <w:lang w:bidi="zh-CN"/>
        </w:rPr>
        <w:t>1.缺陷责任期为</w:t>
      </w:r>
      <w:r>
        <w:rPr>
          <w:rFonts w:hint="eastAsia" w:cs="宋体"/>
          <w:bCs/>
          <w:color w:val="auto"/>
          <w:kern w:val="0"/>
          <w:highlight w:val="none"/>
          <w:lang w:val="zh-CN" w:bidi="zh-CN"/>
        </w:rPr>
        <w:t>2年，按竣工验收合格之日算起。2年</w:t>
      </w:r>
      <w:r>
        <w:rPr>
          <w:rFonts w:hint="eastAsia" w:cs="宋体"/>
          <w:bCs/>
          <w:color w:val="auto"/>
          <w:kern w:val="0"/>
          <w:highlight w:val="none"/>
          <w:lang w:bidi="zh-CN"/>
        </w:rPr>
        <w:t>缺陷责任期届满且承包人对缺陷责任期内的工程质量问题已经妥善修复</w:t>
      </w:r>
      <w:r>
        <w:rPr>
          <w:rFonts w:hint="eastAsia" w:cs="宋体"/>
          <w:bCs/>
          <w:color w:val="auto"/>
          <w:kern w:val="0"/>
          <w:highlight w:val="none"/>
          <w:lang w:val="zh-CN" w:bidi="zh-CN"/>
        </w:rPr>
        <w:t>后，无息退还质量保证金。</w:t>
      </w:r>
    </w:p>
    <w:p>
      <w:pPr>
        <w:pStyle w:val="13"/>
        <w:spacing w:line="520" w:lineRule="exact"/>
        <w:ind w:firstLine="480" w:firstLineChars="200"/>
        <w:contextualSpacing/>
        <w:rPr>
          <w:rFonts w:ascii="宋体" w:cs="宋体"/>
          <w:color w:val="auto"/>
          <w:highlight w:val="none"/>
        </w:rPr>
      </w:pPr>
      <w:r>
        <w:rPr>
          <w:rFonts w:hint="eastAsia" w:ascii="宋体" w:cs="宋体"/>
          <w:bCs/>
          <w:color w:val="auto"/>
          <w:highlight w:val="none"/>
          <w:lang w:bidi="zh-CN"/>
        </w:rPr>
        <w:t>2.</w:t>
      </w:r>
      <w:r>
        <w:rPr>
          <w:rFonts w:hint="eastAsia" w:ascii="宋体" w:cs="宋体"/>
          <w:color w:val="auto"/>
          <w:highlight w:val="none"/>
        </w:rPr>
        <w:t xml:space="preserve"> 工程竣工后， 履约保证金自动转为本工程质量保证金。</w:t>
      </w:r>
    </w:p>
    <w:p>
      <w:pPr>
        <w:pStyle w:val="13"/>
        <w:spacing w:line="520" w:lineRule="exact"/>
        <w:ind w:firstLine="480" w:firstLineChars="200"/>
        <w:contextualSpacing/>
        <w:rPr>
          <w:rFonts w:ascii="宋体" w:cs="宋体"/>
          <w:color w:val="auto"/>
          <w:highlight w:val="none"/>
        </w:rPr>
      </w:pPr>
      <w:r>
        <w:rPr>
          <w:rFonts w:hint="eastAsia" w:ascii="宋体" w:cs="宋体"/>
          <w:color w:val="auto"/>
          <w:highlight w:val="none"/>
        </w:rPr>
        <w:t>1）缺陷责任期2年到期</w:t>
      </w:r>
      <w:r>
        <w:rPr>
          <w:rFonts w:hint="eastAsia" w:ascii="宋体" w:cs="宋体"/>
          <w:bCs/>
          <w:color w:val="auto"/>
          <w:kern w:val="0"/>
          <w:highlight w:val="none"/>
          <w:lang w:bidi="zh-CN"/>
        </w:rPr>
        <w:t>且承包人对缺陷责任期内的工程质量问题已经妥善修复</w:t>
      </w:r>
      <w:r>
        <w:rPr>
          <w:rFonts w:hint="eastAsia" w:ascii="宋体" w:cs="宋体"/>
          <w:color w:val="auto"/>
          <w:highlight w:val="none"/>
        </w:rPr>
        <w:t>后，发包人收到承包人质保金退还申请后10个日历天内无息退还质量保证金。</w:t>
      </w:r>
    </w:p>
    <w:p>
      <w:pPr>
        <w:pStyle w:val="13"/>
        <w:spacing w:line="520" w:lineRule="exact"/>
        <w:ind w:firstLine="480" w:firstLineChars="200"/>
        <w:contextualSpacing/>
        <w:rPr>
          <w:rFonts w:ascii="宋体" w:cs="宋体"/>
          <w:color w:val="auto"/>
          <w:highlight w:val="none"/>
          <w:lang w:bidi="zh-CN"/>
        </w:rPr>
      </w:pPr>
      <w:r>
        <w:rPr>
          <w:rFonts w:hint="eastAsia" w:ascii="宋体" w:cs="宋体"/>
          <w:color w:val="auto"/>
          <w:highlight w:val="none"/>
        </w:rPr>
        <w:t>2）因甲方原因逾期退还的，应当以未退还金额为基数，按合同订立时1年期贷款市场报价利率标准向乙方支付相应违约金，但违约金最高不得超过未退还金额的百分之五。若因乙方不及时或未提供“收到退还质保金（即履约保证金）的收据”、“售后服务验收报告单”、“质保金（即履约保证金）退还申请”的，则甲方不承担逾期退还违约责任。</w:t>
      </w:r>
    </w:p>
    <w:p>
      <w:pPr>
        <w:autoSpaceDE w:val="0"/>
        <w:autoSpaceDN w:val="0"/>
        <w:spacing w:line="520" w:lineRule="exact"/>
        <w:ind w:firstLine="480" w:firstLineChars="200"/>
        <w:contextualSpacing/>
        <w:rPr>
          <w:rFonts w:cs="宋体"/>
          <w:bCs/>
          <w:color w:val="auto"/>
          <w:kern w:val="0"/>
          <w:highlight w:val="none"/>
          <w:lang w:val="zh-CN" w:bidi="zh-CN"/>
        </w:rPr>
      </w:pPr>
      <w:r>
        <w:rPr>
          <w:rFonts w:hint="eastAsia" w:cs="宋体"/>
          <w:bCs/>
          <w:color w:val="auto"/>
          <w:kern w:val="0"/>
          <w:highlight w:val="none"/>
          <w:lang w:val="zh-CN" w:bidi="zh-CN"/>
        </w:rPr>
        <w:t>六.其它</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双方约定的其它工程质量保修事项：无。</w:t>
      </w:r>
      <w:r>
        <w:rPr>
          <w:rFonts w:hint="eastAsia" w:cs="宋体"/>
          <w:bCs/>
          <w:color w:val="auto"/>
          <w:kern w:val="0"/>
          <w:highlight w:val="none"/>
          <w:lang w:val="zh-CN" w:bidi="zh-CN"/>
        </w:rPr>
        <w:tab/>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本工程质量保修书，由施工合同发包人、承包人双方在竣工验收前共同签署，作为施工合同附件，其有效期限至保修期满。</w:t>
      </w:r>
    </w:p>
    <w:p>
      <w:pPr>
        <w:wordWrap w:val="0"/>
        <w:autoSpaceDE w:val="0"/>
        <w:autoSpaceDN w:val="0"/>
        <w:spacing w:line="520" w:lineRule="exact"/>
        <w:ind w:firstLine="480" w:firstLineChars="200"/>
        <w:rPr>
          <w:rFonts w:cs="宋体"/>
          <w:bCs/>
          <w:color w:val="auto"/>
          <w:kern w:val="0"/>
          <w:highlight w:val="none"/>
          <w:lang w:val="zh-CN" w:bidi="zh-CN"/>
        </w:rPr>
      </w:pP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发包人(公章)：</w:t>
      </w:r>
      <w:r>
        <w:rPr>
          <w:rFonts w:hint="eastAsia" w:cs="宋体"/>
          <w:bCs/>
          <w:color w:val="auto"/>
          <w:kern w:val="0"/>
          <w:highlight w:val="none"/>
          <w:lang w:bidi="zh-CN"/>
        </w:rPr>
        <w:t xml:space="preserve">成都市技师学院            </w:t>
      </w:r>
      <w:r>
        <w:rPr>
          <w:rFonts w:hint="eastAsia" w:cs="宋体"/>
          <w:bCs/>
          <w:color w:val="auto"/>
          <w:kern w:val="0"/>
          <w:highlight w:val="none"/>
          <w:lang w:val="zh-CN" w:bidi="zh-CN"/>
        </w:rPr>
        <w:t xml:space="preserve">承包人(公章)：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法定代表人：(签字)</w:t>
      </w:r>
      <w:r>
        <w:rPr>
          <w:rFonts w:hint="eastAsia" w:cs="宋体"/>
          <w:bCs/>
          <w:color w:val="auto"/>
          <w:kern w:val="0"/>
          <w:highlight w:val="none"/>
          <w:lang w:bidi="zh-CN"/>
        </w:rPr>
        <w:t xml:space="preserve">                      </w:t>
      </w:r>
      <w:r>
        <w:rPr>
          <w:rFonts w:hint="eastAsia" w:cs="宋体"/>
          <w:bCs/>
          <w:color w:val="auto"/>
          <w:kern w:val="0"/>
          <w:highlight w:val="none"/>
          <w:lang w:val="zh-CN" w:bidi="zh-CN"/>
        </w:rPr>
        <w:t>法定代表人：(签字)</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或委托代理人：(签字)</w:t>
      </w:r>
      <w:r>
        <w:rPr>
          <w:rFonts w:hint="eastAsia" w:cs="宋体"/>
          <w:bCs/>
          <w:color w:val="auto"/>
          <w:kern w:val="0"/>
          <w:highlight w:val="none"/>
          <w:lang w:bidi="zh-CN"/>
        </w:rPr>
        <w:t xml:space="preserve">                    </w:t>
      </w:r>
      <w:r>
        <w:rPr>
          <w:rFonts w:hint="eastAsia" w:cs="宋体"/>
          <w:bCs/>
          <w:color w:val="auto"/>
          <w:kern w:val="0"/>
          <w:highlight w:val="none"/>
          <w:lang w:val="zh-CN" w:bidi="zh-CN"/>
        </w:rPr>
        <w:t>或委托代理人：(签字)</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年</w:t>
      </w:r>
      <w:r>
        <w:rPr>
          <w:rFonts w:hint="eastAsia" w:cs="宋体"/>
          <w:bCs/>
          <w:color w:val="auto"/>
          <w:kern w:val="0"/>
          <w:highlight w:val="none"/>
          <w:lang w:bidi="zh-CN"/>
        </w:rPr>
        <w:t xml:space="preserve">   </w:t>
      </w:r>
      <w:r>
        <w:rPr>
          <w:rFonts w:hint="eastAsia" w:cs="宋体"/>
          <w:bCs/>
          <w:color w:val="auto"/>
          <w:kern w:val="0"/>
          <w:highlight w:val="none"/>
          <w:lang w:val="zh-CN" w:bidi="zh-CN"/>
        </w:rPr>
        <w:t>月</w:t>
      </w:r>
      <w:r>
        <w:rPr>
          <w:rFonts w:hint="eastAsia" w:cs="宋体"/>
          <w:bCs/>
          <w:color w:val="auto"/>
          <w:kern w:val="0"/>
          <w:highlight w:val="none"/>
          <w:lang w:bidi="zh-CN"/>
        </w:rPr>
        <w:t xml:space="preserve">    </w:t>
      </w:r>
      <w:r>
        <w:rPr>
          <w:rFonts w:hint="eastAsia" w:cs="宋体"/>
          <w:bCs/>
          <w:color w:val="auto"/>
          <w:kern w:val="0"/>
          <w:highlight w:val="none"/>
          <w:lang w:val="zh-CN" w:bidi="zh-CN"/>
        </w:rPr>
        <w:t>日</w:t>
      </w:r>
      <w:r>
        <w:rPr>
          <w:rFonts w:hint="eastAsia" w:cs="宋体"/>
          <w:bCs/>
          <w:color w:val="auto"/>
          <w:kern w:val="0"/>
          <w:highlight w:val="none"/>
          <w:lang w:bidi="zh-CN"/>
        </w:rPr>
        <w:t xml:space="preserve">                          </w:t>
      </w:r>
      <w:r>
        <w:rPr>
          <w:rFonts w:hint="eastAsia" w:cs="宋体"/>
          <w:bCs/>
          <w:color w:val="auto"/>
          <w:kern w:val="0"/>
          <w:highlight w:val="none"/>
          <w:lang w:val="zh-CN" w:bidi="zh-CN"/>
        </w:rPr>
        <w:t>年</w:t>
      </w:r>
      <w:r>
        <w:rPr>
          <w:rFonts w:hint="eastAsia" w:cs="宋体"/>
          <w:bCs/>
          <w:color w:val="auto"/>
          <w:kern w:val="0"/>
          <w:highlight w:val="none"/>
          <w:lang w:bidi="zh-CN"/>
        </w:rPr>
        <w:t xml:space="preserve">   </w:t>
      </w:r>
      <w:r>
        <w:rPr>
          <w:rFonts w:hint="eastAsia" w:cs="宋体"/>
          <w:bCs/>
          <w:color w:val="auto"/>
          <w:kern w:val="0"/>
          <w:highlight w:val="none"/>
          <w:lang w:val="zh-CN" w:bidi="zh-CN"/>
        </w:rPr>
        <w:t>月</w:t>
      </w:r>
      <w:r>
        <w:rPr>
          <w:rFonts w:hint="eastAsia" w:cs="宋体"/>
          <w:bCs/>
          <w:color w:val="auto"/>
          <w:kern w:val="0"/>
          <w:highlight w:val="none"/>
          <w:lang w:bidi="zh-CN"/>
        </w:rPr>
        <w:t xml:space="preserve">   </w:t>
      </w:r>
      <w:r>
        <w:rPr>
          <w:rFonts w:hint="eastAsia" w:cs="宋体"/>
          <w:bCs/>
          <w:color w:val="auto"/>
          <w:kern w:val="0"/>
          <w:highlight w:val="none"/>
          <w:lang w:val="zh-CN" w:bidi="zh-CN"/>
        </w:rPr>
        <w:t>日</w:t>
      </w:r>
    </w:p>
    <w:p>
      <w:pPr>
        <w:wordWrap w:val="0"/>
        <w:autoSpaceDE w:val="0"/>
        <w:autoSpaceDN w:val="0"/>
        <w:spacing w:line="520" w:lineRule="exact"/>
        <w:jc w:val="center"/>
        <w:rPr>
          <w:rFonts w:cs="宋体"/>
          <w:bCs/>
          <w:color w:val="auto"/>
          <w:kern w:val="0"/>
          <w:highlight w:val="none"/>
          <w:lang w:val="zh-CN" w:bidi="zh-CN"/>
        </w:rPr>
      </w:pPr>
      <w:r>
        <w:rPr>
          <w:rFonts w:hint="eastAsia" w:cs="宋体"/>
          <w:bCs/>
          <w:color w:val="auto"/>
          <w:kern w:val="0"/>
          <w:highlight w:val="none"/>
          <w:lang w:val="zh-CN" w:bidi="zh-CN"/>
        </w:rPr>
        <w:br w:type="page"/>
      </w:r>
      <w:r>
        <w:rPr>
          <w:rFonts w:hint="eastAsia" w:cs="宋体"/>
          <w:b/>
          <w:color w:val="auto"/>
          <w:kern w:val="0"/>
          <w:highlight w:val="none"/>
          <w:lang w:bidi="zh-CN"/>
        </w:rPr>
        <w:t xml:space="preserve">第三部分  </w:t>
      </w:r>
      <w:r>
        <w:rPr>
          <w:rFonts w:hint="eastAsia" w:cs="宋体"/>
          <w:b/>
          <w:color w:val="auto"/>
          <w:kern w:val="0"/>
          <w:highlight w:val="none"/>
          <w:lang w:val="zh-CN" w:bidi="zh-CN"/>
        </w:rPr>
        <w:t>通用条款</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通用条款使用国家工商行政管理局、中华人民共和国建设部印发的《建设工程施工合同示范文本》(GF-201</w:t>
      </w:r>
      <w:r>
        <w:rPr>
          <w:rFonts w:hint="eastAsia" w:cs="宋体"/>
          <w:bCs/>
          <w:color w:val="auto"/>
          <w:kern w:val="0"/>
          <w:highlight w:val="none"/>
          <w:lang w:bidi="zh-CN"/>
        </w:rPr>
        <w:t>7</w:t>
      </w:r>
      <w:r>
        <w:rPr>
          <w:rFonts w:hint="eastAsia" w:cs="宋体"/>
          <w:bCs/>
          <w:color w:val="auto"/>
          <w:kern w:val="0"/>
          <w:highlight w:val="none"/>
          <w:lang w:val="zh-CN" w:bidi="zh-CN"/>
        </w:rPr>
        <w:t>-0201)。</w:t>
      </w:r>
    </w:p>
    <w:p>
      <w:pPr>
        <w:wordWrap w:val="0"/>
        <w:autoSpaceDE w:val="0"/>
        <w:autoSpaceDN w:val="0"/>
        <w:spacing w:line="520" w:lineRule="exact"/>
        <w:jc w:val="center"/>
        <w:rPr>
          <w:rFonts w:cs="宋体"/>
          <w:bCs/>
          <w:color w:val="auto"/>
          <w:kern w:val="0"/>
          <w:highlight w:val="none"/>
          <w:lang w:val="zh-CN" w:bidi="zh-CN"/>
        </w:rPr>
      </w:pPr>
      <w:r>
        <w:rPr>
          <w:rFonts w:hint="eastAsia" w:cs="宋体"/>
          <w:bCs/>
          <w:color w:val="auto"/>
          <w:kern w:val="0"/>
          <w:highlight w:val="none"/>
          <w:lang w:val="zh-CN" w:bidi="zh-CN"/>
        </w:rPr>
        <w:t>(此处略)</w:t>
      </w:r>
    </w:p>
    <w:p>
      <w:pPr>
        <w:wordWrap w:val="0"/>
        <w:autoSpaceDE w:val="0"/>
        <w:autoSpaceDN w:val="0"/>
        <w:spacing w:line="520" w:lineRule="exact"/>
        <w:ind w:firstLine="480" w:firstLineChars="200"/>
        <w:rPr>
          <w:rFonts w:cs="宋体"/>
          <w:bCs/>
          <w:color w:val="auto"/>
          <w:kern w:val="0"/>
          <w:highlight w:val="none"/>
          <w:lang w:val="zh-CN" w:bidi="zh-CN"/>
        </w:rPr>
      </w:pPr>
    </w:p>
    <w:p>
      <w:pPr>
        <w:wordWrap w:val="0"/>
        <w:autoSpaceDE w:val="0"/>
        <w:autoSpaceDN w:val="0"/>
        <w:spacing w:line="520" w:lineRule="exact"/>
        <w:ind w:firstLine="480" w:firstLineChars="200"/>
        <w:jc w:val="center"/>
        <w:rPr>
          <w:rFonts w:cs="宋体"/>
          <w:color w:val="auto"/>
          <w:kern w:val="0"/>
          <w:highlight w:val="none"/>
          <w:lang w:bidi="zh-CN"/>
        </w:rPr>
      </w:pPr>
      <w:r>
        <w:rPr>
          <w:rFonts w:hint="eastAsia" w:cs="宋体"/>
          <w:bCs/>
          <w:color w:val="auto"/>
          <w:highlight w:val="none"/>
          <w:lang w:val="zh-CN" w:bidi="zh-CN"/>
        </w:rPr>
        <w:br w:type="page"/>
      </w:r>
      <w:r>
        <w:rPr>
          <w:rFonts w:hint="eastAsia" w:cs="宋体"/>
          <w:bCs/>
          <w:color w:val="auto"/>
          <w:highlight w:val="none"/>
          <w:lang w:bidi="zh-CN"/>
        </w:rPr>
        <w:t>第四部分</w:t>
      </w:r>
      <w:r>
        <w:rPr>
          <w:rFonts w:hint="eastAsia" w:cs="宋体"/>
          <w:bCs/>
          <w:color w:val="auto"/>
          <w:kern w:val="0"/>
          <w:highlight w:val="none"/>
          <w:lang w:bidi="zh-CN"/>
        </w:rPr>
        <w:t xml:space="preserve">   专用条款</w:t>
      </w:r>
    </w:p>
    <w:p>
      <w:pPr>
        <w:wordWrap w:val="0"/>
        <w:autoSpaceDE w:val="0"/>
        <w:autoSpaceDN w:val="0"/>
        <w:spacing w:line="520" w:lineRule="exact"/>
        <w:ind w:firstLine="480" w:firstLineChars="200"/>
        <w:jc w:val="center"/>
        <w:rPr>
          <w:rFonts w:cs="宋体"/>
          <w:bCs/>
          <w:color w:val="auto"/>
          <w:highlight w:val="none"/>
          <w:lang w:bidi="zh-CN"/>
        </w:rPr>
      </w:pP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1.一般约定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1.1.1 其他合同文件包括：经审批的施工组织设计等施工过程中发生的一切有效文件。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1.1.2</w:t>
      </w:r>
      <w:r>
        <w:rPr>
          <w:rFonts w:hint="eastAsia" w:cs="宋体"/>
          <w:bCs/>
          <w:color w:val="auto"/>
          <w:kern w:val="0"/>
          <w:highlight w:val="none"/>
          <w:lang w:bidi="zh-CN"/>
        </w:rPr>
        <w:t xml:space="preserve"> </w:t>
      </w:r>
      <w:r>
        <w:rPr>
          <w:rFonts w:hint="eastAsia" w:cs="宋体"/>
          <w:bCs/>
          <w:color w:val="auto"/>
          <w:kern w:val="0"/>
          <w:highlight w:val="none"/>
          <w:lang w:val="zh-CN" w:bidi="zh-CN"/>
        </w:rPr>
        <w:t>合同当事人及其他相关方</w:t>
      </w:r>
    </w:p>
    <w:p>
      <w:pPr>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kern w:val="0"/>
          <w:highlight w:val="none"/>
          <w:lang w:val="zh-CN" w:bidi="zh-CN"/>
        </w:rPr>
        <w:t>1.1.2.4</w:t>
      </w:r>
      <w:r>
        <w:rPr>
          <w:rFonts w:hint="eastAsia" w:cs="宋体"/>
          <w:bCs/>
          <w:color w:val="auto"/>
          <w:kern w:val="0"/>
          <w:highlight w:val="none"/>
          <w:lang w:bidi="zh-CN"/>
        </w:rPr>
        <w:t xml:space="preserve"> </w:t>
      </w:r>
      <w:r>
        <w:rPr>
          <w:rFonts w:hint="eastAsia" w:cs="宋体"/>
          <w:bCs/>
          <w:color w:val="auto"/>
          <w:kern w:val="0"/>
          <w:highlight w:val="none"/>
          <w:lang w:val="zh-CN" w:bidi="zh-CN"/>
        </w:rPr>
        <w:t>监理人：</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名    称：XXXXX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资质类别和等级：XXXXX；</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联系电话：XXXXX；</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电子信箱：</w:t>
      </w:r>
      <w:r>
        <w:rPr>
          <w:rFonts w:hint="eastAsia" w:cs="宋体"/>
          <w:bCs/>
          <w:color w:val="auto"/>
          <w:kern w:val="0"/>
          <w:highlight w:val="none"/>
          <w:lang w:bidi="zh-CN"/>
        </w:rPr>
        <w:t xml:space="preserve">      XXX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通信地址：</w:t>
      </w:r>
      <w:r>
        <w:rPr>
          <w:rFonts w:hint="eastAsia" w:cs="宋体"/>
          <w:bCs/>
          <w:color w:val="auto"/>
          <w:kern w:val="0"/>
          <w:highlight w:val="none"/>
          <w:lang w:bidi="zh-CN"/>
        </w:rPr>
        <w:t xml:space="preserve">     XXX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1.1.2.5</w:t>
      </w:r>
      <w:r>
        <w:rPr>
          <w:rFonts w:hint="eastAsia" w:cs="宋体"/>
          <w:bCs/>
          <w:color w:val="auto"/>
          <w:kern w:val="0"/>
          <w:highlight w:val="none"/>
          <w:lang w:bidi="zh-CN"/>
        </w:rPr>
        <w:t xml:space="preserve"> </w:t>
      </w:r>
      <w:r>
        <w:rPr>
          <w:rFonts w:hint="eastAsia" w:cs="宋体"/>
          <w:bCs/>
          <w:color w:val="auto"/>
          <w:kern w:val="0"/>
          <w:highlight w:val="none"/>
          <w:lang w:val="zh-CN" w:bidi="zh-CN"/>
        </w:rPr>
        <w:t>设计人：</w:t>
      </w:r>
      <w:r>
        <w:rPr>
          <w:rFonts w:hint="eastAsia" w:cs="宋体"/>
          <w:bCs/>
          <w:color w:val="auto"/>
          <w:kern w:val="0"/>
          <w:highlight w:val="none"/>
          <w:lang w:bidi="zh-CN"/>
        </w:rPr>
        <w:t xml:space="preserve">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名</w:t>
      </w:r>
      <w:r>
        <w:rPr>
          <w:rFonts w:hint="eastAsia" w:cs="宋体"/>
          <w:bCs/>
          <w:color w:val="auto"/>
          <w:kern w:val="0"/>
          <w:highlight w:val="none"/>
          <w:lang w:bidi="zh-CN"/>
        </w:rPr>
        <w:t xml:space="preserve">    </w:t>
      </w:r>
      <w:r>
        <w:rPr>
          <w:rFonts w:hint="eastAsia" w:cs="宋体"/>
          <w:bCs/>
          <w:color w:val="auto"/>
          <w:kern w:val="0"/>
          <w:highlight w:val="none"/>
          <w:lang w:val="zh-CN" w:bidi="zh-CN"/>
        </w:rPr>
        <w:t>称：</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资质类别和等级：</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联系电话：</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电子信箱：</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通信地址：</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1.1.3</w:t>
      </w:r>
      <w:r>
        <w:rPr>
          <w:rFonts w:hint="eastAsia" w:cs="宋体"/>
          <w:bCs/>
          <w:color w:val="auto"/>
          <w:kern w:val="0"/>
          <w:highlight w:val="none"/>
          <w:lang w:bidi="zh-CN"/>
        </w:rPr>
        <w:t xml:space="preserve"> </w:t>
      </w:r>
      <w:r>
        <w:rPr>
          <w:rFonts w:hint="eastAsia" w:cs="宋体"/>
          <w:bCs/>
          <w:color w:val="auto"/>
          <w:kern w:val="0"/>
          <w:highlight w:val="none"/>
          <w:lang w:val="zh-CN" w:bidi="zh-CN"/>
        </w:rPr>
        <w:t>工程和设备</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1.1.3.7 作为施工现场组成部分的其他场所包括： /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1.1.3.9永久占地包括： /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1.1.3.10临时占地包括： /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1.3法律</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适用于合同的其他规范性文件：执行现行的国家法律、行政法规；四川省、成都市的相关法规、规章和条例等。</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1.4</w:t>
      </w:r>
      <w:r>
        <w:rPr>
          <w:rFonts w:hint="eastAsia" w:cs="宋体"/>
          <w:bCs/>
          <w:color w:val="auto"/>
          <w:kern w:val="0"/>
          <w:highlight w:val="none"/>
          <w:lang w:bidi="zh-CN"/>
        </w:rPr>
        <w:t xml:space="preserve"> </w:t>
      </w:r>
      <w:r>
        <w:rPr>
          <w:rFonts w:hint="eastAsia" w:cs="宋体"/>
          <w:bCs/>
          <w:color w:val="auto"/>
          <w:kern w:val="0"/>
          <w:highlight w:val="none"/>
          <w:lang w:val="zh-CN" w:bidi="zh-CN"/>
        </w:rPr>
        <w:t>标准和规范</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1.4.1</w:t>
      </w:r>
      <w:r>
        <w:rPr>
          <w:rFonts w:hint="eastAsia" w:cs="宋体"/>
          <w:bCs/>
          <w:color w:val="auto"/>
          <w:kern w:val="0"/>
          <w:highlight w:val="none"/>
          <w:lang w:bidi="zh-CN"/>
        </w:rPr>
        <w:t xml:space="preserve"> </w:t>
      </w:r>
      <w:r>
        <w:rPr>
          <w:rFonts w:hint="eastAsia" w:cs="宋体"/>
          <w:bCs/>
          <w:color w:val="auto"/>
          <w:kern w:val="0"/>
          <w:highlight w:val="none"/>
          <w:lang w:val="zh-CN" w:bidi="zh-CN"/>
        </w:rPr>
        <w:t>适用于工程的标准规范包括：执行国家、地方现行标准规范及其配套文件。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1.4.2</w:t>
      </w:r>
      <w:r>
        <w:rPr>
          <w:rFonts w:hint="eastAsia" w:cs="宋体"/>
          <w:bCs/>
          <w:color w:val="auto"/>
          <w:kern w:val="0"/>
          <w:highlight w:val="none"/>
          <w:lang w:bidi="zh-CN"/>
        </w:rPr>
        <w:t xml:space="preserve"> </w:t>
      </w:r>
      <w:r>
        <w:rPr>
          <w:rFonts w:hint="eastAsia" w:cs="宋体"/>
          <w:bCs/>
          <w:color w:val="auto"/>
          <w:kern w:val="0"/>
          <w:highlight w:val="none"/>
          <w:lang w:val="zh-CN" w:bidi="zh-CN"/>
        </w:rPr>
        <w:t xml:space="preserve">发包人提供国外标准、规范的名称：无；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发包人提供国外标准、规范的份数：无；</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1.4.3</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发包人对工程的技术标准和功能要求的特殊要求： /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1.5合同文件的优先顺序</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合同文件组成及优先顺序为：</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(1)合同协议书；</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(2)成交通知书；</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3</w:t>
      </w:r>
      <w:r>
        <w:rPr>
          <w:rFonts w:hint="eastAsia" w:cs="宋体"/>
          <w:bCs/>
          <w:color w:val="auto"/>
          <w:kern w:val="0"/>
          <w:highlight w:val="none"/>
          <w:lang w:val="zh-CN" w:bidi="zh-CN"/>
        </w:rPr>
        <w:t>)响应函；</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4</w:t>
      </w:r>
      <w:r>
        <w:rPr>
          <w:rFonts w:hint="eastAsia" w:cs="宋体"/>
          <w:bCs/>
          <w:color w:val="auto"/>
          <w:kern w:val="0"/>
          <w:highlight w:val="none"/>
          <w:lang w:val="zh-CN" w:bidi="zh-CN"/>
        </w:rPr>
        <w:t>)专用合同条款及其附件；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5</w:t>
      </w:r>
      <w:r>
        <w:rPr>
          <w:rFonts w:hint="eastAsia" w:cs="宋体"/>
          <w:bCs/>
          <w:color w:val="auto"/>
          <w:kern w:val="0"/>
          <w:highlight w:val="none"/>
          <w:lang w:val="zh-CN" w:bidi="zh-CN"/>
        </w:rPr>
        <w:t>)通用合同条款；</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6</w:t>
      </w:r>
      <w:r>
        <w:rPr>
          <w:rFonts w:hint="eastAsia" w:cs="宋体"/>
          <w:bCs/>
          <w:color w:val="auto"/>
          <w:kern w:val="0"/>
          <w:highlight w:val="none"/>
          <w:lang w:val="zh-CN" w:bidi="zh-CN"/>
        </w:rPr>
        <w:t>)采购项目技术、服务、合同主要内容及其他商务要求；</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7</w:t>
      </w:r>
      <w:r>
        <w:rPr>
          <w:rFonts w:hint="eastAsia" w:cs="宋体"/>
          <w:bCs/>
          <w:color w:val="auto"/>
          <w:kern w:val="0"/>
          <w:highlight w:val="none"/>
          <w:lang w:val="zh-CN" w:bidi="zh-CN"/>
        </w:rPr>
        <w:t>)响应文件；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8</w:t>
      </w:r>
      <w:r>
        <w:rPr>
          <w:rFonts w:hint="eastAsia" w:cs="宋体"/>
          <w:bCs/>
          <w:color w:val="auto"/>
          <w:kern w:val="0"/>
          <w:highlight w:val="none"/>
          <w:lang w:val="zh-CN" w:bidi="zh-CN"/>
        </w:rPr>
        <w:t>)其他合同文件。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1.6</w:t>
      </w:r>
      <w:r>
        <w:rPr>
          <w:rFonts w:hint="eastAsia" w:cs="宋体"/>
          <w:bCs/>
          <w:color w:val="auto"/>
          <w:kern w:val="0"/>
          <w:highlight w:val="none"/>
          <w:lang w:bidi="zh-CN"/>
        </w:rPr>
        <w:t xml:space="preserve"> </w:t>
      </w:r>
      <w:r>
        <w:rPr>
          <w:rFonts w:hint="eastAsia" w:cs="宋体"/>
          <w:bCs/>
          <w:color w:val="auto"/>
          <w:kern w:val="0"/>
          <w:highlight w:val="none"/>
          <w:lang w:val="zh-CN" w:bidi="zh-CN"/>
        </w:rPr>
        <w:t>联络</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1.6.1</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发包人和承包人应当在</w:t>
      </w:r>
      <w:r>
        <w:rPr>
          <w:rFonts w:hint="eastAsia" w:cs="宋体"/>
          <w:bCs/>
          <w:color w:val="auto"/>
          <w:kern w:val="0"/>
          <w:highlight w:val="none"/>
          <w:lang w:bidi="zh-CN"/>
        </w:rPr>
        <w:t>8</w:t>
      </w:r>
      <w:r>
        <w:rPr>
          <w:rFonts w:hint="eastAsia" w:cs="宋体"/>
          <w:bCs/>
          <w:color w:val="auto"/>
          <w:kern w:val="0"/>
          <w:highlight w:val="none"/>
          <w:lang w:val="zh-CN" w:bidi="zh-CN"/>
        </w:rPr>
        <w:t>天内将与合同有关的通知、批准、证明、证书、指示、指令、要求、请求、同意、意见、确定和决定等书面函件送达对方当事人。</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1.6.2</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发包人接收文件的地点：发包人办公所在地或施工现场发包人办公室；</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发包人指定的接收人为：</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承包人接收文件的地点：承包人办公所在地或施工现场承包人办公室；</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承包人指定的接收人为：具有承包人以公司书面形式授权的相关成员。</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监理人(若有)接收文件的地点：监理人办公所在地或施工现场监理人办公室；</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监理人(若有)指定的接收人为：具有监理人以公司书面形式授权的相关成员。</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1.7</w:t>
      </w:r>
      <w:r>
        <w:rPr>
          <w:rFonts w:hint="eastAsia" w:cs="宋体"/>
          <w:bCs/>
          <w:color w:val="auto"/>
          <w:kern w:val="0"/>
          <w:highlight w:val="none"/>
          <w:lang w:bidi="zh-CN"/>
        </w:rPr>
        <w:t xml:space="preserve"> </w:t>
      </w:r>
      <w:r>
        <w:rPr>
          <w:rFonts w:hint="eastAsia" w:cs="宋体"/>
          <w:bCs/>
          <w:color w:val="auto"/>
          <w:kern w:val="0"/>
          <w:highlight w:val="none"/>
          <w:lang w:val="zh-CN" w:bidi="zh-CN"/>
        </w:rPr>
        <w:t>交通运输</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1.7.1出入现场的权利</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出入现场的权利的约定：承包人应根据本工程的施工需要，负责办理取得出入施工场地的专用和临时道路的通行权，以及取得为工程建设所需修建场外设施的权利，并承担手续办理、租地、修建、维护、拆除恢复等相关费用，该笔费用包含在投标报价中。</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1.7.2</w:t>
      </w:r>
      <w:r>
        <w:rPr>
          <w:rFonts w:hint="eastAsia" w:cs="宋体"/>
          <w:bCs/>
          <w:color w:val="auto"/>
          <w:kern w:val="0"/>
          <w:highlight w:val="none"/>
          <w:lang w:bidi="zh-CN"/>
        </w:rPr>
        <w:t xml:space="preserve"> </w:t>
      </w:r>
      <w:r>
        <w:rPr>
          <w:rFonts w:hint="eastAsia" w:cs="宋体"/>
          <w:bCs/>
          <w:color w:val="auto"/>
          <w:kern w:val="0"/>
          <w:highlight w:val="none"/>
          <w:lang w:val="zh-CN" w:bidi="zh-CN"/>
        </w:rPr>
        <w:t>场内交通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关于场外交通和场内交通的边界的约定： /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提供满足工程施工需要的场内道路和交通设施的约定：承包人为实施和完成本合同工程及缺陷修复工作中一切施工作业所需的临时出入现场和施工运输，应对所使用的由发包人提供的或按需要由承包人自建或借用、占用、利用当地的所有出入现场的临时道路和桥梁进行养护和维修，直到工程竣工，并应保证发包人免于承担因上述临时道路的使用所引起的补偿费、诉讼费、损害赔偿、指控费及其它开支。利用原有道路或利用原有道路改、扩建后使用的所有临时道路和桥梁应在工程完工后恢复原有的等级和通行要求；为施工而开辟的临时施工道路，工程完工后应恢复原状，由此引起的一切费用均由承包人自行承担，如果承包人拒不承担(未按发包方或监理通知要求执行的视为拒不承担)，发包人将另行委托有资质的施工单位进行上述恢复，所发生的费用发包人有权从应支付给承包人的任何款项内扣除。</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1.7.3</w:t>
      </w:r>
      <w:r>
        <w:rPr>
          <w:rFonts w:hint="eastAsia" w:cs="宋体"/>
          <w:bCs/>
          <w:color w:val="auto"/>
          <w:kern w:val="0"/>
          <w:highlight w:val="none"/>
          <w:lang w:bidi="zh-CN"/>
        </w:rPr>
        <w:t xml:space="preserve"> </w:t>
      </w:r>
      <w:r>
        <w:rPr>
          <w:rFonts w:hint="eastAsia" w:cs="宋体"/>
          <w:bCs/>
          <w:color w:val="auto"/>
          <w:kern w:val="0"/>
          <w:highlight w:val="none"/>
          <w:lang w:val="zh-CN" w:bidi="zh-CN"/>
        </w:rPr>
        <w:t>超大件和超重件的运输</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运输超大件或超重件所需的道路和桥梁临时加固改造费用和其他有关费用由承包人承担。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1.8 工程量清单错误的修正</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出现工程量清单错误时，是否调整合同价格：以工程签证单为准。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允许调整合同价格的工程量偏差范围：无。</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2.发包人</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2.1</w:t>
      </w:r>
      <w:r>
        <w:rPr>
          <w:rFonts w:hint="eastAsia" w:cs="宋体"/>
          <w:bCs/>
          <w:color w:val="auto"/>
          <w:kern w:val="0"/>
          <w:highlight w:val="none"/>
          <w:lang w:bidi="zh-CN"/>
        </w:rPr>
        <w:t xml:space="preserve"> </w:t>
      </w:r>
      <w:r>
        <w:rPr>
          <w:rFonts w:hint="eastAsia" w:cs="宋体"/>
          <w:bCs/>
          <w:color w:val="auto"/>
          <w:kern w:val="0"/>
          <w:highlight w:val="none"/>
          <w:lang w:val="zh-CN" w:bidi="zh-CN"/>
        </w:rPr>
        <w:t>许可或批准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发包人因客观原因未能及时办理完毕建设用地规划许可证、建设工程规划许可证、建设工程施工许可证等许可、批准或备案，由发包人承担相应的责任并承担由此增加的费用。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2.2</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发包人代表</w:t>
      </w:r>
    </w:p>
    <w:p>
      <w:pPr>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kern w:val="0"/>
          <w:highlight w:val="none"/>
          <w:lang w:val="zh-CN" w:bidi="zh-CN"/>
        </w:rPr>
        <w:t>发包人代表：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姓</w:t>
      </w:r>
      <w:r>
        <w:rPr>
          <w:rFonts w:hint="eastAsia" w:cs="宋体"/>
          <w:bCs/>
          <w:color w:val="auto"/>
          <w:kern w:val="0"/>
          <w:highlight w:val="none"/>
          <w:lang w:bidi="zh-CN"/>
        </w:rPr>
        <w:t xml:space="preserve">    </w:t>
      </w:r>
      <w:r>
        <w:rPr>
          <w:rFonts w:hint="eastAsia" w:cs="宋体"/>
          <w:bCs/>
          <w:color w:val="auto"/>
          <w:kern w:val="0"/>
          <w:highlight w:val="none"/>
          <w:lang w:val="zh-CN" w:bidi="zh-CN"/>
        </w:rPr>
        <w:t>名：</w:t>
      </w:r>
      <w:r>
        <w:rPr>
          <w:rFonts w:hint="eastAsia" w:cs="宋体"/>
          <w:bCs/>
          <w:color w:val="auto"/>
          <w:kern w:val="0"/>
          <w:highlight w:val="none"/>
          <w:lang w:bidi="zh-CN"/>
        </w:rPr>
        <w:t xml:space="preserve"> 基建科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身份证号：</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职</w:t>
      </w:r>
      <w:r>
        <w:rPr>
          <w:rFonts w:hint="eastAsia" w:cs="宋体"/>
          <w:bCs/>
          <w:color w:val="auto"/>
          <w:kern w:val="0"/>
          <w:highlight w:val="none"/>
          <w:lang w:bidi="zh-CN"/>
        </w:rPr>
        <w:t xml:space="preserve">    </w:t>
      </w:r>
      <w:r>
        <w:rPr>
          <w:rFonts w:hint="eastAsia" w:cs="宋体"/>
          <w:bCs/>
          <w:color w:val="auto"/>
          <w:kern w:val="0"/>
          <w:highlight w:val="none"/>
          <w:lang w:val="zh-CN" w:bidi="zh-CN"/>
        </w:rPr>
        <w:t>务：</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联系电话：</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发包人对发包人代表的授权范围如下：详见授权委托书。</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w:t>
      </w:r>
      <w:r>
        <w:rPr>
          <w:rFonts w:hint="eastAsia" w:cs="宋体"/>
          <w:bCs/>
          <w:color w:val="auto"/>
          <w:kern w:val="0"/>
          <w:highlight w:val="none"/>
          <w:lang w:bidi="zh-CN"/>
        </w:rPr>
        <w:t xml:space="preserve"> </w:t>
      </w:r>
      <w:r>
        <w:rPr>
          <w:rFonts w:hint="eastAsia" w:cs="宋体"/>
          <w:bCs/>
          <w:color w:val="auto"/>
          <w:kern w:val="0"/>
          <w:highlight w:val="none"/>
          <w:lang w:val="zh-CN" w:bidi="zh-CN"/>
        </w:rPr>
        <w:t>施工现场、施工条件和基础资料的提供</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2.4.1</w:t>
      </w:r>
      <w:r>
        <w:rPr>
          <w:rFonts w:hint="eastAsia" w:cs="宋体"/>
          <w:bCs/>
          <w:color w:val="auto"/>
          <w:kern w:val="0"/>
          <w:highlight w:val="none"/>
          <w:lang w:bidi="zh-CN"/>
        </w:rPr>
        <w:t xml:space="preserve"> </w:t>
      </w:r>
      <w:r>
        <w:rPr>
          <w:rFonts w:hint="eastAsia" w:cs="宋体"/>
          <w:bCs/>
          <w:color w:val="auto"/>
          <w:kern w:val="0"/>
          <w:highlight w:val="none"/>
          <w:lang w:val="zh-CN" w:bidi="zh-CN"/>
        </w:rPr>
        <w:t>提供施工现场</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关于发包人移交施工现场的期限要求：</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2.4.2</w:t>
      </w:r>
      <w:r>
        <w:rPr>
          <w:rFonts w:hint="eastAsia" w:cs="宋体"/>
          <w:bCs/>
          <w:color w:val="auto"/>
          <w:kern w:val="0"/>
          <w:highlight w:val="none"/>
          <w:lang w:bidi="zh-CN"/>
        </w:rPr>
        <w:t xml:space="preserve"> </w:t>
      </w:r>
      <w:r>
        <w:rPr>
          <w:rFonts w:hint="eastAsia" w:cs="宋体"/>
          <w:bCs/>
          <w:color w:val="auto"/>
          <w:kern w:val="0"/>
          <w:highlight w:val="none"/>
          <w:lang w:val="zh-CN" w:bidi="zh-CN"/>
        </w:rPr>
        <w:t>提供施工条件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关于发包人应负责提供施工所需要的条件，包括：</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2.4.2.1</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发包人不提供现场用水用电接入点，施工用水用电由施工单位自行解决，相关费用由承包人在报价中综合考虑。</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2.4.2.2</w:t>
      </w:r>
      <w:r>
        <w:rPr>
          <w:rFonts w:hint="eastAsia" w:cs="宋体"/>
          <w:bCs/>
          <w:color w:val="auto"/>
          <w:kern w:val="0"/>
          <w:highlight w:val="none"/>
          <w:lang w:bidi="zh-CN"/>
        </w:rPr>
        <w:t xml:space="preserve"> </w:t>
      </w:r>
      <w:r>
        <w:rPr>
          <w:rFonts w:hint="eastAsia" w:cs="宋体"/>
          <w:bCs/>
          <w:color w:val="auto"/>
          <w:kern w:val="0"/>
          <w:highlight w:val="none"/>
          <w:lang w:val="zh-CN" w:bidi="zh-CN"/>
        </w:rPr>
        <w:t>承包人应负责施工现场用电、用水的使用、维护，且在施工期间定期到有关部门足额缴纳费用，因承包人原因未按时缴纳相关费用而导致的滞纳金、罚款等均由承包人自行承担。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2.4.2.3</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发包人负责开工前书面通知承包人，确定发包人代表和监理组人员的分工和权责。</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2.4.2.4</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发包人提供其能掌握的施工场地内地下管线和地下设施等有关资料，但场内地下管线和地下设施可能不限于资料内能反映的，承包人还应自行做好物探工作，发包人不另行支付任何费用。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2.4.2.5</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发包人负责办理永久征地范围内的征地和移民，向承包人提供施工用地。</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2.4.2.6</w:t>
      </w:r>
      <w:r>
        <w:rPr>
          <w:rFonts w:hint="eastAsia" w:cs="宋体"/>
          <w:bCs/>
          <w:color w:val="auto"/>
          <w:kern w:val="0"/>
          <w:highlight w:val="none"/>
          <w:lang w:bidi="zh-CN"/>
        </w:rPr>
        <w:t xml:space="preserve"> </w:t>
      </w:r>
      <w:r>
        <w:rPr>
          <w:rFonts w:hint="eastAsia" w:cs="宋体"/>
          <w:bCs/>
          <w:color w:val="auto"/>
          <w:kern w:val="0"/>
          <w:highlight w:val="none"/>
          <w:lang w:val="zh-CN" w:bidi="zh-CN"/>
        </w:rPr>
        <w:t>对于监理人或发包方指示、批准或同意的因施工放坡开挖和安全需要临时租用红线外土地的费用由发包人承担。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2.4.2.7</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发包人有权对施工用地范围作适当的调整。</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2.5</w:t>
      </w:r>
      <w:r>
        <w:rPr>
          <w:rFonts w:hint="eastAsia" w:cs="宋体"/>
          <w:bCs/>
          <w:color w:val="auto"/>
          <w:kern w:val="0"/>
          <w:highlight w:val="none"/>
          <w:lang w:bidi="zh-CN"/>
        </w:rPr>
        <w:t xml:space="preserve"> </w:t>
      </w:r>
      <w:r>
        <w:rPr>
          <w:rFonts w:hint="eastAsia" w:cs="宋体"/>
          <w:bCs/>
          <w:color w:val="auto"/>
          <w:kern w:val="0"/>
          <w:highlight w:val="none"/>
          <w:lang w:val="zh-CN" w:bidi="zh-CN"/>
        </w:rPr>
        <w:t>资金来源证明及支付担保</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发包人提供资金来源证明的期限要求：</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发包人是否提供支付担保：</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发包人提供支付担保的形式：</w:t>
      </w:r>
      <w:r>
        <w:rPr>
          <w:rFonts w:hint="eastAsia" w:cs="宋体"/>
          <w:bCs/>
          <w:color w:val="auto"/>
          <w:kern w:val="0"/>
          <w:highlight w:val="none"/>
          <w:lang w:bidi="zh-CN"/>
        </w:rPr>
        <w:t xml:space="preserve">  /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3.承包人</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3.1承包人的一般义务</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(1)承包人提交的竣工资料的内容：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承包人需要提交的竣工资料套数：</w:t>
      </w:r>
      <w:r>
        <w:rPr>
          <w:rFonts w:hint="eastAsia" w:cs="宋体"/>
          <w:bCs/>
          <w:color w:val="auto"/>
          <w:kern w:val="0"/>
          <w:highlight w:val="none"/>
          <w:lang w:bidi="zh-CN"/>
        </w:rPr>
        <w:t xml:space="preserve"> 2套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承包人提交的竣工资料的费用承担：由承包人自行承担。</w:t>
      </w:r>
    </w:p>
    <w:p>
      <w:pPr>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kern w:val="0"/>
          <w:highlight w:val="none"/>
          <w:lang w:val="zh-CN" w:bidi="zh-CN"/>
        </w:rPr>
        <w:t>承包人提交的竣工资料移交时间：</w:t>
      </w:r>
      <w:r>
        <w:rPr>
          <w:rFonts w:hint="eastAsia" w:cs="宋体"/>
          <w:bCs/>
          <w:color w:val="auto"/>
          <w:kern w:val="0"/>
          <w:highlight w:val="none"/>
          <w:lang w:bidi="zh-CN"/>
        </w:rPr>
        <w:t>竣工验收后15日内将施工过程中形成的有关完整资料分类整理，乙方提交的竣工资料和竣工图必须达到《建设工程文件归档整理规范》(GB/T50328-2001)规范要求。</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承包人提交的竣工资料形式要求：承包人应根据发包人要求并按照现行规范执行。</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(2)承包人应履行的其他义务：</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①承包人对合同工程的管理：在工程施工期间，为加强管理和认真履行合同义务，承包人应按响应文件所报名单委派项目经理、项目技术负责人，应保证及时到位并常驻现场进行对本合同工程的管理，并保持其岗位的相对稳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②承包人的职工：本合同签定后三日内，承包人应按响应文件所报名单委派派驻现场的人员到位。未经监理工程师或甲方的批准，这些人员不应无故不到位或被替换；若确实无法到位或需替换，需经监理工程师批准、发包人审核后，用同等资质和经历的人员替换；如需替换项目经理、技术负责人，尚须报 行政主管部门批准，完成相关程序。承包人须提供施工管理人员的上岗证、技术等级证等的复印件， 发包人和监理工程师有权清退不具备此类合格证件的人员离开施工现场。承包人须按开工通知要求及 时进场施工，保证施工使用的临时设施配置。</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③料场使用费：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除另有规定外，承包人应承担并支付为获得本合同工程所需的材料等所发生的料场使用费及其他开支或补偿费。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④现场清理：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竣工验收时，承包人应从施工现场清除并运出承包人装备、剩余材料、垃圾和各种临时设施，并保持整个现场及工程整洁，达到监理工程师和发包人认为合格的使用状态，但经发包人同意承包人在现场指定范围内保留为缺陷责任期内履行本身义务所需的材料、装备及临时设施除外。费用已包括在响应报价内，包干使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⑤承包人应无条件服从发包人从整体建设情况考虑而要求对临时设施、机械等的转移工作，如承包人不配合，发包人有权安排其他人转移，并扣除承包人相应费用，工期不变，安全文明责任由承包人承担。</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3.2 服务要求：见合同条款“其他技术及服务要求”</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3.3</w:t>
      </w:r>
      <w:r>
        <w:rPr>
          <w:rFonts w:hint="eastAsia" w:cs="宋体"/>
          <w:bCs/>
          <w:color w:val="auto"/>
          <w:kern w:val="0"/>
          <w:highlight w:val="none"/>
          <w:lang w:bidi="zh-CN"/>
        </w:rPr>
        <w:t xml:space="preserve"> </w:t>
      </w:r>
      <w:r>
        <w:rPr>
          <w:rFonts w:hint="eastAsia" w:cs="宋体"/>
          <w:bCs/>
          <w:color w:val="auto"/>
          <w:kern w:val="0"/>
          <w:highlight w:val="none"/>
          <w:lang w:val="zh-CN" w:bidi="zh-CN"/>
        </w:rPr>
        <w:t>项目经理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3.3.1</w:t>
      </w:r>
      <w:r>
        <w:rPr>
          <w:rFonts w:hint="eastAsia" w:cs="宋体"/>
          <w:bCs/>
          <w:color w:val="auto"/>
          <w:kern w:val="0"/>
          <w:highlight w:val="none"/>
          <w:lang w:bidi="zh-CN"/>
        </w:rPr>
        <w:t xml:space="preserve"> </w:t>
      </w:r>
      <w:r>
        <w:rPr>
          <w:rFonts w:hint="eastAsia" w:cs="宋体"/>
          <w:bCs/>
          <w:color w:val="auto"/>
          <w:kern w:val="0"/>
          <w:highlight w:val="none"/>
          <w:lang w:val="zh-CN" w:bidi="zh-CN"/>
        </w:rPr>
        <w:t>项目经理：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姓    名：</w:t>
      </w:r>
      <w:r>
        <w:rPr>
          <w:rFonts w:hint="eastAsia" w:cs="宋体"/>
          <w:bCs/>
          <w:color w:val="auto"/>
          <w:kern w:val="0"/>
          <w:highlight w:val="none"/>
          <w:lang w:bidi="zh-CN"/>
        </w:rPr>
        <w:t>XXXX</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 xml:space="preserve">身份证号：XXXX；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建造师执业资格等级：</w:t>
      </w:r>
      <w:r>
        <w:rPr>
          <w:rFonts w:hint="eastAsia" w:cs="宋体"/>
          <w:bCs/>
          <w:color w:val="auto"/>
          <w:kern w:val="0"/>
          <w:highlight w:val="none"/>
          <w:lang w:bidi="zh-CN"/>
        </w:rPr>
        <w:t xml:space="preserve">XXX </w:t>
      </w:r>
      <w:r>
        <w:rPr>
          <w:rFonts w:hint="eastAsia" w:cs="宋体"/>
          <w:bCs/>
          <w:color w:val="auto"/>
          <w:kern w:val="0"/>
          <w:highlight w:val="none"/>
          <w:lang w:val="zh-CN" w:bidi="zh-CN"/>
        </w:rPr>
        <w:t xml:space="preserve">；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建造师注册证书号：XXXX；</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建造师执业印章号：XXXX</w:t>
      </w:r>
      <w:r>
        <w:rPr>
          <w:rFonts w:hint="eastAsia" w:cs="宋体"/>
          <w:bCs/>
          <w:color w:val="auto"/>
          <w:kern w:val="0"/>
          <w:highlight w:val="none"/>
          <w:lang w:bidi="zh-CN"/>
        </w:rPr>
        <w:t xml:space="preserve">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联系电话：</w:t>
      </w:r>
      <w:r>
        <w:rPr>
          <w:rFonts w:hint="eastAsia" w:cs="宋体"/>
          <w:bCs/>
          <w:color w:val="auto"/>
          <w:kern w:val="0"/>
          <w:highlight w:val="none"/>
          <w:lang w:bidi="zh-CN"/>
        </w:rPr>
        <w:t>XXXX</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电子信箱：XXXX</w:t>
      </w:r>
      <w:r>
        <w:rPr>
          <w:rFonts w:hint="eastAsia" w:cs="宋体"/>
          <w:bCs/>
          <w:color w:val="auto"/>
          <w:kern w:val="0"/>
          <w:highlight w:val="none"/>
          <w:lang w:bidi="zh-CN"/>
        </w:rPr>
        <w:t xml:space="preserve">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通信地址：XXXX</w:t>
      </w:r>
      <w:r>
        <w:rPr>
          <w:rFonts w:hint="eastAsia" w:cs="宋体"/>
          <w:bCs/>
          <w:color w:val="auto"/>
          <w:kern w:val="0"/>
          <w:highlight w:val="none"/>
          <w:lang w:bidi="zh-CN"/>
        </w:rPr>
        <w:t xml:space="preserve">                  </w:t>
      </w:r>
      <w:r>
        <w:rPr>
          <w:rFonts w:hint="eastAsia" w:cs="宋体"/>
          <w:bCs/>
          <w:color w:val="auto"/>
          <w:kern w:val="0"/>
          <w:highlight w:val="none"/>
          <w:lang w:val="zh-CN" w:bidi="zh-CN"/>
        </w:rPr>
        <w:t xml:space="preserve">；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承包人对项目经理的授权范围如下：</w:t>
      </w:r>
      <w:r>
        <w:rPr>
          <w:rFonts w:hint="eastAsia" w:cs="宋体"/>
          <w:bCs/>
          <w:color w:val="auto"/>
          <w:kern w:val="0"/>
          <w:highlight w:val="none"/>
          <w:lang w:bidi="zh-CN"/>
        </w:rPr>
        <w:t>全权处理该项目各方协调、施工、结算等所有与之相关的事项。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关于项目经理每月在施工现场的时间要求：项目经理应常驻现场，并接受发包人考勤检查。</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承包人应自行为工作人员购买保险。承包人未提交劳动合同、没有为项目经理缴纳社会保险证明的违约责任：由承包人承担，如由此影响施工进度及为发包人的正常管理工作带来不便的，承包人应承担相应责任。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3.3.2</w:t>
      </w:r>
      <w:r>
        <w:rPr>
          <w:rFonts w:hint="eastAsia" w:cs="宋体"/>
          <w:bCs/>
          <w:color w:val="auto"/>
          <w:kern w:val="0"/>
          <w:highlight w:val="none"/>
          <w:lang w:bidi="zh-CN"/>
        </w:rPr>
        <w:t xml:space="preserve"> </w:t>
      </w:r>
      <w:r>
        <w:rPr>
          <w:rFonts w:hint="eastAsia" w:cs="宋体"/>
          <w:bCs/>
          <w:color w:val="auto"/>
          <w:kern w:val="0"/>
          <w:highlight w:val="none"/>
          <w:lang w:val="zh-CN" w:bidi="zh-CN"/>
        </w:rPr>
        <w:t>承包人擅自更换项目经理的违约责任：承包人在响应文件中报出的项目经理和技术负责人须 为成交后实际派驻本工程施工现场的项目经理和技术负责人。未经行政主管部门批准，发包人将不允许承包人更换项目经理和技术负责人。承包人派驻施工现场的项目经理、技术负责人与响应文件承诺不符的，视同转包，因此所造成的相关责任由承包人自行承担。承包人项目经理未经发包人书面认可不得擅自更换，否则发包人将按 5 万元/人/次对承包人进行处罚。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3.3.3</w:t>
      </w:r>
      <w:r>
        <w:rPr>
          <w:rFonts w:hint="eastAsia" w:cs="宋体"/>
          <w:bCs/>
          <w:color w:val="auto"/>
          <w:kern w:val="0"/>
          <w:highlight w:val="none"/>
          <w:lang w:bidi="zh-CN"/>
        </w:rPr>
        <w:t xml:space="preserve"> </w:t>
      </w:r>
      <w:r>
        <w:rPr>
          <w:rFonts w:hint="eastAsia" w:cs="宋体"/>
          <w:bCs/>
          <w:color w:val="auto"/>
          <w:kern w:val="0"/>
          <w:highlight w:val="none"/>
          <w:lang w:val="zh-CN" w:bidi="zh-CN"/>
        </w:rPr>
        <w:t>承包人无正当理由拒绝更换项目经理的违约责任：承包人派驻的项目经理严重违反本合同约定，或被认为有严重损害发包人利益或被证明其不具备作为项目经理的相应资质时，承包人应主动更换或应发包人要求更换项目经理。如在上述情况下承包人拒绝更换或拖延更换的，发包人有权追究承包人相应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3.4</w:t>
      </w:r>
      <w:r>
        <w:rPr>
          <w:rFonts w:hint="eastAsia" w:cs="宋体"/>
          <w:bCs/>
          <w:color w:val="auto"/>
          <w:kern w:val="0"/>
          <w:highlight w:val="none"/>
          <w:lang w:bidi="zh-CN"/>
        </w:rPr>
        <w:t xml:space="preserve"> </w:t>
      </w:r>
      <w:r>
        <w:rPr>
          <w:rFonts w:hint="eastAsia" w:cs="宋体"/>
          <w:bCs/>
          <w:color w:val="auto"/>
          <w:kern w:val="0"/>
          <w:highlight w:val="none"/>
          <w:lang w:val="zh-CN" w:bidi="zh-CN"/>
        </w:rPr>
        <w:t>承包人人员</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3.4.1</w:t>
      </w:r>
      <w:r>
        <w:rPr>
          <w:rFonts w:hint="eastAsia" w:cs="宋体"/>
          <w:bCs/>
          <w:color w:val="auto"/>
          <w:kern w:val="0"/>
          <w:highlight w:val="none"/>
          <w:lang w:bidi="zh-CN"/>
        </w:rPr>
        <w:t xml:space="preserve"> </w:t>
      </w:r>
      <w:r>
        <w:rPr>
          <w:rFonts w:hint="eastAsia" w:cs="宋体"/>
          <w:bCs/>
          <w:color w:val="auto"/>
          <w:kern w:val="0"/>
          <w:highlight w:val="none"/>
          <w:lang w:val="zh-CN" w:bidi="zh-CN"/>
        </w:rPr>
        <w:t>承包人提交项目管理机构及施工现场管理人员安排报告的约定：为完成合同约定的各项工作 ，承包人应向现场派驻为实施和完成本合同工程及其缺陷的修复而需要的下述人员,所派往本工程的人 员应与响应文件相符:</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1)</w:t>
      </w:r>
      <w:r>
        <w:rPr>
          <w:rFonts w:hint="eastAsia" w:cs="宋体"/>
          <w:bCs/>
          <w:color w:val="auto"/>
          <w:kern w:val="0"/>
          <w:highlight w:val="none"/>
          <w:lang w:val="zh-CN" w:bidi="zh-CN"/>
        </w:rPr>
        <w:t>按响应文件附表中所报名单的各类专业技术人员、质检人员、安全员和管理人员。未经监理人或甲方的批准，这些人员不应不到位或被替换；若确实无法到位或需替换，需经监理人或甲方批准、审核后，用同等资质和经历的人员替换。</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2)</w:t>
      </w:r>
      <w:r>
        <w:rPr>
          <w:rFonts w:hint="eastAsia" w:cs="宋体"/>
          <w:bCs/>
          <w:color w:val="auto"/>
          <w:kern w:val="0"/>
          <w:highlight w:val="none"/>
          <w:lang w:val="zh-CN" w:bidi="zh-CN"/>
        </w:rPr>
        <w:t>其他满足本合同工程施工需要的在本行业中技术熟练、经验丰富的各类专业人员、质检人员、管理人员和有能力进行施工管理、并指导作业的工长；以及适应本工程需要的各类熟练技工、半熟练技工和普通工。</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w:t>
      </w:r>
      <w:r>
        <w:rPr>
          <w:rFonts w:hint="eastAsia" w:cs="宋体"/>
          <w:bCs/>
          <w:color w:val="auto"/>
          <w:kern w:val="0"/>
          <w:highlight w:val="none"/>
          <w:lang w:bidi="zh-CN"/>
        </w:rPr>
        <w:t>3)</w:t>
      </w:r>
      <w:r>
        <w:rPr>
          <w:rFonts w:hint="eastAsia" w:cs="宋体"/>
          <w:bCs/>
          <w:color w:val="auto"/>
          <w:kern w:val="0"/>
          <w:highlight w:val="none"/>
          <w:lang w:val="zh-CN" w:bidi="zh-CN"/>
        </w:rPr>
        <w:t>尽管承包人已按响应文件附表中所列的数量派遣了上述各类人员，但若监理人或发包人有充分理由认为这些人员仍不足以适应现场施工的需要并不能保证工程质量时，有权要求承包人继续增派或雇用这类人员，并书面通知承包人。承包人在接到上述通知后应立即执行监理人的上述指示，不得无故拖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3.5</w:t>
      </w:r>
      <w:r>
        <w:rPr>
          <w:rFonts w:hint="eastAsia" w:cs="宋体"/>
          <w:bCs/>
          <w:color w:val="auto"/>
          <w:kern w:val="0"/>
          <w:highlight w:val="none"/>
          <w:lang w:bidi="zh-CN"/>
        </w:rPr>
        <w:t xml:space="preserve"> </w:t>
      </w:r>
      <w:r>
        <w:rPr>
          <w:rFonts w:hint="eastAsia" w:cs="宋体"/>
          <w:bCs/>
          <w:color w:val="auto"/>
          <w:kern w:val="0"/>
          <w:highlight w:val="none"/>
          <w:lang w:val="zh-CN" w:bidi="zh-CN"/>
        </w:rPr>
        <w:t>分包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3.5.1分包的一般约定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禁止分包的工程包括：相关法律、法规、规章和条例禁止分包的所有工程。</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主体结构、关键性工作的范围：</w:t>
      </w:r>
      <w:r>
        <w:rPr>
          <w:rFonts w:hint="eastAsia" w:cs="宋体"/>
          <w:bCs/>
          <w:color w:val="auto"/>
          <w:kern w:val="0"/>
          <w:highlight w:val="none"/>
          <w:lang w:bidi="zh-CN"/>
        </w:rPr>
        <w:t xml:space="preserve">  </w:t>
      </w:r>
      <w:r>
        <w:rPr>
          <w:rFonts w:hint="eastAsia" w:cs="宋体"/>
          <w:bCs/>
          <w:color w:val="auto"/>
          <w:kern w:val="0"/>
          <w:highlight w:val="none"/>
          <w:lang w:val="zh-CN" w:bidi="zh-CN"/>
        </w:rPr>
        <w:t>/</w:t>
      </w:r>
      <w:r>
        <w:rPr>
          <w:rFonts w:hint="eastAsia" w:cs="宋体"/>
          <w:bCs/>
          <w:color w:val="auto"/>
          <w:kern w:val="0"/>
          <w:highlight w:val="none"/>
          <w:lang w:bidi="zh-CN"/>
        </w:rPr>
        <w:t xml:space="preserve">  </w:t>
      </w:r>
      <w:r>
        <w:rPr>
          <w:rFonts w:hint="eastAsia" w:cs="宋体"/>
          <w:bCs/>
          <w:color w:val="auto"/>
          <w:kern w:val="0"/>
          <w:highlight w:val="none"/>
          <w:lang w:val="zh-CN"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4.工程照管与成品、半成品保护</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承包人负责照管工程及工程相关的材料、工程设备的起始时间：承包人提供的材料和工程设备均由承包人负责采购、运输和保管。承包人应对其采购的材料和工程设备负责。</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4.1</w:t>
      </w:r>
      <w:r>
        <w:rPr>
          <w:rFonts w:hint="eastAsia" w:cs="宋体"/>
          <w:bCs/>
          <w:color w:val="auto"/>
          <w:kern w:val="0"/>
          <w:highlight w:val="none"/>
          <w:lang w:bidi="zh-CN"/>
        </w:rPr>
        <w:t xml:space="preserve"> </w:t>
      </w:r>
      <w:r>
        <w:rPr>
          <w:rFonts w:hint="eastAsia" w:cs="宋体"/>
          <w:bCs/>
          <w:color w:val="auto"/>
          <w:kern w:val="0"/>
          <w:highlight w:val="none"/>
          <w:lang w:val="zh-CN" w:bidi="zh-CN"/>
        </w:rPr>
        <w:t>承包人提供的材料和工程设备的其他约定：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4.1.2</w:t>
      </w:r>
      <w:r>
        <w:rPr>
          <w:rFonts w:hint="eastAsia" w:cs="宋体"/>
          <w:bCs/>
          <w:color w:val="auto"/>
          <w:kern w:val="0"/>
          <w:highlight w:val="none"/>
          <w:lang w:bidi="zh-CN"/>
        </w:rPr>
        <w:t xml:space="preserve"> </w:t>
      </w:r>
      <w:r>
        <w:rPr>
          <w:rFonts w:hint="eastAsia" w:cs="宋体"/>
          <w:bCs/>
          <w:color w:val="auto"/>
          <w:kern w:val="0"/>
          <w:highlight w:val="none"/>
          <w:lang w:val="zh-CN" w:bidi="zh-CN"/>
        </w:rPr>
        <w:t>承包人应在每个月的 20 日之前将下月承包人所需材料的采购计划(包括各项材料和工程设备的供货人及品种、规格、数量和供货时间等)以书面形式提交给监理人审批，并向监理人提交其负责提供的材料和工程设备的质量证明文件，并满足合同约定的质量标准。由于承包人未按时提供材料采购计划而造成的一切后果均应由承包人自行承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4.1.3</w:t>
      </w:r>
      <w:r>
        <w:rPr>
          <w:rFonts w:hint="eastAsia" w:cs="宋体"/>
          <w:bCs/>
          <w:color w:val="auto"/>
          <w:kern w:val="0"/>
          <w:highlight w:val="none"/>
          <w:lang w:bidi="zh-CN"/>
        </w:rPr>
        <w:t xml:space="preserve"> </w:t>
      </w:r>
      <w:r>
        <w:rPr>
          <w:rFonts w:hint="eastAsia" w:cs="宋体"/>
          <w:bCs/>
          <w:color w:val="auto"/>
          <w:kern w:val="0"/>
          <w:highlight w:val="none"/>
          <w:lang w:val="zh-CN" w:bidi="zh-CN"/>
        </w:rPr>
        <w:t>若发包人或监理人对承包人出具的材料质量证明文件持异议，可申请相关质量技术监督部门进行检验，所发生的费用、损失由责任方承担。在处理质量争议期间，承包人应按监理人的指令保证工程正常施工。承包人自购材料虽经监理人质量检验和验收，但不解除承包人的质量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4.1.4</w:t>
      </w:r>
      <w:r>
        <w:rPr>
          <w:rFonts w:hint="eastAsia" w:cs="宋体"/>
          <w:bCs/>
          <w:color w:val="auto"/>
          <w:kern w:val="0"/>
          <w:highlight w:val="none"/>
          <w:lang w:bidi="zh-CN"/>
        </w:rPr>
        <w:t xml:space="preserve"> </w:t>
      </w:r>
      <w:r>
        <w:rPr>
          <w:rFonts w:hint="eastAsia" w:cs="宋体"/>
          <w:bCs/>
          <w:color w:val="auto"/>
          <w:kern w:val="0"/>
          <w:highlight w:val="none"/>
          <w:lang w:val="zh-CN" w:bidi="zh-CN"/>
        </w:rPr>
        <w:t>发包人视工程具体情况，有权要求承包人在施工过程中更换相关材料及设备，对更换部分的价格以最新一期四川省信息价为准，若信息价不包含则以市场价为准，最终价格由第三方咨询公司结算核定；若在工程实施过程中，发包人发现承包人未按竞争性谈判文件、响应文件中给定的材料、设备选用范围采购，发包人有权要求承包人按竞争性谈判文件、响应文件中给定的材料、设备选用范围中的任何一种材料、设备替代，但不补偿价差。</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4.1.5竞争性谈判文件、响应文件外增加的材料，若发包人委托承包人采购，承包人在投料前15天，将其质量、品牌、价格报发包人认质认价(认价以施工期间最新一期四川省信息价为准，若信息价不包含则以市场价为准，最终价格由结算审计核定)，否则在结算时按零价格处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4.1.6</w:t>
      </w:r>
      <w:r>
        <w:rPr>
          <w:rFonts w:hint="eastAsia" w:cs="宋体"/>
          <w:bCs/>
          <w:color w:val="auto"/>
          <w:kern w:val="0"/>
          <w:highlight w:val="none"/>
          <w:lang w:bidi="zh-CN"/>
        </w:rPr>
        <w:t xml:space="preserve"> </w:t>
      </w:r>
      <w:r>
        <w:rPr>
          <w:rFonts w:hint="eastAsia" w:cs="宋体"/>
          <w:bCs/>
          <w:color w:val="auto"/>
          <w:kern w:val="0"/>
          <w:highlight w:val="none"/>
          <w:lang w:val="zh-CN" w:bidi="zh-CN"/>
        </w:rPr>
        <w:t>所有材料均应符合设计和国家颁布的质量检验及验收规范要求，并按规定向监理工程师、发包人提供材质合格证书和检验合格证，经签字认可后才能用于工程中。与本工程无关的设备或不合格材料均不得进入现场，发包人有权进行检查，每发现一次，承包人向发包人支付罚金500～2000元，并须将该设备、材料等无条件的、及时运离现场。</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5.工程质量</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5.1</w:t>
      </w:r>
      <w:r>
        <w:rPr>
          <w:rFonts w:hint="eastAsia" w:cs="宋体"/>
          <w:bCs/>
          <w:color w:val="auto"/>
          <w:kern w:val="0"/>
          <w:highlight w:val="none"/>
          <w:lang w:bidi="zh-CN"/>
        </w:rPr>
        <w:t xml:space="preserve"> </w:t>
      </w:r>
      <w:r>
        <w:rPr>
          <w:rFonts w:hint="eastAsia" w:cs="宋体"/>
          <w:bCs/>
          <w:color w:val="auto"/>
          <w:kern w:val="0"/>
          <w:highlight w:val="none"/>
          <w:lang w:val="zh-CN" w:bidi="zh-CN"/>
        </w:rPr>
        <w:t>质量要求</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5.1.1</w:t>
      </w:r>
      <w:r>
        <w:rPr>
          <w:rFonts w:hint="eastAsia" w:cs="宋体"/>
          <w:bCs/>
          <w:color w:val="auto"/>
          <w:kern w:val="0"/>
          <w:highlight w:val="none"/>
          <w:lang w:bidi="zh-CN"/>
        </w:rPr>
        <w:t xml:space="preserve"> </w:t>
      </w:r>
      <w:r>
        <w:rPr>
          <w:rFonts w:hint="eastAsia" w:cs="宋体"/>
          <w:bCs/>
          <w:color w:val="auto"/>
          <w:kern w:val="0"/>
          <w:highlight w:val="none"/>
          <w:lang w:val="zh-CN" w:bidi="zh-CN"/>
        </w:rPr>
        <w:t>质量标准和要求：符合现行国家施工验收规范、建筑工程质量验收标准、质量</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评定标准及其他相关法律、法规当地行政主管部门颁发的有关文件要求。双方对工程质量有争议，由双方同意的工程质量检测机构鉴定，所需费用及因此造成的损失，由责任方承担。发包人有权对材料、半成品、成品等进行随机抽查，承包人应积极配合。</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关于工程奖项的约定：/。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5.2 隐蔽工程检查</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5.2.1</w:t>
      </w:r>
      <w:r>
        <w:rPr>
          <w:rFonts w:hint="eastAsia" w:cs="宋体"/>
          <w:bCs/>
          <w:color w:val="auto"/>
          <w:kern w:val="0"/>
          <w:highlight w:val="none"/>
          <w:lang w:bidi="zh-CN"/>
        </w:rPr>
        <w:t xml:space="preserve"> </w:t>
      </w:r>
      <w:r>
        <w:rPr>
          <w:rFonts w:hint="eastAsia" w:cs="宋体"/>
          <w:bCs/>
          <w:color w:val="auto"/>
          <w:kern w:val="0"/>
          <w:highlight w:val="none"/>
          <w:lang w:val="zh-CN" w:bidi="zh-CN"/>
        </w:rPr>
        <w:t>承包人提前通知监理人或发包人隐蔽工程检查的期限的约定：承包人应在隐蔽工程完成后2日内书面通知发包人验收。隐蔽工序施工完毕后，必须经监理或发包人验收合格并签字后(承包人应在验收前向监理人或发包人提交三检记录、施工交底记录等资料)，方可进行下道工序施工，否则每次承包人支付违约金2000元人民币，并且暂停支付该部分进度款，直至发包人确认该部分工程合格为止。</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5.2.2</w:t>
      </w:r>
      <w:r>
        <w:rPr>
          <w:rFonts w:hint="eastAsia" w:cs="宋体"/>
          <w:bCs/>
          <w:color w:val="auto"/>
          <w:kern w:val="0"/>
          <w:highlight w:val="none"/>
          <w:lang w:bidi="zh-CN"/>
        </w:rPr>
        <w:t xml:space="preserve"> </w:t>
      </w:r>
      <w:r>
        <w:rPr>
          <w:rFonts w:hint="eastAsia" w:cs="宋体"/>
          <w:bCs/>
          <w:color w:val="auto"/>
          <w:kern w:val="0"/>
          <w:highlight w:val="none"/>
          <w:lang w:val="zh-CN" w:bidi="zh-CN"/>
        </w:rPr>
        <w:t>监理人或发包人不能按时进行检查时，应提前10小时提交书面延期要求。</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5.2.3</w:t>
      </w:r>
      <w:r>
        <w:rPr>
          <w:rFonts w:hint="eastAsia" w:cs="宋体"/>
          <w:bCs/>
          <w:color w:val="auto"/>
          <w:kern w:val="0"/>
          <w:highlight w:val="none"/>
          <w:lang w:bidi="zh-CN"/>
        </w:rPr>
        <w:t xml:space="preserve"> </w:t>
      </w:r>
      <w:r>
        <w:rPr>
          <w:rFonts w:hint="eastAsia" w:cs="宋体"/>
          <w:bCs/>
          <w:color w:val="auto"/>
          <w:kern w:val="0"/>
          <w:highlight w:val="none"/>
          <w:lang w:val="zh-CN" w:bidi="zh-CN"/>
        </w:rPr>
        <w:t>关于延期最长不得超过：24 小时。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6.安全文明施工与环境保护</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6.1</w:t>
      </w:r>
      <w:r>
        <w:rPr>
          <w:rFonts w:hint="eastAsia" w:cs="宋体"/>
          <w:bCs/>
          <w:color w:val="auto"/>
          <w:kern w:val="0"/>
          <w:highlight w:val="none"/>
          <w:lang w:bidi="zh-CN"/>
        </w:rPr>
        <w:t xml:space="preserve"> </w:t>
      </w:r>
      <w:r>
        <w:rPr>
          <w:rFonts w:hint="eastAsia" w:cs="宋体"/>
          <w:bCs/>
          <w:color w:val="auto"/>
          <w:kern w:val="0"/>
          <w:highlight w:val="none"/>
          <w:lang w:val="zh-CN" w:bidi="zh-CN"/>
        </w:rPr>
        <w:t>安全文明施工</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6.1.1</w:t>
      </w:r>
      <w:r>
        <w:rPr>
          <w:rFonts w:hint="eastAsia" w:cs="宋体"/>
          <w:bCs/>
          <w:color w:val="auto"/>
          <w:kern w:val="0"/>
          <w:highlight w:val="none"/>
          <w:lang w:bidi="zh-CN"/>
        </w:rPr>
        <w:t xml:space="preserve"> </w:t>
      </w:r>
      <w:r>
        <w:rPr>
          <w:rFonts w:hint="eastAsia" w:cs="宋体"/>
          <w:bCs/>
          <w:color w:val="auto"/>
          <w:kern w:val="0"/>
          <w:highlight w:val="none"/>
          <w:lang w:val="zh-CN" w:bidi="zh-CN"/>
        </w:rPr>
        <w:t>项目安全生产的达标目标及相应事项的约定：按照相关规范及政策性文件执行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6.1.2</w:t>
      </w:r>
      <w:r>
        <w:rPr>
          <w:rFonts w:hint="eastAsia" w:cs="宋体"/>
          <w:bCs/>
          <w:color w:val="auto"/>
          <w:kern w:val="0"/>
          <w:highlight w:val="none"/>
          <w:lang w:bidi="zh-CN"/>
        </w:rPr>
        <w:t xml:space="preserve"> </w:t>
      </w:r>
      <w:r>
        <w:rPr>
          <w:rFonts w:hint="eastAsia" w:cs="宋体"/>
          <w:bCs/>
          <w:color w:val="auto"/>
          <w:kern w:val="0"/>
          <w:highlight w:val="none"/>
          <w:lang w:val="zh-CN" w:bidi="zh-CN"/>
        </w:rPr>
        <w:t>关于治安保卫的特别约定：应对突发治安事件的紧急预案：由承包人制定。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关于编制施工场地治安管理计划的约定：施工场地治安管理计划：由承包人编制。</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6.1.3</w:t>
      </w:r>
      <w:r>
        <w:rPr>
          <w:rFonts w:hint="eastAsia" w:cs="宋体"/>
          <w:bCs/>
          <w:color w:val="auto"/>
          <w:kern w:val="0"/>
          <w:highlight w:val="none"/>
          <w:lang w:bidi="zh-CN"/>
        </w:rPr>
        <w:t xml:space="preserve"> </w:t>
      </w:r>
      <w:r>
        <w:rPr>
          <w:rFonts w:hint="eastAsia" w:cs="宋体"/>
          <w:bCs/>
          <w:color w:val="auto"/>
          <w:kern w:val="0"/>
          <w:highlight w:val="none"/>
          <w:lang w:val="zh-CN" w:bidi="zh-CN"/>
        </w:rPr>
        <w:t>文明施工</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合同当事人对文明施工的要求：按照相关规范及政策性文件执行。</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增加：</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6.1.4 承包人的施工安全责任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补充以下内容：承包人应按合同约定履行安全职责，执行监理人或发包人有关安全工作的指示，并在设计交底完成后7日内，按合同约定的安全工作内容，编制施工安全措施计划报送监理人或发包人审批。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6.1.5 事故处理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补充以下内容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w:t>
      </w:r>
      <w:r>
        <w:rPr>
          <w:rFonts w:hint="eastAsia" w:cs="宋体"/>
          <w:bCs/>
          <w:color w:val="auto"/>
          <w:kern w:val="0"/>
          <w:highlight w:val="none"/>
          <w:lang w:bidi="zh-CN"/>
        </w:rPr>
        <w:t>.</w:t>
      </w:r>
      <w:r>
        <w:rPr>
          <w:rFonts w:hint="eastAsia" w:cs="宋体"/>
          <w:bCs/>
          <w:color w:val="auto"/>
          <w:kern w:val="0"/>
          <w:highlight w:val="none"/>
          <w:lang w:val="zh-CN" w:bidi="zh-CN"/>
        </w:rPr>
        <w:t>人员工伤事故的责任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(1)承包人应为其执行本合同所雇用的全部人员(包括分包人的人员)承担工伤事故责任。承包人可要求其分包人自行承担自己雇用人员的工伤事故责任，但发包人有权只向承包人追索其工伤事故责任。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(2)发包人应为其现场机构雇用的全部人员承担工伤事故责任，但由于承包人过失造成在承包人责任区内工作的发包人的人员伤亡，则应由承包人承担其工伤事故责任。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w:t>
      </w:r>
      <w:r>
        <w:rPr>
          <w:rFonts w:hint="eastAsia" w:cs="宋体"/>
          <w:bCs/>
          <w:color w:val="auto"/>
          <w:kern w:val="0"/>
          <w:highlight w:val="none"/>
          <w:lang w:bidi="zh-CN"/>
        </w:rPr>
        <w:t>.</w:t>
      </w:r>
      <w:r>
        <w:rPr>
          <w:rFonts w:hint="eastAsia" w:cs="宋体"/>
          <w:bCs/>
          <w:color w:val="auto"/>
          <w:kern w:val="0"/>
          <w:highlight w:val="none"/>
          <w:lang w:val="zh-CN" w:bidi="zh-CN"/>
        </w:rPr>
        <w:t>人员工伤事故的赔偿</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发包人和承包人应根据有关法律、法规和规章的规定，对工伤事故造成的伤亡按其各自的责任进行赔偿。其赔偿范围应包括人员伤亡和财产损失的赔偿、诉讼和其它有关费用。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3</w:t>
      </w:r>
      <w:r>
        <w:rPr>
          <w:rFonts w:hint="eastAsia" w:cs="宋体"/>
          <w:bCs/>
          <w:color w:val="auto"/>
          <w:kern w:val="0"/>
          <w:highlight w:val="none"/>
          <w:lang w:bidi="zh-CN"/>
        </w:rPr>
        <w:t>.</w:t>
      </w:r>
      <w:r>
        <w:rPr>
          <w:rFonts w:hint="eastAsia" w:cs="宋体"/>
          <w:bCs/>
          <w:color w:val="auto"/>
          <w:kern w:val="0"/>
          <w:highlight w:val="none"/>
          <w:lang w:val="zh-CN" w:bidi="zh-CN"/>
        </w:rPr>
        <w:t>人身和财产的损失</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承包人应负责赔偿由于承包人的责任造成在其管辖区内发包人和承包人以及第三者人员的人身伤害和财产损失。</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上述赔偿费用应包括人身伤害和财产损失的赔偿费、诉讼费和其它有关费用。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必须加强其现场人员的管理约束，施工期间严禁发生任何性质的打架斗殴事件。否则，每发生一次，发包人有权对责任双方处以2000～10000元的罚金，对承包人责任人的罚金和由此给发包人造成的直接经济损失，由发包人直接在支付给承包人的工程款中扣除。若承包人人员发生群体斗殴事件，造成恶劣的社会影响，发包人有权终止合同，承包人承担由此给发包人造成的一切损失。</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4</w:t>
      </w:r>
      <w:r>
        <w:rPr>
          <w:rFonts w:hint="eastAsia" w:cs="宋体"/>
          <w:bCs/>
          <w:color w:val="auto"/>
          <w:kern w:val="0"/>
          <w:highlight w:val="none"/>
          <w:lang w:bidi="zh-CN"/>
        </w:rPr>
        <w:t>.</w:t>
      </w:r>
      <w:r>
        <w:rPr>
          <w:rFonts w:hint="eastAsia" w:cs="宋体"/>
          <w:bCs/>
          <w:color w:val="auto"/>
          <w:kern w:val="0"/>
          <w:highlight w:val="none"/>
          <w:lang w:val="zh-CN" w:bidi="zh-CN"/>
        </w:rPr>
        <w:t>重大事故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发生重大伤亡及其他安全事故，承包人应按有关规定立即上报政府有关部门并通知监理人或发包人，同时按政府有关部门要求处理，由事故责任方承担发生的费用。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5</w:t>
      </w:r>
      <w:r>
        <w:rPr>
          <w:rFonts w:hint="eastAsia" w:cs="宋体"/>
          <w:bCs/>
          <w:color w:val="auto"/>
          <w:kern w:val="0"/>
          <w:highlight w:val="none"/>
          <w:lang w:bidi="zh-CN"/>
        </w:rPr>
        <w:t>.</w:t>
      </w:r>
      <w:r>
        <w:rPr>
          <w:rFonts w:hint="eastAsia" w:cs="宋体"/>
          <w:bCs/>
          <w:color w:val="auto"/>
          <w:kern w:val="0"/>
          <w:highlight w:val="none"/>
          <w:lang w:val="zh-CN" w:bidi="zh-CN"/>
        </w:rPr>
        <w:t>事故争议</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发包人与承包人对事故责任有争议时，应按政府有关部门的认定处理。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6</w:t>
      </w:r>
      <w:r>
        <w:rPr>
          <w:rFonts w:hint="eastAsia" w:cs="宋体"/>
          <w:bCs/>
          <w:color w:val="auto"/>
          <w:kern w:val="0"/>
          <w:highlight w:val="none"/>
          <w:lang w:bidi="zh-CN"/>
        </w:rPr>
        <w:t>.</w:t>
      </w:r>
      <w:r>
        <w:rPr>
          <w:rFonts w:hint="eastAsia" w:cs="宋体"/>
          <w:bCs/>
          <w:color w:val="auto"/>
          <w:kern w:val="0"/>
          <w:highlight w:val="none"/>
          <w:lang w:val="zh-CN" w:bidi="zh-CN"/>
        </w:rPr>
        <w:t>事故处理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因承包人责任而发生伤亡事故，承包人除按国家有关规定对伤亡人员进行补偿外，应以发包人的名义对伤亡人员予以补偿，补偿金额为每死亡1人赔偿50000元，重伤1人赔偿30000元。</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bidi="zh-CN"/>
        </w:rPr>
        <w:t xml:space="preserve">6.2 </w:t>
      </w:r>
      <w:r>
        <w:rPr>
          <w:rFonts w:hint="eastAsia" w:cs="宋体"/>
          <w:bCs/>
          <w:color w:val="auto"/>
          <w:highlight w:val="none"/>
          <w:lang w:val="zh-CN" w:bidi="zh-CN"/>
        </w:rPr>
        <w:t>环境保护</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施工场地周围地下管线和邻近建筑物、构筑物(含文物保护建筑)、古树名木的保护要求及费用承担：承包人被认为在送交响应文件之前，已进行了现场考察，对现场和其周围环境以及可得到的有关资料进行了查看和核查，承包人已取得可能对</w:t>
      </w:r>
      <w:r>
        <w:rPr>
          <w:rFonts w:hint="eastAsia" w:cs="宋体"/>
          <w:bCs/>
          <w:color w:val="auto"/>
          <w:highlight w:val="none"/>
          <w:lang w:bidi="zh-CN"/>
        </w:rPr>
        <w:t>谈判</w:t>
      </w:r>
      <w:r>
        <w:rPr>
          <w:rFonts w:hint="eastAsia" w:cs="宋体"/>
          <w:bCs/>
          <w:color w:val="auto"/>
          <w:highlight w:val="none"/>
          <w:lang w:val="zh-CN" w:bidi="zh-CN"/>
        </w:rPr>
        <w:t>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该项按常规进行的保护工程费用已含在报价中不再另行支付，但重大文物建筑保护、古树名木的特殊保护所发生的费用按实际发生办理签证，由发包人承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7</w:t>
      </w:r>
      <w:r>
        <w:rPr>
          <w:rFonts w:hint="eastAsia" w:cs="宋体"/>
          <w:bCs/>
          <w:color w:val="auto"/>
          <w:kern w:val="0"/>
          <w:highlight w:val="none"/>
          <w:lang w:val="zh-CN" w:bidi="zh-CN"/>
        </w:rPr>
        <w:t>.工期和进度</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7</w:t>
      </w:r>
      <w:r>
        <w:rPr>
          <w:rFonts w:hint="eastAsia" w:cs="宋体"/>
          <w:bCs/>
          <w:color w:val="auto"/>
          <w:kern w:val="0"/>
          <w:highlight w:val="none"/>
          <w:lang w:val="zh-CN" w:bidi="zh-CN"/>
        </w:rPr>
        <w:t>.1施工组织设计</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7</w:t>
      </w:r>
      <w:r>
        <w:rPr>
          <w:rFonts w:hint="eastAsia" w:cs="宋体"/>
          <w:bCs/>
          <w:color w:val="auto"/>
          <w:kern w:val="0"/>
          <w:highlight w:val="none"/>
          <w:lang w:val="zh-CN" w:bidi="zh-CN"/>
        </w:rPr>
        <w:t>.1.1合同当事人约定的施工组织设计应包括的其他内容：(由合同当事人在编制施工组织设计前书面将施工组织设计应包含的内容目录报监理人、发包人确认)。</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7</w:t>
      </w:r>
      <w:r>
        <w:rPr>
          <w:rFonts w:hint="eastAsia" w:cs="宋体"/>
          <w:bCs/>
          <w:color w:val="auto"/>
          <w:kern w:val="0"/>
          <w:highlight w:val="none"/>
          <w:lang w:val="zh-CN" w:bidi="zh-CN"/>
        </w:rPr>
        <w:t>.1.2施工组织设计的提交和修改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承包人提交详细施工组织设计的期限的约定：/。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发包人和监理人在收到详细的施工组织设计后确认或提出修改意见的期限： 5 天(工作日)。</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7</w:t>
      </w:r>
      <w:r>
        <w:rPr>
          <w:rFonts w:hint="eastAsia" w:cs="宋体"/>
          <w:bCs/>
          <w:color w:val="auto"/>
          <w:kern w:val="0"/>
          <w:highlight w:val="none"/>
          <w:lang w:val="zh-CN" w:bidi="zh-CN"/>
        </w:rPr>
        <w:t>.2施工进度计划</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7</w:t>
      </w:r>
      <w:r>
        <w:rPr>
          <w:rFonts w:hint="eastAsia" w:cs="宋体"/>
          <w:bCs/>
          <w:color w:val="auto"/>
          <w:kern w:val="0"/>
          <w:highlight w:val="none"/>
          <w:lang w:val="zh-CN" w:bidi="zh-CN"/>
        </w:rPr>
        <w:t>.2.1施工进度计划的修订</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发包人和监理人在收到修订的施工进度 计划后确认或提出修改意见的期限：发生时另行约定。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7</w:t>
      </w:r>
      <w:r>
        <w:rPr>
          <w:rFonts w:hint="eastAsia" w:cs="宋体"/>
          <w:bCs/>
          <w:color w:val="auto"/>
          <w:kern w:val="0"/>
          <w:highlight w:val="none"/>
          <w:lang w:val="zh-CN" w:bidi="zh-CN"/>
        </w:rPr>
        <w:t>.3 提前竣工的奖励</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7</w:t>
      </w:r>
      <w:r>
        <w:rPr>
          <w:rFonts w:hint="eastAsia" w:cs="宋体"/>
          <w:bCs/>
          <w:color w:val="auto"/>
          <w:kern w:val="0"/>
          <w:highlight w:val="none"/>
          <w:lang w:val="zh-CN" w:bidi="zh-CN"/>
        </w:rPr>
        <w:t>.3.1 提前竣工的奖励：发包人不支付工期提前的任何费用。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8</w:t>
      </w:r>
      <w:r>
        <w:rPr>
          <w:rFonts w:hint="eastAsia" w:cs="宋体"/>
          <w:bCs/>
          <w:color w:val="auto"/>
          <w:kern w:val="0"/>
          <w:highlight w:val="none"/>
          <w:lang w:val="zh-CN" w:bidi="zh-CN"/>
        </w:rPr>
        <w:t>.材料与设备</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8</w:t>
      </w:r>
      <w:r>
        <w:rPr>
          <w:rFonts w:hint="eastAsia" w:cs="宋体"/>
          <w:bCs/>
          <w:color w:val="auto"/>
          <w:kern w:val="0"/>
          <w:highlight w:val="none"/>
          <w:lang w:val="zh-CN" w:bidi="zh-CN"/>
        </w:rPr>
        <w:t>.1材料与工程设备的保管与使用</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8</w:t>
      </w:r>
      <w:r>
        <w:rPr>
          <w:rFonts w:hint="eastAsia" w:cs="宋体"/>
          <w:bCs/>
          <w:color w:val="auto"/>
          <w:kern w:val="0"/>
          <w:highlight w:val="none"/>
          <w:lang w:val="zh-CN" w:bidi="zh-CN"/>
        </w:rPr>
        <w:t>.1.1发包人供应的材料设备的保管费用的承担： 无甲供材料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8</w:t>
      </w:r>
      <w:r>
        <w:rPr>
          <w:rFonts w:hint="eastAsia" w:cs="宋体"/>
          <w:bCs/>
          <w:color w:val="auto"/>
          <w:kern w:val="0"/>
          <w:highlight w:val="none"/>
          <w:lang w:val="zh-CN" w:bidi="zh-CN"/>
        </w:rPr>
        <w:t>.2样品</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8</w:t>
      </w:r>
      <w:r>
        <w:rPr>
          <w:rFonts w:hint="eastAsia" w:cs="宋体"/>
          <w:bCs/>
          <w:color w:val="auto"/>
          <w:kern w:val="0"/>
          <w:highlight w:val="none"/>
          <w:lang w:val="zh-CN" w:bidi="zh-CN"/>
        </w:rPr>
        <w:t>.2.1样品的报送与封存</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需要承包人报送样品的材料或工程设备，样品的种类、名称、规格、数量要求：由发包人确定。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8</w:t>
      </w:r>
      <w:r>
        <w:rPr>
          <w:rFonts w:hint="eastAsia" w:cs="宋体"/>
          <w:bCs/>
          <w:color w:val="auto"/>
          <w:kern w:val="0"/>
          <w:highlight w:val="none"/>
          <w:lang w:val="zh-CN" w:bidi="zh-CN"/>
        </w:rPr>
        <w:t>.3施工设备和临时设施</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8</w:t>
      </w:r>
      <w:r>
        <w:rPr>
          <w:rFonts w:hint="eastAsia" w:cs="宋体"/>
          <w:bCs/>
          <w:color w:val="auto"/>
          <w:kern w:val="0"/>
          <w:highlight w:val="none"/>
          <w:lang w:val="zh-CN" w:bidi="zh-CN"/>
        </w:rPr>
        <w:t>.3.1承包人提供的施工设备和临时设施</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关于修建临时设施费用承担的约定：承包人自行承担临时设施的修建费用及所需土地的征(租)费用。</w:t>
      </w:r>
    </w:p>
    <w:p>
      <w:pPr>
        <w:numPr>
          <w:ilvl w:val="0"/>
          <w:numId w:val="46"/>
        </w:numPr>
        <w:wordWrap w:val="0"/>
        <w:autoSpaceDE w:val="0"/>
        <w:autoSpaceDN w:val="0"/>
        <w:spacing w:line="520" w:lineRule="exact"/>
        <w:ind w:firstLine="480" w:firstLineChars="200"/>
        <w:rPr>
          <w:rFonts w:cs="宋体"/>
          <w:bCs/>
          <w:color w:val="auto"/>
          <w:highlight w:val="none"/>
          <w:lang w:val="zh-CN" w:bidi="zh-CN"/>
        </w:rPr>
      </w:pPr>
      <w:bookmarkStart w:id="534" w:name="_Toc292559398"/>
      <w:bookmarkStart w:id="535" w:name="_Toc296347192"/>
      <w:bookmarkStart w:id="536" w:name="_Toc300934989"/>
      <w:bookmarkStart w:id="537" w:name="_Toc296891021"/>
      <w:bookmarkStart w:id="538" w:name="_Toc351203642"/>
      <w:bookmarkStart w:id="539" w:name="_Toc296944532"/>
      <w:bookmarkStart w:id="540" w:name="_Toc296891233"/>
      <w:bookmarkStart w:id="541" w:name="_Toc296503193"/>
      <w:bookmarkStart w:id="542" w:name="_Toc297123540"/>
      <w:bookmarkStart w:id="543" w:name="_Toc297048379"/>
      <w:bookmarkStart w:id="544" w:name="_Toc304295566"/>
      <w:bookmarkStart w:id="545" w:name="_Toc297120493"/>
      <w:bookmarkStart w:id="546" w:name="_Toc297216199"/>
      <w:bookmarkStart w:id="547" w:name="_Toc292559903"/>
      <w:bookmarkStart w:id="548" w:name="_Toc11120"/>
      <w:bookmarkStart w:id="549" w:name="_Toc303539146"/>
      <w:bookmarkStart w:id="550" w:name="_Toc296346694"/>
      <w:bookmarkStart w:id="551" w:name="_Toc312677499"/>
      <w:bookmarkStart w:id="552" w:name="_Toc312678025"/>
      <w:r>
        <w:rPr>
          <w:rFonts w:hint="eastAsia" w:cs="宋体"/>
          <w:bCs/>
          <w:color w:val="auto"/>
          <w:highlight w:val="none"/>
          <w:lang w:val="zh-CN" w:bidi="zh-CN"/>
        </w:rPr>
        <w:t>变更</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bookmarkEnd w:id="551"/>
    <w:bookmarkEnd w:id="552"/>
    <w:p>
      <w:pPr>
        <w:wordWrap w:val="0"/>
        <w:autoSpaceDE w:val="0"/>
        <w:autoSpaceDN w:val="0"/>
        <w:spacing w:line="520" w:lineRule="exact"/>
        <w:ind w:firstLine="480" w:firstLineChars="200"/>
        <w:rPr>
          <w:rFonts w:cs="宋体"/>
          <w:bCs/>
          <w:color w:val="auto"/>
          <w:highlight w:val="none"/>
          <w:lang w:val="zh-CN" w:bidi="zh-CN"/>
        </w:rPr>
      </w:pPr>
      <w:bookmarkStart w:id="553" w:name="_Toc297120494"/>
      <w:bookmarkStart w:id="554" w:name="_Toc312678026"/>
      <w:bookmarkStart w:id="555" w:name="_Toc303539147"/>
      <w:bookmarkStart w:id="556" w:name="_Toc300934990"/>
      <w:bookmarkStart w:id="557" w:name="_Toc292559399"/>
      <w:bookmarkStart w:id="558" w:name="_Toc296503194"/>
      <w:bookmarkStart w:id="559" w:name="_Toc292559904"/>
      <w:bookmarkStart w:id="560" w:name="_Toc296944533"/>
      <w:bookmarkStart w:id="561" w:name="_Toc297123541"/>
      <w:bookmarkStart w:id="562" w:name="_Toc297216200"/>
      <w:bookmarkStart w:id="563" w:name="_Toc304295567"/>
      <w:bookmarkStart w:id="564" w:name="_Toc312677500"/>
      <w:bookmarkStart w:id="565" w:name="_Toc296891234"/>
      <w:bookmarkStart w:id="566" w:name="_Toc297048380"/>
      <w:bookmarkStart w:id="567" w:name="_Toc296347193"/>
      <w:bookmarkStart w:id="568" w:name="_Toc296891022"/>
      <w:bookmarkStart w:id="569" w:name="_Toc296346695"/>
      <w:r>
        <w:rPr>
          <w:rFonts w:hint="eastAsia" w:cs="宋体"/>
          <w:bCs/>
          <w:color w:val="auto"/>
          <w:highlight w:val="none"/>
          <w:lang w:bidi="zh-CN"/>
        </w:rPr>
        <w:t>9</w:t>
      </w:r>
      <w:r>
        <w:rPr>
          <w:rFonts w:hint="eastAsia" w:cs="宋体"/>
          <w:bCs/>
          <w:color w:val="auto"/>
          <w:highlight w:val="none"/>
          <w:lang w:val="zh-CN" w:bidi="zh-CN"/>
        </w:rPr>
        <w:t>.1</w:t>
      </w:r>
      <w:r>
        <w:rPr>
          <w:rFonts w:hint="eastAsia" w:cs="宋体"/>
          <w:bCs/>
          <w:color w:val="auto"/>
          <w:highlight w:val="none"/>
          <w:lang w:bidi="zh-CN"/>
        </w:rPr>
        <w:t xml:space="preserve"> </w:t>
      </w:r>
      <w:r>
        <w:rPr>
          <w:rFonts w:hint="eastAsia" w:cs="宋体"/>
          <w:bCs/>
          <w:color w:val="auto"/>
          <w:highlight w:val="none"/>
          <w:lang w:val="zh-CN" w:bidi="zh-CN"/>
        </w:rPr>
        <w:t>变更的范围</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合同履行过程中发生以下情形的，应按照本条约定进行变更：</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(1)增加或减少合同中任何工作，或追加额外的工作；</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(2)取消合同中任何工作，但转由他人实施的工作除外；</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(3)改变合同中任何工作的质量标准或其他特性；</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(4)改变工程的基线、标高、位置和尺寸；</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bidi="zh-CN"/>
        </w:rPr>
        <w:t xml:space="preserve">9.2 </w:t>
      </w:r>
      <w:r>
        <w:rPr>
          <w:rFonts w:hint="eastAsia" w:cs="宋体"/>
          <w:bCs/>
          <w:color w:val="auto"/>
          <w:highlight w:val="none"/>
          <w:lang w:val="zh-CN" w:bidi="zh-CN"/>
        </w:rPr>
        <w:t>变更估价</w:t>
      </w:r>
    </w:p>
    <w:p>
      <w:pPr>
        <w:pStyle w:val="13"/>
        <w:spacing w:line="520" w:lineRule="exact"/>
        <w:ind w:firstLine="480" w:firstLineChars="200"/>
        <w:rPr>
          <w:rFonts w:ascii="宋体" w:cs="宋体"/>
          <w:color w:val="auto"/>
          <w:highlight w:val="none"/>
          <w:lang w:val="zh-CN" w:bidi="zh-CN"/>
        </w:rPr>
      </w:pPr>
      <w:r>
        <w:rPr>
          <w:rFonts w:hint="eastAsia" w:ascii="宋体" w:cs="宋体"/>
          <w:color w:val="auto"/>
          <w:highlight w:val="none"/>
          <w:lang w:val="zh-CN" w:bidi="zh-CN"/>
        </w:rPr>
        <w:t>详见八、漏项工程处理</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注：主要材料价格确定方法如下：</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1</w:t>
      </w:r>
      <w:r>
        <w:rPr>
          <w:rFonts w:hint="eastAsia" w:cs="宋体"/>
          <w:bCs/>
          <w:color w:val="auto"/>
          <w:highlight w:val="none"/>
          <w:lang w:bidi="zh-CN"/>
        </w:rPr>
        <w:t>.</w:t>
      </w:r>
      <w:r>
        <w:rPr>
          <w:rFonts w:hint="eastAsia" w:cs="宋体"/>
          <w:bCs/>
          <w:color w:val="auto"/>
          <w:highlight w:val="none"/>
          <w:lang w:val="zh-CN" w:bidi="zh-CN"/>
        </w:rPr>
        <w:t>响应文件报价中有的材料价格，以响应文件报价中的材料价格执行。</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2</w:t>
      </w:r>
      <w:r>
        <w:rPr>
          <w:rFonts w:hint="eastAsia" w:cs="宋体"/>
          <w:bCs/>
          <w:color w:val="auto"/>
          <w:highlight w:val="none"/>
          <w:lang w:bidi="zh-CN"/>
        </w:rPr>
        <w:t>.</w:t>
      </w:r>
      <w:r>
        <w:rPr>
          <w:rFonts w:hint="eastAsia" w:cs="宋体"/>
          <w:bCs/>
          <w:color w:val="auto"/>
          <w:highlight w:val="none"/>
          <w:lang w:val="zh-CN" w:bidi="zh-CN"/>
        </w:rPr>
        <w:t>响应文件报价中没有的材料价格，而成都市《工程造价信息》发布的</w:t>
      </w:r>
      <w:r>
        <w:rPr>
          <w:rFonts w:hint="eastAsia" w:cs="宋体"/>
          <w:bCs/>
          <w:color w:val="auto"/>
          <w:highlight w:val="none"/>
          <w:lang w:bidi="zh-CN"/>
        </w:rPr>
        <w:t>郫都区</w:t>
      </w:r>
      <w:r>
        <w:rPr>
          <w:rFonts w:hint="eastAsia" w:cs="宋体"/>
          <w:bCs/>
          <w:color w:val="auto"/>
          <w:highlight w:val="none"/>
          <w:lang w:val="zh-CN" w:bidi="zh-CN"/>
        </w:rPr>
        <w:t>材料综合价中有材料价格的，以信息价执行。　　</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3</w:t>
      </w:r>
      <w:r>
        <w:rPr>
          <w:rFonts w:hint="eastAsia" w:cs="宋体"/>
          <w:bCs/>
          <w:color w:val="auto"/>
          <w:highlight w:val="none"/>
          <w:lang w:bidi="zh-CN"/>
        </w:rPr>
        <w:t>.</w:t>
      </w:r>
      <w:r>
        <w:rPr>
          <w:rFonts w:hint="eastAsia" w:cs="宋体"/>
          <w:bCs/>
          <w:color w:val="auto"/>
          <w:highlight w:val="none"/>
          <w:lang w:val="zh-CN" w:bidi="zh-CN"/>
        </w:rPr>
        <w:t>响应文件报价和信息价中均没有的材料价格，按发包人确认材料价格执行。</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4</w:t>
      </w:r>
      <w:r>
        <w:rPr>
          <w:rFonts w:hint="eastAsia" w:cs="宋体"/>
          <w:bCs/>
          <w:color w:val="auto"/>
          <w:highlight w:val="none"/>
          <w:lang w:bidi="zh-CN"/>
        </w:rPr>
        <w:t>.</w:t>
      </w:r>
      <w:r>
        <w:rPr>
          <w:rFonts w:hint="eastAsia" w:cs="宋体"/>
          <w:bCs/>
          <w:color w:val="auto"/>
          <w:highlight w:val="none"/>
          <w:lang w:val="zh-CN" w:bidi="zh-CN"/>
        </w:rPr>
        <w:t xml:space="preserve"> </w:t>
      </w:r>
      <w:r>
        <w:rPr>
          <w:rFonts w:hint="eastAsia" w:cs="宋体"/>
          <w:bCs/>
          <w:color w:val="auto"/>
          <w:highlight w:val="none"/>
          <w:lang w:bidi="zh-CN"/>
        </w:rPr>
        <w:t>甲方保留取消工程量清单中某些项目的权利。乙方须充分考虑此风险，在总价措施项目清单计价表相应项目中综合考虑，不得以此作为理由提出任何形式的索赔和调整造价。</w:t>
      </w:r>
      <w:r>
        <w:rPr>
          <w:rFonts w:hint="eastAsia" w:cs="宋体"/>
          <w:bCs/>
          <w:color w:val="auto"/>
          <w:highlight w:val="none"/>
          <w:lang w:val="zh-CN" w:bidi="zh-CN"/>
        </w:rPr>
        <w:t>如果取消某分部分项工程量清单项目，则该项目价款不予支付。</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5</w:t>
      </w:r>
      <w:r>
        <w:rPr>
          <w:rFonts w:hint="eastAsia" w:cs="宋体"/>
          <w:bCs/>
          <w:color w:val="auto"/>
          <w:highlight w:val="none"/>
          <w:lang w:bidi="zh-CN"/>
        </w:rPr>
        <w:t>.</w:t>
      </w:r>
      <w:r>
        <w:rPr>
          <w:rFonts w:hint="eastAsia" w:cs="宋体"/>
          <w:bCs/>
          <w:color w:val="auto"/>
          <w:highlight w:val="none"/>
          <w:lang w:val="zh-CN" w:bidi="zh-CN"/>
        </w:rPr>
        <w:t>实际完成的工程量与工程量清单提供的分部分项工程量清单中给定的工程量不一致时，综合单价不予调整。</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bidi="zh-CN"/>
        </w:rPr>
        <w:t xml:space="preserve">9.2.1 </w:t>
      </w:r>
      <w:r>
        <w:rPr>
          <w:rFonts w:hint="eastAsia" w:cs="宋体"/>
          <w:bCs/>
          <w:color w:val="auto"/>
          <w:highlight w:val="none"/>
          <w:lang w:val="zh-CN" w:bidi="zh-CN"/>
        </w:rPr>
        <w:t>变更估价程序</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承包人应在收到变更指示后14天内，向监理人提交变更估价申请。监理人应在收到承包人提交的变更估价申请后7天内审查完毕并报送发包人，监理人对变更估价申请有异议，通知承包人修改后重新提交。发包人在承包人提交合理的变更估价申请后按照变更金额规模完成公司审批程序，公司审批程序完成且设计单位出具正式的设计变更通知单后，发包人在14天内审批完毕。</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bidi="zh-CN"/>
        </w:rPr>
        <w:t>9.2</w:t>
      </w:r>
      <w:r>
        <w:rPr>
          <w:rFonts w:hint="eastAsia" w:cs="宋体"/>
          <w:bCs/>
          <w:color w:val="auto"/>
          <w:highlight w:val="none"/>
          <w:lang w:val="zh-CN" w:bidi="zh-CN"/>
        </w:rPr>
        <w:t>暂列金额</w:t>
      </w:r>
    </w:p>
    <w:p>
      <w:pPr>
        <w:wordWrap w:val="0"/>
        <w:autoSpaceDE w:val="0"/>
        <w:autoSpaceDN w:val="0"/>
        <w:spacing w:line="520" w:lineRule="exact"/>
        <w:ind w:firstLine="480" w:firstLineChars="200"/>
        <w:rPr>
          <w:rFonts w:cs="宋体"/>
          <w:bCs/>
          <w:color w:val="auto"/>
          <w:highlight w:val="none"/>
          <w:lang w:val="zh-CN" w:bidi="zh-CN"/>
        </w:rPr>
      </w:pPr>
      <w:r>
        <w:rPr>
          <w:rFonts w:hint="eastAsia" w:cs="宋体"/>
          <w:bCs/>
          <w:color w:val="auto"/>
          <w:highlight w:val="none"/>
          <w:lang w:val="zh-CN" w:bidi="zh-CN"/>
        </w:rPr>
        <w:t>合同当事人关于暂列金额使用的约定：按照《建设工程工程量清单计价规范》(GB50500-2013)中关于暂列金的规定执行。</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10.</w:t>
      </w:r>
      <w:r>
        <w:rPr>
          <w:rFonts w:hint="eastAsia" w:cs="宋体"/>
          <w:bCs/>
          <w:color w:val="auto"/>
          <w:kern w:val="0"/>
          <w:highlight w:val="none"/>
          <w:lang w:val="zh-CN" w:bidi="zh-CN"/>
        </w:rPr>
        <w:t>价格调整</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本合同价款采用 固定综合单价合同方式确定。</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采用固定单价合同，合同价款中包括的风险范围：除本条约定的价款调整办法以外的所有风险。</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风险费用的计算方法：已自行考虑，包含在总报价中。</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11.</w:t>
      </w:r>
      <w:r>
        <w:rPr>
          <w:rFonts w:hint="eastAsia" w:cs="宋体"/>
          <w:bCs/>
          <w:color w:val="auto"/>
          <w:kern w:val="0"/>
          <w:highlight w:val="none"/>
          <w:lang w:val="zh-CN" w:bidi="zh-CN"/>
        </w:rPr>
        <w:t>补充</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一</w:t>
      </w:r>
      <w:r>
        <w:rPr>
          <w:rFonts w:hint="eastAsia" w:cs="宋体"/>
          <w:bCs/>
          <w:color w:val="auto"/>
          <w:kern w:val="0"/>
          <w:highlight w:val="none"/>
          <w:lang w:bidi="zh-CN"/>
        </w:rPr>
        <w:t>.</w:t>
      </w:r>
      <w:r>
        <w:rPr>
          <w:rFonts w:hint="eastAsia" w:cs="宋体"/>
          <w:bCs/>
          <w:color w:val="auto"/>
          <w:kern w:val="0"/>
          <w:highlight w:val="none"/>
          <w:lang w:val="zh-CN" w:bidi="zh-CN"/>
        </w:rPr>
        <w:t>因发包人原因导致工期延误承包人要求延长工期的处理</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w:t>
      </w:r>
      <w:r>
        <w:rPr>
          <w:rFonts w:hint="eastAsia" w:cs="宋体"/>
          <w:bCs/>
          <w:color w:val="auto"/>
          <w:kern w:val="0"/>
          <w:highlight w:val="none"/>
          <w:lang w:bidi="zh-CN"/>
        </w:rPr>
        <w:t>.</w:t>
      </w:r>
      <w:r>
        <w:rPr>
          <w:rFonts w:hint="eastAsia" w:cs="宋体"/>
          <w:bCs/>
          <w:color w:val="auto"/>
          <w:kern w:val="0"/>
          <w:highlight w:val="none"/>
          <w:lang w:val="zh-CN" w:bidi="zh-CN"/>
        </w:rPr>
        <w:t>若发生发包人的工期延误事件时，承包人应立即通知发包人和监理人，并在发出该通知后的7 天内，向监理人或发包人提交一份细节报告，详细说明发生这事件的情节和对工期的影响程度，并修订进度计划和编制赶工措施报告报送监理人或发包人审批。</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2</w:t>
      </w:r>
      <w:r>
        <w:rPr>
          <w:rFonts w:hint="eastAsia" w:cs="宋体"/>
          <w:bCs/>
          <w:color w:val="auto"/>
          <w:kern w:val="0"/>
          <w:highlight w:val="none"/>
          <w:lang w:bidi="zh-CN"/>
        </w:rPr>
        <w:t>.</w:t>
      </w:r>
      <w:r>
        <w:rPr>
          <w:rFonts w:hint="eastAsia" w:cs="宋体"/>
          <w:bCs/>
          <w:color w:val="auto"/>
          <w:kern w:val="0"/>
          <w:highlight w:val="none"/>
          <w:lang w:val="zh-CN" w:bidi="zh-CN"/>
        </w:rPr>
        <w:t>若事件的持续时间较长或事件影响工期较长，当承包人采取了赶工措施而无法实现工程按期竣工时，除应按上述第1项规定的程序办理外，承包人应在事件结束后的7天内，提交一份补充细节报告， 详细说明要求延长工期的理由，并修订进度计划。</w:t>
      </w:r>
    </w:p>
    <w:p>
      <w:pPr>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kern w:val="0"/>
          <w:highlight w:val="none"/>
          <w:lang w:val="zh-CN" w:bidi="zh-CN"/>
        </w:rPr>
        <w:t>3</w:t>
      </w:r>
      <w:r>
        <w:rPr>
          <w:rFonts w:hint="eastAsia" w:cs="宋体"/>
          <w:bCs/>
          <w:color w:val="auto"/>
          <w:kern w:val="0"/>
          <w:highlight w:val="none"/>
          <w:lang w:bidi="zh-CN"/>
        </w:rPr>
        <w:t>.</w:t>
      </w:r>
      <w:r>
        <w:rPr>
          <w:rFonts w:hint="eastAsia" w:cs="宋体"/>
          <w:bCs/>
          <w:color w:val="auto"/>
          <w:kern w:val="0"/>
          <w:highlight w:val="none"/>
          <w:lang w:val="zh-CN" w:bidi="zh-CN"/>
        </w:rPr>
        <w:t>监理人或发包人应及时调查核实上述第1和2项中承包人提交的细节报告和补充细节报告，并在审批修订进度计划的同时，与发包人和承包人协商确定延长工期的合理天数，由发包人通知承包人。</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二</w:t>
      </w:r>
      <w:r>
        <w:rPr>
          <w:rFonts w:hint="eastAsia" w:cs="宋体"/>
          <w:bCs/>
          <w:color w:val="auto"/>
          <w:kern w:val="0"/>
          <w:highlight w:val="none"/>
          <w:lang w:bidi="zh-CN"/>
        </w:rPr>
        <w:t>.</w:t>
      </w:r>
      <w:r>
        <w:rPr>
          <w:rFonts w:hint="eastAsia" w:cs="宋体"/>
          <w:bCs/>
          <w:color w:val="auto"/>
          <w:kern w:val="0"/>
          <w:highlight w:val="none"/>
          <w:lang w:val="zh-CN" w:bidi="zh-CN"/>
        </w:rPr>
        <w:t>承包人的工期延误</w:t>
      </w:r>
    </w:p>
    <w:p>
      <w:pPr>
        <w:wordWrap w:val="0"/>
        <w:autoSpaceDE w:val="0"/>
        <w:autoSpaceDN w:val="0"/>
        <w:spacing w:line="520" w:lineRule="exact"/>
        <w:ind w:firstLine="480" w:firstLineChars="200"/>
        <w:rPr>
          <w:rFonts w:cs="宋体"/>
          <w:bCs/>
          <w:color w:val="auto"/>
          <w:kern w:val="0"/>
          <w:highlight w:val="none"/>
          <w:lang w:bidi="zh-CN"/>
        </w:rPr>
      </w:pPr>
      <w:r>
        <w:rPr>
          <w:rFonts w:hint="eastAsia" w:cs="宋体"/>
          <w:bCs/>
          <w:color w:val="auto"/>
          <w:kern w:val="0"/>
          <w:highlight w:val="none"/>
          <w:lang w:val="zh-CN" w:bidi="zh-CN"/>
        </w:rPr>
        <w:t>补充以下内容</w:t>
      </w:r>
      <w:r>
        <w:rPr>
          <w:rFonts w:hint="eastAsia" w:cs="宋体"/>
          <w:bCs/>
          <w:color w:val="auto"/>
          <w:kern w:val="0"/>
          <w:highlight w:val="none"/>
          <w:lang w:bidi="zh-CN"/>
        </w:rPr>
        <w:t>:</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1</w:t>
      </w:r>
      <w:r>
        <w:rPr>
          <w:rFonts w:hint="eastAsia" w:cs="宋体"/>
          <w:bCs/>
          <w:color w:val="auto"/>
          <w:kern w:val="0"/>
          <w:highlight w:val="none"/>
          <w:lang w:bidi="zh-CN"/>
        </w:rPr>
        <w:t>.</w:t>
      </w:r>
      <w:r>
        <w:rPr>
          <w:rFonts w:hint="eastAsia" w:cs="宋体"/>
          <w:bCs/>
          <w:color w:val="auto"/>
          <w:kern w:val="0"/>
          <w:highlight w:val="none"/>
          <w:lang w:val="zh-CN" w:bidi="zh-CN"/>
        </w:rPr>
        <w:t>承包人应在签约工期内完成所有工作内容的施工。如总工期逾期，承包人向发包人支付违约金。</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bidi="zh-CN"/>
        </w:rPr>
        <w:t>2.</w:t>
      </w:r>
      <w:r>
        <w:rPr>
          <w:rFonts w:hint="eastAsia" w:cs="宋体"/>
          <w:bCs/>
          <w:color w:val="auto"/>
          <w:kern w:val="0"/>
          <w:highlight w:val="none"/>
          <w:lang w:val="zh-CN" w:bidi="zh-CN"/>
        </w:rPr>
        <w:t>双方约定的承包人其他违约责任： 由承包人造成重大质量事故、重大工作事故，承包方承担全部行政、经济、刑事责任。因承包人违反文明施工管理、卫生管理、安全生产管理、扬尘污染防治管理等规定，造成后果的由承包方承担一切法律、经济后果和行政责任。</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三、承包人若为中小企业，在签订本合同后若需向融资机构申请融资，发包人应按照成都市财政局、中国人民银行成都分行营业管理部关于印发《成都市中小企业政府采购信用融资暂行办法》和《成都市级支持中小企业政府采购信用融资实施方案》的通知(成财采〔2019〕17号)支持并配合承包人开展政府采购信用融资。</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双方约定合同份数：本合同一式陆份。其中甲方肆份、乙方贰份。</w:t>
      </w:r>
    </w:p>
    <w:p>
      <w:pPr>
        <w:wordWrap w:val="0"/>
        <w:autoSpaceDE w:val="0"/>
        <w:autoSpaceDN w:val="0"/>
        <w:spacing w:line="520" w:lineRule="exact"/>
        <w:ind w:firstLine="480" w:firstLineChars="200"/>
        <w:rPr>
          <w:rFonts w:cs="宋体"/>
          <w:bCs/>
          <w:color w:val="auto"/>
          <w:kern w:val="0"/>
          <w:highlight w:val="none"/>
          <w:lang w:val="zh-CN" w:bidi="zh-CN"/>
        </w:rPr>
      </w:pPr>
    </w:p>
    <w:p>
      <w:pPr>
        <w:wordWrap w:val="0"/>
        <w:autoSpaceDE w:val="0"/>
        <w:autoSpaceDN w:val="0"/>
        <w:spacing w:line="520" w:lineRule="exact"/>
        <w:ind w:firstLine="480" w:firstLineChars="200"/>
        <w:rPr>
          <w:rFonts w:cs="宋体"/>
          <w:bCs/>
          <w:color w:val="auto"/>
          <w:kern w:val="0"/>
          <w:highlight w:val="none"/>
          <w:lang w:val="zh-CN" w:bidi="zh-CN"/>
        </w:rPr>
      </w:pP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发包人(公章)：</w:t>
      </w:r>
      <w:r>
        <w:rPr>
          <w:rFonts w:hint="eastAsia" w:cs="宋体"/>
          <w:bCs/>
          <w:color w:val="auto"/>
          <w:kern w:val="0"/>
          <w:highlight w:val="none"/>
          <w:lang w:bidi="zh-CN"/>
        </w:rPr>
        <w:t xml:space="preserve">成都市技师学院    </w:t>
      </w:r>
      <w:r>
        <w:rPr>
          <w:rFonts w:hint="eastAsia" w:cs="宋体"/>
          <w:bCs/>
          <w:color w:val="auto"/>
          <w:kern w:val="0"/>
          <w:highlight w:val="none"/>
          <w:lang w:val="zh-CN" w:bidi="zh-CN"/>
        </w:rPr>
        <w:t xml:space="preserve">承包人(公章) </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法定代表人：(签字)</w:t>
      </w:r>
      <w:r>
        <w:rPr>
          <w:rFonts w:hint="eastAsia" w:cs="宋体"/>
          <w:bCs/>
          <w:color w:val="auto"/>
          <w:kern w:val="0"/>
          <w:highlight w:val="none"/>
          <w:lang w:bidi="zh-CN"/>
        </w:rPr>
        <w:t xml:space="preserve">              </w:t>
      </w:r>
      <w:r>
        <w:rPr>
          <w:rFonts w:hint="eastAsia" w:cs="宋体"/>
          <w:bCs/>
          <w:color w:val="auto"/>
          <w:kern w:val="0"/>
          <w:highlight w:val="none"/>
          <w:lang w:val="zh-CN" w:bidi="zh-CN"/>
        </w:rPr>
        <w:t>法定代表人：(签字)</w:t>
      </w:r>
    </w:p>
    <w:p>
      <w:pPr>
        <w:wordWrap w:val="0"/>
        <w:autoSpaceDE w:val="0"/>
        <w:autoSpaceDN w:val="0"/>
        <w:spacing w:line="520" w:lineRule="exact"/>
        <w:ind w:firstLine="480" w:firstLineChars="200"/>
        <w:rPr>
          <w:rFonts w:cs="宋体"/>
          <w:bCs/>
          <w:color w:val="auto"/>
          <w:kern w:val="0"/>
          <w:highlight w:val="none"/>
          <w:lang w:val="zh-CN" w:bidi="zh-CN"/>
        </w:rPr>
      </w:pPr>
      <w:r>
        <w:rPr>
          <w:rFonts w:hint="eastAsia" w:cs="宋体"/>
          <w:bCs/>
          <w:color w:val="auto"/>
          <w:kern w:val="0"/>
          <w:highlight w:val="none"/>
          <w:lang w:val="zh-CN" w:bidi="zh-CN"/>
        </w:rPr>
        <w:t>或委托代理人：(签字)</w:t>
      </w:r>
      <w:r>
        <w:rPr>
          <w:rFonts w:hint="eastAsia" w:cs="宋体"/>
          <w:bCs/>
          <w:color w:val="auto"/>
          <w:kern w:val="0"/>
          <w:highlight w:val="none"/>
          <w:lang w:bidi="zh-CN"/>
        </w:rPr>
        <w:t xml:space="preserve">            </w:t>
      </w:r>
      <w:r>
        <w:rPr>
          <w:rFonts w:hint="eastAsia" w:cs="宋体"/>
          <w:bCs/>
          <w:color w:val="auto"/>
          <w:kern w:val="0"/>
          <w:highlight w:val="none"/>
          <w:lang w:val="zh-CN" w:bidi="zh-CN"/>
        </w:rPr>
        <w:t>或委托代理人：(签字)</w:t>
      </w:r>
    </w:p>
    <w:p>
      <w:pPr>
        <w:spacing w:line="520" w:lineRule="exact"/>
        <w:ind w:firstLine="480" w:firstLineChars="200"/>
        <w:rPr>
          <w:rFonts w:cs="宋体"/>
          <w:color w:val="auto"/>
          <w:highlight w:val="none"/>
        </w:rPr>
      </w:pPr>
      <w:r>
        <w:rPr>
          <w:rFonts w:hint="eastAsia" w:cs="宋体"/>
          <w:bCs/>
          <w:color w:val="auto"/>
          <w:kern w:val="0"/>
          <w:highlight w:val="none"/>
          <w:lang w:val="zh-CN" w:bidi="zh-CN"/>
        </w:rPr>
        <w:t>年</w:t>
      </w:r>
      <w:r>
        <w:rPr>
          <w:rFonts w:hint="eastAsia" w:cs="宋体"/>
          <w:bCs/>
          <w:color w:val="auto"/>
          <w:kern w:val="0"/>
          <w:highlight w:val="none"/>
          <w:lang w:bidi="zh-CN"/>
        </w:rPr>
        <w:t xml:space="preserve">   </w:t>
      </w:r>
      <w:r>
        <w:rPr>
          <w:rFonts w:hint="eastAsia" w:cs="宋体"/>
          <w:bCs/>
          <w:color w:val="auto"/>
          <w:kern w:val="0"/>
          <w:highlight w:val="none"/>
          <w:lang w:val="zh-CN" w:bidi="zh-CN"/>
        </w:rPr>
        <w:t>月</w:t>
      </w:r>
      <w:r>
        <w:rPr>
          <w:rFonts w:hint="eastAsia" w:cs="宋体"/>
          <w:bCs/>
          <w:color w:val="auto"/>
          <w:kern w:val="0"/>
          <w:highlight w:val="none"/>
          <w:lang w:bidi="zh-CN"/>
        </w:rPr>
        <w:t xml:space="preserve">    </w:t>
      </w:r>
      <w:r>
        <w:rPr>
          <w:rFonts w:hint="eastAsia" w:cs="宋体"/>
          <w:bCs/>
          <w:color w:val="auto"/>
          <w:kern w:val="0"/>
          <w:highlight w:val="none"/>
          <w:lang w:val="zh-CN" w:bidi="zh-CN"/>
        </w:rPr>
        <w:t>日</w:t>
      </w:r>
      <w:r>
        <w:rPr>
          <w:rFonts w:hint="eastAsia" w:cs="宋体"/>
          <w:bCs/>
          <w:color w:val="auto"/>
          <w:kern w:val="0"/>
          <w:highlight w:val="none"/>
          <w:lang w:bidi="zh-CN"/>
        </w:rPr>
        <w:t xml:space="preserve">                 </w:t>
      </w:r>
      <w:r>
        <w:rPr>
          <w:rFonts w:hint="eastAsia" w:cs="宋体"/>
          <w:bCs/>
          <w:color w:val="auto"/>
          <w:kern w:val="0"/>
          <w:highlight w:val="none"/>
          <w:lang w:val="zh-CN" w:bidi="zh-CN"/>
        </w:rPr>
        <w:t>年</w:t>
      </w:r>
      <w:r>
        <w:rPr>
          <w:rFonts w:hint="eastAsia" w:cs="宋体"/>
          <w:bCs/>
          <w:color w:val="auto"/>
          <w:kern w:val="0"/>
          <w:highlight w:val="none"/>
          <w:lang w:bidi="zh-CN"/>
        </w:rPr>
        <w:t xml:space="preserve">     </w:t>
      </w:r>
      <w:r>
        <w:rPr>
          <w:rFonts w:hint="eastAsia" w:cs="宋体"/>
          <w:bCs/>
          <w:color w:val="auto"/>
          <w:kern w:val="0"/>
          <w:highlight w:val="none"/>
          <w:lang w:val="zh-CN" w:bidi="zh-CN"/>
        </w:rPr>
        <w:t>月</w:t>
      </w:r>
      <w:r>
        <w:rPr>
          <w:rFonts w:hint="eastAsia" w:cs="宋体"/>
          <w:bCs/>
          <w:color w:val="auto"/>
          <w:kern w:val="0"/>
          <w:highlight w:val="none"/>
          <w:lang w:bidi="zh-CN"/>
        </w:rPr>
        <w:t xml:space="preserve">    </w:t>
      </w:r>
      <w:r>
        <w:rPr>
          <w:rFonts w:hint="eastAsia" w:cs="宋体"/>
          <w:bCs/>
          <w:color w:val="auto"/>
          <w:kern w:val="0"/>
          <w:highlight w:val="none"/>
          <w:lang w:val="zh-CN" w:bidi="zh-CN"/>
        </w:rPr>
        <w:t>日</w:t>
      </w:r>
    </w:p>
    <w:p>
      <w:pPr>
        <w:pStyle w:val="2"/>
        <w:rPr>
          <w:b/>
          <w:color w:val="auto"/>
          <w:w w:val="85"/>
          <w:sz w:val="32"/>
          <w:highlight w:val="none"/>
        </w:rPr>
      </w:pPr>
    </w:p>
    <w:p>
      <w:pPr>
        <w:rPr>
          <w:rFonts w:cs="宋体"/>
          <w:color w:val="auto"/>
          <w:highlight w:val="none"/>
        </w:rPr>
      </w:pPr>
    </w:p>
    <w:p>
      <w:pPr>
        <w:spacing w:line="520" w:lineRule="exact"/>
        <w:ind w:firstLine="480" w:firstLineChars="200"/>
        <w:rPr>
          <w:rFonts w:cs="宋体"/>
          <w:color w:val="auto"/>
          <w:highlight w:val="none"/>
        </w:rPr>
      </w:pPr>
    </w:p>
    <w:p>
      <w:pPr>
        <w:rPr>
          <w:color w:val="auto"/>
          <w:highlight w:val="none"/>
        </w:rPr>
      </w:pPr>
      <w:r>
        <w:rPr>
          <w:rFonts w:hint="eastAsia"/>
          <w:color w:val="auto"/>
          <w:highlight w:val="none"/>
        </w:rPr>
        <w:br w:type="page"/>
      </w:r>
    </w:p>
    <w:p>
      <w:pPr>
        <w:pStyle w:val="50"/>
        <w:numPr>
          <w:ilvl w:val="0"/>
          <w:numId w:val="34"/>
        </w:numPr>
        <w:spacing w:before="120" w:after="120"/>
        <w:rPr>
          <w:color w:val="auto"/>
          <w:highlight w:val="none"/>
        </w:rPr>
      </w:pPr>
      <w:bookmarkStart w:id="570" w:name="_Toc2567"/>
      <w:r>
        <w:rPr>
          <w:rFonts w:hint="eastAsia"/>
          <w:color w:val="auto"/>
          <w:highlight w:val="none"/>
        </w:rPr>
        <w:t>附件</w:t>
      </w:r>
      <w:bookmarkEnd w:id="533"/>
      <w:bookmarkEnd w:id="570"/>
    </w:p>
    <w:p>
      <w:pPr>
        <w:pStyle w:val="37"/>
        <w:numPr>
          <w:ilvl w:val="1"/>
          <w:numId w:val="0"/>
        </w:numPr>
        <w:ind w:left="480" w:leftChars="200"/>
        <w:rPr>
          <w:color w:val="auto"/>
          <w:highlight w:val="none"/>
        </w:rPr>
      </w:pPr>
      <w:bookmarkStart w:id="571" w:name="_Toc22977"/>
      <w:bookmarkStart w:id="572" w:name="_Toc14437"/>
      <w:bookmarkStart w:id="573" w:name="_Toc18539"/>
      <w:r>
        <w:rPr>
          <w:rFonts w:hint="eastAsia"/>
          <w:color w:val="auto"/>
          <w:highlight w:val="none"/>
        </w:rPr>
        <w:t>附件一：问题的澄清、说明、更正通知</w:t>
      </w:r>
      <w:bookmarkEnd w:id="571"/>
      <w:bookmarkEnd w:id="572"/>
      <w:bookmarkEnd w:id="573"/>
    </w:p>
    <w:p>
      <w:pPr>
        <w:spacing w:line="360" w:lineRule="auto"/>
        <w:ind w:firstLine="482" w:firstLineChars="200"/>
        <w:jc w:val="center"/>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问题的澄清、说明、更正通知</w:t>
      </w:r>
    </w:p>
    <w:p>
      <w:pPr>
        <w:spacing w:line="360" w:lineRule="auto"/>
        <w:ind w:firstLine="482" w:firstLineChars="200"/>
        <w:jc w:val="center"/>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(由谈判小组发出)</w:t>
      </w:r>
    </w:p>
    <w:p>
      <w:pPr>
        <w:spacing w:line="360" w:lineRule="auto"/>
        <w:ind w:firstLine="480" w:firstLineChars="200"/>
        <w:jc w:val="both"/>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编号：</w:t>
      </w:r>
    </w:p>
    <w:p>
      <w:pPr>
        <w:spacing w:line="360" w:lineRule="auto"/>
        <w:ind w:firstLine="480" w:firstLineChars="200"/>
        <w:rPr>
          <w:rFonts w:asciiTheme="minorEastAsia" w:hAnsiTheme="minorEastAsia" w:eastAsiaTheme="minorEastAsia" w:cstheme="minorEastAsia"/>
          <w:color w:val="auto"/>
          <w:highlight w:val="none"/>
          <w:u w:val="single"/>
        </w:rPr>
      </w:pPr>
    </w:p>
    <w:p>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(供应商名称)： </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(项目名称)竞争性谈判小组，对你方的响应文件进行了仔细的审查，现需你方对下列问题以书面形式予以</w:t>
      </w:r>
      <w:r>
        <w:rPr>
          <w:rFonts w:hint="eastAsia" w:asciiTheme="minorEastAsia" w:hAnsiTheme="minorEastAsia" w:eastAsiaTheme="minorEastAsia" w:cstheme="minorEastAsia"/>
          <w:b/>
          <w:color w:val="auto"/>
          <w:highlight w:val="none"/>
        </w:rPr>
        <w:t>澄清、说明、更正</w:t>
      </w:r>
      <w:r>
        <w:rPr>
          <w:rFonts w:hint="eastAsia" w:asciiTheme="minorEastAsia" w:hAnsiTheme="minorEastAsia" w:eastAsiaTheme="minorEastAsia" w:cstheme="minorEastAsia"/>
          <w:color w:val="auto"/>
          <w:highlight w:val="none"/>
        </w:rPr>
        <w:t>：</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请将上述问题的</w:t>
      </w:r>
      <w:r>
        <w:rPr>
          <w:rFonts w:hint="eastAsia" w:asciiTheme="minorEastAsia" w:hAnsiTheme="minorEastAsia" w:eastAsiaTheme="minorEastAsia" w:cstheme="minorEastAsia"/>
          <w:b/>
          <w:color w:val="auto"/>
          <w:highlight w:val="none"/>
        </w:rPr>
        <w:t>澄清、说明、更正</w:t>
      </w:r>
      <w:r>
        <w:rPr>
          <w:rFonts w:hint="eastAsia" w:asciiTheme="minorEastAsia" w:hAnsiTheme="minorEastAsia" w:eastAsiaTheme="minorEastAsia" w:cstheme="minorEastAsia"/>
          <w:color w:val="auto"/>
          <w:highlight w:val="none"/>
        </w:rPr>
        <w:t>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时前递交至</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(详细地址)或传真至</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(传真号码)。采用传真方式的，应在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时前将原件递交至</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(详细地址)。</w:t>
      </w:r>
    </w:p>
    <w:p>
      <w:pPr>
        <w:ind w:firstLine="5880" w:firstLineChars="2450"/>
        <w:rPr>
          <w:rFonts w:asciiTheme="minorEastAsia" w:hAnsiTheme="minorEastAsia" w:eastAsiaTheme="minorEastAsia" w:cstheme="minorEastAsia"/>
          <w:color w:val="auto"/>
          <w:highlight w:val="none"/>
        </w:rPr>
      </w:pPr>
    </w:p>
    <w:p>
      <w:pPr>
        <w:ind w:firstLine="5880" w:firstLineChars="2450"/>
        <w:rPr>
          <w:rFonts w:asciiTheme="minorEastAsia" w:hAnsiTheme="minorEastAsia" w:eastAsiaTheme="minorEastAsia" w:cstheme="minorEastAsia"/>
          <w:color w:val="auto"/>
          <w:highlight w:val="none"/>
        </w:rPr>
      </w:pPr>
    </w:p>
    <w:p>
      <w:pPr>
        <w:ind w:firstLine="2160" w:firstLineChars="900"/>
        <w:jc w:val="righ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谈判小组：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(签字)</w:t>
      </w:r>
    </w:p>
    <w:p>
      <w:pPr>
        <w:jc w:val="righ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采购人或采购代理机构：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(盖单位章或负责人签字)</w:t>
      </w:r>
    </w:p>
    <w:p>
      <w:pPr>
        <w:jc w:val="righ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ind w:firstLine="616" w:firstLineChars="257"/>
        <w:rPr>
          <w:rFonts w:asciiTheme="minorEastAsia" w:hAnsiTheme="minorEastAsia" w:eastAsiaTheme="minorEastAsia" w:cstheme="minorEastAsia"/>
          <w:color w:val="auto"/>
          <w:highlight w:val="none"/>
        </w:rPr>
      </w:pPr>
    </w:p>
    <w:p>
      <w:pPr>
        <w:ind w:firstLine="616" w:firstLineChars="257"/>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注：(1)“问题</w:t>
      </w:r>
      <w:r>
        <w:rPr>
          <w:rFonts w:hint="eastAsia" w:asciiTheme="minorEastAsia" w:hAnsiTheme="minorEastAsia" w:eastAsiaTheme="minorEastAsia" w:cstheme="minorEastAsia"/>
          <w:b/>
          <w:color w:val="auto"/>
          <w:highlight w:val="none"/>
        </w:rPr>
        <w:t>澄清、说明、更正</w:t>
      </w:r>
      <w:r>
        <w:rPr>
          <w:rFonts w:hint="eastAsia" w:asciiTheme="minorEastAsia" w:hAnsiTheme="minorEastAsia" w:eastAsiaTheme="minorEastAsia" w:cstheme="minorEastAsia"/>
          <w:color w:val="auto"/>
          <w:highlight w:val="none"/>
        </w:rPr>
        <w:t>通知”由谈判小组拟定书面形式作出，由采购人或采购代理机构代为发出。</w:t>
      </w:r>
    </w:p>
    <w:p>
      <w:pPr>
        <w:ind w:firstLine="616" w:firstLineChars="257"/>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(2)发给供应商的“问题</w:t>
      </w:r>
      <w:r>
        <w:rPr>
          <w:rFonts w:hint="eastAsia" w:asciiTheme="minorEastAsia" w:hAnsiTheme="minorEastAsia" w:eastAsiaTheme="minorEastAsia" w:cstheme="minorEastAsia"/>
          <w:b/>
          <w:color w:val="auto"/>
          <w:highlight w:val="none"/>
        </w:rPr>
        <w:t>澄清、说明、更正</w:t>
      </w:r>
      <w:r>
        <w:rPr>
          <w:rFonts w:hint="eastAsia" w:asciiTheme="minorEastAsia" w:hAnsiTheme="minorEastAsia" w:eastAsiaTheme="minorEastAsia" w:cstheme="minorEastAsia"/>
          <w:color w:val="auto"/>
          <w:highlight w:val="none"/>
        </w:rPr>
        <w:t>通知”，应删除“谈判小组：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(签字)”一栏，以“采购人或采购代理机构：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(盖单位章或负责人签字)”代替。谈判小组签字的“问题</w:t>
      </w:r>
      <w:r>
        <w:rPr>
          <w:rFonts w:hint="eastAsia" w:asciiTheme="minorEastAsia" w:hAnsiTheme="minorEastAsia" w:eastAsiaTheme="minorEastAsia" w:cstheme="minorEastAsia"/>
          <w:b/>
          <w:color w:val="auto"/>
          <w:highlight w:val="none"/>
        </w:rPr>
        <w:t>澄清、说明、更正</w:t>
      </w:r>
      <w:r>
        <w:rPr>
          <w:rFonts w:hint="eastAsia" w:asciiTheme="minorEastAsia" w:hAnsiTheme="minorEastAsia" w:eastAsiaTheme="minorEastAsia" w:cstheme="minorEastAsia"/>
          <w:color w:val="auto"/>
          <w:highlight w:val="none"/>
        </w:rPr>
        <w:t>通知”，应编入评审报告并存档备查。</w:t>
      </w:r>
    </w:p>
    <w:p>
      <w:pPr>
        <w:pStyle w:val="37"/>
        <w:numPr>
          <w:ilvl w:val="1"/>
          <w:numId w:val="0"/>
        </w:numPr>
        <w:ind w:left="480" w:left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u w:val="single"/>
        </w:rPr>
        <w:br w:type="page"/>
      </w:r>
      <w:bookmarkStart w:id="574" w:name="_Toc31095"/>
      <w:bookmarkStart w:id="575" w:name="_Toc27738"/>
      <w:bookmarkStart w:id="576" w:name="_Toc6253"/>
      <w:r>
        <w:rPr>
          <w:rFonts w:hint="eastAsia" w:asciiTheme="minorEastAsia" w:hAnsiTheme="minorEastAsia" w:eastAsiaTheme="minorEastAsia" w:cstheme="minorEastAsia"/>
          <w:color w:val="auto"/>
          <w:highlight w:val="none"/>
        </w:rPr>
        <w:t>附件二：问题的澄清、说明、更正</w:t>
      </w:r>
      <w:bookmarkEnd w:id="574"/>
      <w:bookmarkEnd w:id="575"/>
      <w:bookmarkEnd w:id="576"/>
    </w:p>
    <w:p>
      <w:pPr>
        <w:ind w:firstLine="482" w:firstLineChars="200"/>
        <w:jc w:val="center"/>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问题的澄清、说明、更正</w:t>
      </w:r>
    </w:p>
    <w:p>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编号：</w:t>
      </w:r>
    </w:p>
    <w:p>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(项目名称)竞争性谈判小组：</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问题澄清</w:t>
      </w:r>
      <w:r>
        <w:rPr>
          <w:rFonts w:hint="eastAsia" w:asciiTheme="minorEastAsia" w:hAnsiTheme="minorEastAsia" w:eastAsiaTheme="minorEastAsia" w:cstheme="minorEastAsia"/>
          <w:b/>
          <w:color w:val="auto"/>
          <w:highlight w:val="none"/>
        </w:rPr>
        <w:t>、说明、更正</w:t>
      </w:r>
      <w:r>
        <w:rPr>
          <w:rFonts w:hint="eastAsia" w:asciiTheme="minorEastAsia" w:hAnsiTheme="minorEastAsia" w:eastAsiaTheme="minorEastAsia" w:cstheme="minorEastAsia"/>
          <w:color w:val="auto"/>
          <w:highlight w:val="none"/>
        </w:rPr>
        <w:t>通知(编号：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)已收悉，现</w:t>
      </w:r>
      <w:r>
        <w:rPr>
          <w:rFonts w:hint="eastAsia" w:asciiTheme="minorEastAsia" w:hAnsiTheme="minorEastAsia" w:eastAsiaTheme="minorEastAsia" w:cstheme="minorEastAsia"/>
          <w:b/>
          <w:color w:val="auto"/>
          <w:highlight w:val="none"/>
        </w:rPr>
        <w:t>澄清、说明、更正</w:t>
      </w:r>
      <w:r>
        <w:rPr>
          <w:rFonts w:hint="eastAsia" w:asciiTheme="minorEastAsia" w:hAnsiTheme="minorEastAsia" w:eastAsiaTheme="minorEastAsia" w:cstheme="minorEastAsia"/>
          <w:color w:val="auto"/>
          <w:highlight w:val="none"/>
        </w:rPr>
        <w:t>如下：</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p>
      <w:pPr>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ind w:firstLine="480" w:firstLineChars="200"/>
        <w:rPr>
          <w:rFonts w:asciiTheme="minorEastAsia" w:hAnsiTheme="minorEastAsia" w:eastAsiaTheme="minorEastAsia" w:cstheme="minorEastAsia"/>
          <w:color w:val="auto"/>
          <w:highlight w:val="none"/>
        </w:rPr>
      </w:pPr>
    </w:p>
    <w:p>
      <w:pPr>
        <w:ind w:firstLine="480" w:firstLineChars="200"/>
        <w:rPr>
          <w:rFonts w:asciiTheme="minorEastAsia" w:hAnsiTheme="minorEastAsia" w:eastAsiaTheme="minorEastAsia" w:cstheme="minorEastAsia"/>
          <w:color w:val="auto"/>
          <w:highlight w:val="none"/>
        </w:rPr>
      </w:pPr>
    </w:p>
    <w:p>
      <w:pPr>
        <w:ind w:firstLine="480" w:firstLineChars="200"/>
        <w:rPr>
          <w:rFonts w:asciiTheme="minorEastAsia" w:hAnsiTheme="minorEastAsia" w:eastAsiaTheme="minorEastAsia" w:cstheme="minorEastAsia"/>
          <w:color w:val="auto"/>
          <w:highlight w:val="none"/>
        </w:rPr>
      </w:pPr>
    </w:p>
    <w:p>
      <w:pPr>
        <w:ind w:firstLine="480" w:firstLineChars="200"/>
        <w:rPr>
          <w:rFonts w:asciiTheme="minorEastAsia" w:hAnsiTheme="minorEastAsia" w:eastAsiaTheme="minorEastAsia" w:cstheme="minorEastAsia"/>
          <w:color w:val="auto"/>
          <w:highlight w:val="none"/>
        </w:rPr>
      </w:pPr>
    </w:p>
    <w:p>
      <w:pPr>
        <w:ind w:firstLine="480" w:firstLineChars="200"/>
        <w:rPr>
          <w:rFonts w:asciiTheme="minorEastAsia" w:hAnsiTheme="minorEastAsia" w:eastAsiaTheme="minorEastAsia" w:cstheme="minorEastAsia"/>
          <w:color w:val="auto"/>
          <w:highlight w:val="none"/>
        </w:rPr>
      </w:pPr>
    </w:p>
    <w:p>
      <w:pPr>
        <w:ind w:firstLine="4200" w:firstLineChars="17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法定代表人或其授权代表：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(签字)</w:t>
      </w:r>
    </w:p>
    <w:p>
      <w:pPr>
        <w:ind w:firstLine="5880" w:firstLineChars="2450"/>
        <w:rPr>
          <w:rFonts w:asciiTheme="minorEastAsia" w:hAnsiTheme="minorEastAsia" w:eastAsiaTheme="minorEastAsia" w:cstheme="minorEastAsia"/>
          <w:color w:val="auto"/>
          <w:highlight w:val="none"/>
          <w:u w:val="single"/>
        </w:rPr>
      </w:pPr>
    </w:p>
    <w:p>
      <w:pPr>
        <w:ind w:firstLine="5400" w:firstLineChars="22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注：供应商应按本“</w:t>
      </w:r>
      <w:r>
        <w:rPr>
          <w:rFonts w:hint="eastAsia" w:asciiTheme="minorEastAsia" w:hAnsiTheme="minorEastAsia" w:eastAsiaTheme="minorEastAsia" w:cstheme="minorEastAsia"/>
          <w:b/>
          <w:color w:val="auto"/>
          <w:highlight w:val="none"/>
        </w:rPr>
        <w:t>问题的澄清、说明、更正</w:t>
      </w:r>
      <w:r>
        <w:rPr>
          <w:rFonts w:hint="eastAsia" w:asciiTheme="minorEastAsia" w:hAnsiTheme="minorEastAsia" w:eastAsiaTheme="minorEastAsia" w:cstheme="minorEastAsia"/>
          <w:color w:val="auto"/>
          <w:highlight w:val="none"/>
        </w:rPr>
        <w:t>”格式回复。</w:t>
      </w:r>
    </w:p>
    <w:p>
      <w:pPr>
        <w:pStyle w:val="45"/>
        <w:jc w:val="center"/>
        <w:rPr>
          <w:b/>
          <w:bCs/>
          <w:color w:val="auto"/>
          <w:sz w:val="36"/>
          <w:szCs w:val="36"/>
          <w:highlight w:val="none"/>
        </w:rPr>
      </w:pPr>
      <w:r>
        <w:rPr>
          <w:rFonts w:hint="eastAsia" w:asciiTheme="minorEastAsia" w:hAnsiTheme="minorEastAsia" w:eastAsiaTheme="minorEastAsia" w:cstheme="minorEastAsia"/>
          <w:color w:val="auto"/>
          <w:highlight w:val="none"/>
        </w:rPr>
        <w:br w:type="page"/>
      </w:r>
    </w:p>
    <w:p>
      <w:pPr>
        <w:pStyle w:val="37"/>
        <w:numPr>
          <w:ilvl w:val="1"/>
          <w:numId w:val="0"/>
        </w:numPr>
        <w:ind w:left="480" w:leftChars="200"/>
        <w:rPr>
          <w:color w:val="auto"/>
          <w:highlight w:val="none"/>
        </w:rPr>
      </w:pPr>
      <w:bookmarkStart w:id="577" w:name="_Toc9955"/>
      <w:bookmarkStart w:id="578" w:name="_Toc21951"/>
      <w:r>
        <w:rPr>
          <w:rFonts w:hint="eastAsia"/>
          <w:color w:val="auto"/>
          <w:highlight w:val="none"/>
        </w:rPr>
        <w:t>附件三：</w:t>
      </w:r>
      <w:r>
        <w:rPr>
          <w:rFonts w:hint="eastAsia" w:cs="宋体"/>
          <w:bCs/>
          <w:color w:val="auto"/>
          <w:highlight w:val="none"/>
        </w:rPr>
        <w:t>《2023年度信用评价服务效果调查表(供应商)》</w:t>
      </w:r>
      <w:bookmarkEnd w:id="577"/>
      <w:bookmarkEnd w:id="578"/>
    </w:p>
    <w:p>
      <w:pPr>
        <w:pStyle w:val="45"/>
        <w:wordWrap/>
        <w:spacing w:before="240" w:beforeLines="100" w:after="240" w:afterLines="100"/>
        <w:jc w:val="center"/>
        <w:rPr>
          <w:color w:val="auto"/>
          <w:sz w:val="32"/>
          <w:szCs w:val="32"/>
          <w:highlight w:val="none"/>
        </w:rPr>
      </w:pPr>
      <w:r>
        <w:rPr>
          <w:rFonts w:hint="eastAsia" w:cs="宋体"/>
          <w:b/>
          <w:bCs/>
          <w:color w:val="auto"/>
          <w:sz w:val="32"/>
          <w:szCs w:val="32"/>
          <w:highlight w:val="none"/>
        </w:rPr>
        <w:t>2023年度信用评价服务效果调查表(供应商)</w:t>
      </w:r>
    </w:p>
    <w:p>
      <w:pPr>
        <w:pStyle w:val="45"/>
        <w:rPr>
          <w:color w:val="auto"/>
          <w:highlight w:val="none"/>
          <w:u w:val="single"/>
        </w:rPr>
      </w:pPr>
      <w:r>
        <w:rPr>
          <w:rFonts w:hint="eastAsia"/>
          <w:color w:val="auto"/>
          <w:highlight w:val="none"/>
        </w:rPr>
        <w:t>项目名称：</w:t>
      </w:r>
      <w:r>
        <w:rPr>
          <w:rFonts w:hint="eastAsia"/>
          <w:color w:val="auto"/>
          <w:highlight w:val="none"/>
          <w:u w:val="single"/>
        </w:rPr>
        <w:t xml:space="preserve">                               </w:t>
      </w:r>
    </w:p>
    <w:p>
      <w:pPr>
        <w:pStyle w:val="45"/>
        <w:rPr>
          <w:color w:val="auto"/>
          <w:highlight w:val="none"/>
          <w:u w:val="single"/>
        </w:rPr>
      </w:pPr>
      <w:r>
        <w:rPr>
          <w:rFonts w:hint="eastAsia"/>
          <w:color w:val="auto"/>
          <w:highlight w:val="none"/>
        </w:rPr>
        <w:t>项目编号：</w:t>
      </w:r>
      <w:r>
        <w:rPr>
          <w:rFonts w:hint="eastAsia"/>
          <w:color w:val="auto"/>
          <w:highlight w:val="none"/>
          <w:u w:val="single"/>
        </w:rPr>
        <w:t xml:space="preserve">                               </w:t>
      </w:r>
    </w:p>
    <w:p>
      <w:pPr>
        <w:pStyle w:val="45"/>
        <w:rPr>
          <w:color w:val="auto"/>
          <w:highlight w:val="none"/>
        </w:rPr>
      </w:pPr>
      <w:r>
        <w:rPr>
          <w:rFonts w:hint="eastAsia"/>
          <w:color w:val="auto"/>
          <w:highlight w:val="none"/>
        </w:rPr>
        <w:t>被评价代理机构名称：四川乾新招投标代理有限公司</w:t>
      </w:r>
    </w:p>
    <w:tbl>
      <w:tblPr>
        <w:tblStyle w:val="24"/>
        <w:tblW w:w="9770" w:type="dxa"/>
        <w:tblInd w:w="0" w:type="dxa"/>
        <w:tblLayout w:type="fixed"/>
        <w:tblCellMar>
          <w:top w:w="15" w:type="dxa"/>
          <w:left w:w="15" w:type="dxa"/>
          <w:bottom w:w="15" w:type="dxa"/>
          <w:right w:w="15" w:type="dxa"/>
        </w:tblCellMar>
      </w:tblPr>
      <w:tblGrid>
        <w:gridCol w:w="1219"/>
        <w:gridCol w:w="2430"/>
        <w:gridCol w:w="1530"/>
        <w:gridCol w:w="1530"/>
        <w:gridCol w:w="1530"/>
        <w:gridCol w:w="1531"/>
      </w:tblGrid>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满意</w:t>
            </w:r>
          </w:p>
          <w:p>
            <w:pPr>
              <w:pStyle w:val="47"/>
              <w:rPr>
                <w:b/>
                <w:bCs/>
                <w:color w:val="auto"/>
                <w:highlight w:val="none"/>
              </w:rPr>
            </w:pPr>
            <w:r>
              <w:rPr>
                <w:rFonts w:hint="eastAsia"/>
                <w:b/>
                <w:bCs/>
                <w:color w:val="auto"/>
                <w:highlight w:val="none"/>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 xml:space="preserve">基本满意 </w:t>
            </w:r>
          </w:p>
          <w:p>
            <w:pPr>
              <w:pStyle w:val="47"/>
              <w:rPr>
                <w:b/>
                <w:bCs/>
                <w:color w:val="auto"/>
                <w:highlight w:val="none"/>
              </w:rPr>
            </w:pPr>
            <w:r>
              <w:rPr>
                <w:rFonts w:hint="eastAsia"/>
                <w:b/>
                <w:bCs/>
                <w:color w:val="auto"/>
                <w:highlight w:val="none"/>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 xml:space="preserve">一般 </w:t>
            </w:r>
          </w:p>
          <w:p>
            <w:pPr>
              <w:pStyle w:val="47"/>
              <w:rPr>
                <w:b/>
                <w:bCs/>
                <w:color w:val="auto"/>
                <w:highlight w:val="none"/>
              </w:rPr>
            </w:pPr>
            <w:r>
              <w:rPr>
                <w:rFonts w:hint="eastAsia"/>
                <w:b/>
                <w:bCs/>
                <w:color w:val="auto"/>
                <w:highlight w:val="none"/>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不满意</w:t>
            </w:r>
          </w:p>
          <w:p>
            <w:pPr>
              <w:pStyle w:val="47"/>
              <w:rPr>
                <w:b/>
                <w:bCs/>
                <w:color w:val="auto"/>
                <w:highlight w:val="none"/>
              </w:rPr>
            </w:pPr>
            <w:r>
              <w:rPr>
                <w:rFonts w:hint="eastAsia"/>
                <w:b/>
                <w:bCs/>
                <w:color w:val="auto"/>
                <w:highlight w:val="none"/>
              </w:rPr>
              <w:t>(0分)</w:t>
            </w: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r>
      <w:tr>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r>
      <w:tr>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质疑答复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r>
      <w:tr>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r>
              <w:rPr>
                <w:rFonts w:hint="eastAsia"/>
                <w:b/>
                <w:bCs/>
                <w:color w:val="auto"/>
                <w:highlight w:val="none"/>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7"/>
              <w:rPr>
                <w:b/>
                <w:bCs/>
                <w:color w:val="auto"/>
                <w:highlight w:val="none"/>
              </w:rPr>
            </w:pPr>
          </w:p>
        </w:tc>
      </w:tr>
      <w:tr>
        <w:tblPrEx>
          <w:tblCellMar>
            <w:top w:w="15" w:type="dxa"/>
            <w:left w:w="15" w:type="dxa"/>
            <w:bottom w:w="15" w:type="dxa"/>
            <w:right w:w="15" w:type="dxa"/>
          </w:tblCellMar>
        </w:tblPrEx>
        <w:trPr>
          <w:trHeight w:val="480"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4"/>
              <w:rPr>
                <w:b/>
                <w:bCs/>
                <w:color w:val="auto"/>
                <w:highlight w:val="none"/>
              </w:rPr>
            </w:pPr>
            <w:r>
              <w:rPr>
                <w:rFonts w:hint="eastAsia"/>
                <w:b/>
                <w:bCs/>
                <w:color w:val="auto"/>
                <w:highlight w:val="none"/>
              </w:rPr>
              <w:t>对代理机构工作的其他建议：</w:t>
            </w:r>
          </w:p>
        </w:tc>
      </w:tr>
      <w:tr>
        <w:tblPrEx>
          <w:tblCellMar>
            <w:top w:w="15" w:type="dxa"/>
            <w:left w:w="15" w:type="dxa"/>
            <w:bottom w:w="15" w:type="dxa"/>
            <w:right w:w="15" w:type="dxa"/>
          </w:tblCellMar>
        </w:tblPrEx>
        <w:trPr>
          <w:trHeight w:val="2687"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4"/>
              <w:rPr>
                <w:b/>
                <w:bCs/>
                <w:color w:val="auto"/>
                <w:highlight w:val="none"/>
              </w:rPr>
            </w:pPr>
          </w:p>
          <w:p>
            <w:pPr>
              <w:pStyle w:val="44"/>
              <w:rPr>
                <w:b/>
                <w:bCs/>
                <w:color w:val="auto"/>
                <w:highlight w:val="none"/>
              </w:rPr>
            </w:pPr>
          </w:p>
          <w:p>
            <w:pPr>
              <w:pStyle w:val="44"/>
              <w:rPr>
                <w:b/>
                <w:bCs/>
                <w:color w:val="auto"/>
                <w:highlight w:val="none"/>
              </w:rPr>
            </w:pPr>
          </w:p>
          <w:p>
            <w:pPr>
              <w:pStyle w:val="44"/>
              <w:rPr>
                <w:b/>
                <w:bCs/>
                <w:color w:val="auto"/>
                <w:highlight w:val="none"/>
              </w:rPr>
            </w:pPr>
          </w:p>
          <w:p>
            <w:pPr>
              <w:pStyle w:val="44"/>
              <w:rPr>
                <w:b/>
                <w:bCs/>
                <w:color w:val="auto"/>
                <w:highlight w:val="none"/>
              </w:rPr>
            </w:pPr>
          </w:p>
          <w:p>
            <w:pPr>
              <w:pStyle w:val="44"/>
              <w:ind w:firstLine="4216" w:firstLineChars="2000"/>
              <w:rPr>
                <w:b/>
                <w:bCs/>
                <w:color w:val="auto"/>
                <w:highlight w:val="none"/>
              </w:rPr>
            </w:pPr>
            <w:r>
              <w:rPr>
                <w:rFonts w:hint="eastAsia"/>
                <w:b/>
                <w:bCs/>
                <w:color w:val="auto"/>
                <w:highlight w:val="none"/>
              </w:rPr>
              <w:t>供应商名称：</w:t>
            </w:r>
            <w:r>
              <w:rPr>
                <w:rFonts w:hint="eastAsia"/>
                <w:b/>
                <w:bCs/>
                <w:color w:val="auto"/>
                <w:highlight w:val="none"/>
                <w:u w:val="single"/>
              </w:rPr>
              <w:t xml:space="preserve">                     </w:t>
            </w:r>
            <w:r>
              <w:rPr>
                <w:rFonts w:hint="eastAsia"/>
                <w:b/>
                <w:bCs/>
                <w:color w:val="auto"/>
                <w:highlight w:val="none"/>
              </w:rPr>
              <w:t>(加盖鲜章)</w:t>
            </w:r>
          </w:p>
        </w:tc>
      </w:tr>
    </w:tbl>
    <w:p>
      <w:pPr>
        <w:pStyle w:val="49"/>
        <w:ind w:firstLine="482"/>
        <w:rPr>
          <w:color w:val="auto"/>
          <w:highlight w:val="none"/>
        </w:rPr>
      </w:pPr>
      <w:r>
        <w:rPr>
          <w:rFonts w:hint="eastAsia"/>
          <w:color w:val="auto"/>
          <w:highlight w:val="none"/>
        </w:rPr>
        <w:t>说明：请贵公司根据采购代理机构2023年度采购项目的实际情况，在“满意”、“基本满意”、“一般”、“不满意”四个评价档次栏中选取一栏打“√”，并加盖鲜章。</w:t>
      </w:r>
    </w:p>
    <w:p>
      <w:pPr>
        <w:rPr>
          <w:color w:val="auto"/>
          <w:highlight w:val="none"/>
        </w:rPr>
      </w:pPr>
      <w:r>
        <w:rPr>
          <w:rFonts w:hint="eastAsia"/>
          <w:color w:val="auto"/>
          <w:highlight w:val="none"/>
        </w:rPr>
        <w:br w:type="page"/>
      </w:r>
    </w:p>
    <w:p>
      <w:pPr>
        <w:pStyle w:val="37"/>
        <w:numPr>
          <w:ilvl w:val="1"/>
          <w:numId w:val="0"/>
        </w:numPr>
        <w:ind w:firstLine="482" w:firstLineChars="200"/>
        <w:rPr>
          <w:rFonts w:asciiTheme="minorEastAsia" w:hAnsiTheme="minorEastAsia" w:eastAsiaTheme="minorEastAsia" w:cstheme="minorEastAsia"/>
          <w:color w:val="auto"/>
          <w:highlight w:val="none"/>
        </w:rPr>
      </w:pPr>
      <w:bookmarkStart w:id="579" w:name="_Toc622"/>
      <w:bookmarkStart w:id="580" w:name="_Toc15747"/>
      <w:r>
        <w:rPr>
          <w:rFonts w:hint="eastAsia" w:asciiTheme="minorEastAsia" w:hAnsiTheme="minorEastAsia" w:eastAsiaTheme="minorEastAsia" w:cstheme="minorEastAsia"/>
          <w:color w:val="auto"/>
          <w:highlight w:val="none"/>
        </w:rPr>
        <w:t>附件四：统计上大中小微型企业划分标准</w:t>
      </w:r>
      <w:bookmarkEnd w:id="579"/>
      <w:bookmarkEnd w:id="580"/>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445"/>
        <w:gridCol w:w="747"/>
        <w:gridCol w:w="1186"/>
        <w:gridCol w:w="1796"/>
        <w:gridCol w:w="150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20" w:type="pct"/>
            <w:vAlign w:val="center"/>
          </w:tcPr>
          <w:p>
            <w:pPr>
              <w:widowControl/>
              <w:spacing w:line="240" w:lineRule="exact"/>
              <w:jc w:val="center"/>
              <w:rPr>
                <w:rFonts w:cs="宋体"/>
                <w:b/>
                <w:bCs/>
                <w:color w:val="auto"/>
                <w:kern w:val="0"/>
                <w:sz w:val="15"/>
                <w:szCs w:val="15"/>
                <w:highlight w:val="none"/>
              </w:rPr>
            </w:pPr>
            <w:r>
              <w:rPr>
                <w:rFonts w:hint="eastAsia" w:cs="宋体"/>
                <w:b/>
                <w:bCs/>
                <w:color w:val="auto"/>
                <w:kern w:val="0"/>
                <w:sz w:val="15"/>
                <w:szCs w:val="15"/>
                <w:highlight w:val="none"/>
              </w:rPr>
              <w:t>行业名称</w:t>
            </w:r>
          </w:p>
        </w:tc>
        <w:tc>
          <w:tcPr>
            <w:tcW w:w="725" w:type="pct"/>
            <w:vAlign w:val="center"/>
          </w:tcPr>
          <w:p>
            <w:pPr>
              <w:widowControl/>
              <w:jc w:val="center"/>
              <w:rPr>
                <w:rFonts w:cs="宋体"/>
                <w:b/>
                <w:bCs/>
                <w:color w:val="auto"/>
                <w:kern w:val="0"/>
                <w:sz w:val="15"/>
                <w:szCs w:val="15"/>
                <w:highlight w:val="none"/>
              </w:rPr>
            </w:pPr>
            <w:r>
              <w:rPr>
                <w:rFonts w:hint="eastAsia" w:cs="宋体"/>
                <w:b/>
                <w:bCs/>
                <w:color w:val="auto"/>
                <w:kern w:val="0"/>
                <w:sz w:val="15"/>
                <w:szCs w:val="15"/>
                <w:highlight w:val="none"/>
              </w:rPr>
              <w:t>指标名称</w:t>
            </w:r>
          </w:p>
        </w:tc>
        <w:tc>
          <w:tcPr>
            <w:tcW w:w="375" w:type="pct"/>
            <w:vAlign w:val="center"/>
          </w:tcPr>
          <w:p>
            <w:pPr>
              <w:widowControl/>
              <w:jc w:val="center"/>
              <w:rPr>
                <w:rFonts w:cs="宋体"/>
                <w:b/>
                <w:bCs/>
                <w:color w:val="auto"/>
                <w:kern w:val="0"/>
                <w:sz w:val="15"/>
                <w:szCs w:val="15"/>
                <w:highlight w:val="none"/>
              </w:rPr>
            </w:pPr>
            <w:r>
              <w:rPr>
                <w:rFonts w:hint="eastAsia" w:cs="宋体"/>
                <w:b/>
                <w:bCs/>
                <w:color w:val="auto"/>
                <w:kern w:val="0"/>
                <w:sz w:val="15"/>
                <w:szCs w:val="15"/>
                <w:highlight w:val="none"/>
              </w:rPr>
              <w:t>计量</w:t>
            </w:r>
          </w:p>
          <w:p>
            <w:pPr>
              <w:widowControl/>
              <w:jc w:val="center"/>
              <w:rPr>
                <w:rFonts w:cs="宋体"/>
                <w:b/>
                <w:bCs/>
                <w:color w:val="auto"/>
                <w:kern w:val="0"/>
                <w:sz w:val="15"/>
                <w:szCs w:val="15"/>
                <w:highlight w:val="none"/>
              </w:rPr>
            </w:pPr>
            <w:r>
              <w:rPr>
                <w:rFonts w:hint="eastAsia" w:cs="宋体"/>
                <w:b/>
                <w:bCs/>
                <w:color w:val="auto"/>
                <w:kern w:val="0"/>
                <w:sz w:val="15"/>
                <w:szCs w:val="15"/>
                <w:highlight w:val="none"/>
              </w:rPr>
              <w:t>单位</w:t>
            </w:r>
          </w:p>
        </w:tc>
        <w:tc>
          <w:tcPr>
            <w:tcW w:w="595" w:type="pct"/>
            <w:vAlign w:val="center"/>
          </w:tcPr>
          <w:p>
            <w:pPr>
              <w:widowControl/>
              <w:jc w:val="center"/>
              <w:rPr>
                <w:rFonts w:cs="宋体"/>
                <w:b/>
                <w:bCs/>
                <w:color w:val="auto"/>
                <w:kern w:val="0"/>
                <w:sz w:val="15"/>
                <w:szCs w:val="15"/>
                <w:highlight w:val="none"/>
              </w:rPr>
            </w:pPr>
            <w:r>
              <w:rPr>
                <w:rFonts w:hint="eastAsia" w:cs="宋体"/>
                <w:b/>
                <w:bCs/>
                <w:color w:val="auto"/>
                <w:kern w:val="0"/>
                <w:sz w:val="15"/>
                <w:szCs w:val="15"/>
                <w:highlight w:val="none"/>
              </w:rPr>
              <w:t>大型</w:t>
            </w:r>
          </w:p>
        </w:tc>
        <w:tc>
          <w:tcPr>
            <w:tcW w:w="901" w:type="pct"/>
            <w:vAlign w:val="center"/>
          </w:tcPr>
          <w:p>
            <w:pPr>
              <w:widowControl/>
              <w:jc w:val="center"/>
              <w:rPr>
                <w:rFonts w:cs="宋体"/>
                <w:b/>
                <w:bCs/>
                <w:color w:val="auto"/>
                <w:kern w:val="0"/>
                <w:sz w:val="15"/>
                <w:szCs w:val="15"/>
                <w:highlight w:val="none"/>
              </w:rPr>
            </w:pPr>
            <w:r>
              <w:rPr>
                <w:rFonts w:hint="eastAsia" w:cs="宋体"/>
                <w:b/>
                <w:bCs/>
                <w:color w:val="auto"/>
                <w:kern w:val="0"/>
                <w:sz w:val="15"/>
                <w:szCs w:val="15"/>
                <w:highlight w:val="none"/>
              </w:rPr>
              <w:t>中型</w:t>
            </w:r>
          </w:p>
        </w:tc>
        <w:tc>
          <w:tcPr>
            <w:tcW w:w="755" w:type="pct"/>
            <w:vAlign w:val="center"/>
          </w:tcPr>
          <w:p>
            <w:pPr>
              <w:widowControl/>
              <w:jc w:val="center"/>
              <w:rPr>
                <w:rFonts w:cs="宋体"/>
                <w:b/>
                <w:bCs/>
                <w:color w:val="auto"/>
                <w:kern w:val="0"/>
                <w:sz w:val="15"/>
                <w:szCs w:val="15"/>
                <w:highlight w:val="none"/>
              </w:rPr>
            </w:pPr>
            <w:r>
              <w:rPr>
                <w:rFonts w:hint="eastAsia" w:cs="宋体"/>
                <w:b/>
                <w:bCs/>
                <w:color w:val="auto"/>
                <w:kern w:val="0"/>
                <w:sz w:val="15"/>
                <w:szCs w:val="15"/>
                <w:highlight w:val="none"/>
              </w:rPr>
              <w:t>小型</w:t>
            </w:r>
          </w:p>
        </w:tc>
        <w:tc>
          <w:tcPr>
            <w:tcW w:w="525" w:type="pct"/>
            <w:vAlign w:val="center"/>
          </w:tcPr>
          <w:p>
            <w:pPr>
              <w:widowControl/>
              <w:jc w:val="center"/>
              <w:rPr>
                <w:rFonts w:cs="宋体"/>
                <w:b/>
                <w:bCs/>
                <w:color w:val="auto"/>
                <w:kern w:val="0"/>
                <w:sz w:val="15"/>
                <w:szCs w:val="15"/>
                <w:highlight w:val="none"/>
              </w:rPr>
            </w:pPr>
            <w:r>
              <w:rPr>
                <w:rFonts w:hint="eastAsia" w:cs="宋体"/>
                <w:b/>
                <w:bCs/>
                <w:color w:val="auto"/>
                <w:kern w:val="0"/>
                <w:sz w:val="15"/>
                <w:szCs w:val="15"/>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农、林、牧、渔业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Y≥20000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500≤Y＜20000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50≤Y＜500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工业 *</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300≤X＜1000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20≤X＜300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Y≥40000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2000≤Y＜40000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300≤Y＜2000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建筑业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Y≥80000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6000≤Y＜80000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300≤Y＜6000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资产总额(Z)</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Z≥80000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5000≤Z＜80000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300≤Z＜5000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批发业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X≥200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20≤X＜200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5≤X＜20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Y≥40000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5000≤Y＜40000</w:t>
            </w:r>
          </w:p>
        </w:tc>
        <w:tc>
          <w:tcPr>
            <w:tcW w:w="755" w:type="pct"/>
            <w:vAlign w:val="center"/>
          </w:tcPr>
          <w:p>
            <w:pPr>
              <w:widowControl/>
              <w:ind w:left="-1" w:leftChars="-1" w:hanging="1"/>
              <w:jc w:val="center"/>
              <w:rPr>
                <w:rFonts w:cs="宋体"/>
                <w:color w:val="auto"/>
                <w:kern w:val="0"/>
                <w:sz w:val="15"/>
                <w:szCs w:val="15"/>
                <w:highlight w:val="none"/>
              </w:rPr>
            </w:pPr>
            <w:r>
              <w:rPr>
                <w:rFonts w:hint="eastAsia" w:cs="宋体"/>
                <w:color w:val="auto"/>
                <w:kern w:val="0"/>
                <w:sz w:val="15"/>
                <w:szCs w:val="15"/>
                <w:highlight w:val="none"/>
              </w:rPr>
              <w:t>1000≤Y＜5000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零售业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X≥300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50≤X＜300</w:t>
            </w:r>
          </w:p>
        </w:tc>
        <w:tc>
          <w:tcPr>
            <w:tcW w:w="755" w:type="pct"/>
            <w:vAlign w:val="center"/>
          </w:tcPr>
          <w:p>
            <w:pPr>
              <w:widowControl/>
              <w:ind w:left="-1" w:leftChars="-1" w:hanging="1"/>
              <w:jc w:val="center"/>
              <w:rPr>
                <w:rFonts w:cs="宋体"/>
                <w:color w:val="auto"/>
                <w:kern w:val="0"/>
                <w:sz w:val="15"/>
                <w:szCs w:val="15"/>
                <w:highlight w:val="none"/>
              </w:rPr>
            </w:pPr>
            <w:r>
              <w:rPr>
                <w:rFonts w:hint="eastAsia" w:cs="宋体"/>
                <w:color w:val="auto"/>
                <w:kern w:val="0"/>
                <w:sz w:val="15"/>
                <w:szCs w:val="15"/>
                <w:highlight w:val="none"/>
              </w:rPr>
              <w:t xml:space="preserve">10≤X＜50 </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Y≥20000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500≤Y＜20000</w:t>
            </w:r>
          </w:p>
        </w:tc>
        <w:tc>
          <w:tcPr>
            <w:tcW w:w="755" w:type="pct"/>
            <w:vAlign w:val="center"/>
          </w:tcPr>
          <w:p>
            <w:pPr>
              <w:widowControl/>
              <w:ind w:left="-1" w:leftChars="-1" w:hanging="1"/>
              <w:jc w:val="center"/>
              <w:rPr>
                <w:rFonts w:cs="宋体"/>
                <w:color w:val="auto"/>
                <w:kern w:val="0"/>
                <w:sz w:val="15"/>
                <w:szCs w:val="15"/>
                <w:highlight w:val="none"/>
              </w:rPr>
            </w:pPr>
            <w:r>
              <w:rPr>
                <w:rFonts w:hint="eastAsia" w:cs="宋体"/>
                <w:color w:val="auto"/>
                <w:kern w:val="0"/>
                <w:sz w:val="15"/>
                <w:szCs w:val="15"/>
                <w:highlight w:val="none"/>
              </w:rPr>
              <w:t xml:space="preserve">100≤Y＜500 </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交通运输业 *</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300≤X＜1000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20≤X＜300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Y≥30000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3000≤Y＜30000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200≤Y＜3000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仓储业*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X≥200</w:t>
            </w:r>
          </w:p>
        </w:tc>
        <w:tc>
          <w:tcPr>
            <w:tcW w:w="901" w:type="pct"/>
            <w:vAlign w:val="center"/>
          </w:tcPr>
          <w:p>
            <w:pPr>
              <w:widowControl/>
              <w:ind w:left="-32" w:leftChars="-51" w:hanging="90" w:hangingChars="60"/>
              <w:jc w:val="center"/>
              <w:rPr>
                <w:rFonts w:cs="宋体"/>
                <w:color w:val="auto"/>
                <w:kern w:val="0"/>
                <w:sz w:val="15"/>
                <w:szCs w:val="15"/>
                <w:highlight w:val="none"/>
              </w:rPr>
            </w:pPr>
            <w:r>
              <w:rPr>
                <w:rFonts w:hint="eastAsia" w:cs="宋体"/>
                <w:color w:val="auto"/>
                <w:kern w:val="0"/>
                <w:sz w:val="15"/>
                <w:szCs w:val="15"/>
                <w:highlight w:val="none"/>
              </w:rPr>
              <w:t>100≤X＜200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20≤X＜100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Y≥30000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1000≤Y＜30000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100≤Y＜1000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邮政业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300≤X＜1000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20≤X＜300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Y≥30000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2000≤Y＜30000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100≤Y＜2000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住宿业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X≥300</w:t>
            </w:r>
          </w:p>
        </w:tc>
        <w:tc>
          <w:tcPr>
            <w:tcW w:w="901" w:type="pct"/>
            <w:vAlign w:val="center"/>
          </w:tcPr>
          <w:p>
            <w:pPr>
              <w:widowControl/>
              <w:ind w:left="-32" w:leftChars="-51" w:hanging="90" w:hangingChars="60"/>
              <w:jc w:val="center"/>
              <w:rPr>
                <w:rFonts w:cs="宋体"/>
                <w:color w:val="auto"/>
                <w:kern w:val="0"/>
                <w:sz w:val="15"/>
                <w:szCs w:val="15"/>
                <w:highlight w:val="none"/>
              </w:rPr>
            </w:pPr>
            <w:r>
              <w:rPr>
                <w:rFonts w:hint="eastAsia" w:cs="宋体"/>
                <w:color w:val="auto"/>
                <w:kern w:val="0"/>
                <w:sz w:val="15"/>
                <w:szCs w:val="15"/>
                <w:highlight w:val="none"/>
              </w:rPr>
              <w:t xml:space="preserve">100≤X＜300 </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10≤X＜100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2000≤Y＜10000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100≤Y＜2000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餐饮业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X≥300</w:t>
            </w:r>
          </w:p>
        </w:tc>
        <w:tc>
          <w:tcPr>
            <w:tcW w:w="901" w:type="pct"/>
            <w:vAlign w:val="center"/>
          </w:tcPr>
          <w:p>
            <w:pPr>
              <w:widowControl/>
              <w:ind w:left="-32" w:leftChars="-51" w:hanging="90" w:hangingChars="60"/>
              <w:jc w:val="center"/>
              <w:rPr>
                <w:rFonts w:cs="宋体"/>
                <w:color w:val="auto"/>
                <w:kern w:val="0"/>
                <w:sz w:val="15"/>
                <w:szCs w:val="15"/>
                <w:highlight w:val="none"/>
              </w:rPr>
            </w:pPr>
            <w:r>
              <w:rPr>
                <w:rFonts w:hint="eastAsia" w:cs="宋体"/>
                <w:color w:val="auto"/>
                <w:kern w:val="0"/>
                <w:sz w:val="15"/>
                <w:szCs w:val="15"/>
                <w:highlight w:val="none"/>
              </w:rPr>
              <w:t xml:space="preserve">100≤X＜300 </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10≤X＜100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2000≤Y＜10000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100≤Y＜2000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信息传输业 *</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X≥2000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100≤X＜2000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10≤X＜100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1000≤Y＜100000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100≤Y＜1000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120" w:type="pct"/>
            <w:vMerge w:val="restart"/>
            <w:vAlign w:val="center"/>
          </w:tcPr>
          <w:p>
            <w:pPr>
              <w:widowControl/>
              <w:spacing w:line="240" w:lineRule="exact"/>
              <w:rPr>
                <w:rFonts w:cs="宋体"/>
                <w:color w:val="auto"/>
                <w:spacing w:val="-12"/>
                <w:kern w:val="0"/>
                <w:sz w:val="15"/>
                <w:szCs w:val="15"/>
                <w:highlight w:val="none"/>
              </w:rPr>
            </w:pPr>
            <w:r>
              <w:rPr>
                <w:rFonts w:hint="eastAsia" w:cs="宋体"/>
                <w:color w:val="auto"/>
                <w:spacing w:val="-12"/>
                <w:kern w:val="0"/>
                <w:sz w:val="15"/>
                <w:szCs w:val="15"/>
                <w:highlight w:val="none"/>
              </w:rPr>
              <w:t>软件和信息技术服</w:t>
            </w:r>
            <w:r>
              <w:rPr>
                <w:rFonts w:hint="eastAsia" w:cs="宋体"/>
                <w:color w:val="auto"/>
                <w:kern w:val="0"/>
                <w:sz w:val="15"/>
                <w:szCs w:val="15"/>
                <w:highlight w:val="none"/>
              </w:rPr>
              <w:t>务业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X≥300</w:t>
            </w:r>
          </w:p>
        </w:tc>
        <w:tc>
          <w:tcPr>
            <w:tcW w:w="901" w:type="pct"/>
            <w:vAlign w:val="center"/>
          </w:tcPr>
          <w:p>
            <w:pPr>
              <w:widowControl/>
              <w:ind w:left="-32" w:leftChars="-51" w:hanging="90" w:hangingChars="60"/>
              <w:jc w:val="center"/>
              <w:rPr>
                <w:rFonts w:cs="宋体"/>
                <w:color w:val="auto"/>
                <w:kern w:val="0"/>
                <w:sz w:val="15"/>
                <w:szCs w:val="15"/>
                <w:highlight w:val="none"/>
              </w:rPr>
            </w:pPr>
            <w:r>
              <w:rPr>
                <w:rFonts w:hint="eastAsia" w:cs="宋体"/>
                <w:color w:val="auto"/>
                <w:kern w:val="0"/>
                <w:sz w:val="15"/>
                <w:szCs w:val="15"/>
                <w:highlight w:val="none"/>
              </w:rPr>
              <w:t xml:space="preserve">100≤X＜300 </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10≤X＜100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120" w:type="pct"/>
            <w:vMerge w:val="continue"/>
            <w:vAlign w:val="center"/>
          </w:tcPr>
          <w:p>
            <w:pPr>
              <w:widowControl/>
              <w:rPr>
                <w:rFonts w:cs="宋体"/>
                <w:color w:val="auto"/>
                <w:spacing w:val="-12"/>
                <w:kern w:val="0"/>
                <w:sz w:val="15"/>
                <w:szCs w:val="15"/>
                <w:highlight w:val="none"/>
              </w:rPr>
            </w:pP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1000≤Y＜10000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50≤Y＜1000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房地产开发经营</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Y≥200000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1000≤Y＜200000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100≤Y＜1000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资产总额(Z)</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Z≥10000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5000≤Z＜10000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2000≤Z＜5000   </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物业管理</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300≤X＜1000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100≤X＜300 </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营业收入(Y)</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Y≥5000</w:t>
            </w:r>
          </w:p>
        </w:tc>
        <w:tc>
          <w:tcPr>
            <w:tcW w:w="901" w:type="pct"/>
            <w:vAlign w:val="center"/>
          </w:tcPr>
          <w:p>
            <w:pPr>
              <w:widowControl/>
              <w:ind w:left="-32" w:leftChars="-51" w:hanging="90" w:hangingChars="60"/>
              <w:jc w:val="center"/>
              <w:rPr>
                <w:rFonts w:cs="宋体"/>
                <w:color w:val="auto"/>
                <w:kern w:val="0"/>
                <w:sz w:val="15"/>
                <w:szCs w:val="15"/>
                <w:highlight w:val="none"/>
              </w:rPr>
            </w:pPr>
            <w:r>
              <w:rPr>
                <w:rFonts w:hint="eastAsia" w:cs="宋体"/>
                <w:color w:val="auto"/>
                <w:kern w:val="0"/>
                <w:sz w:val="15"/>
                <w:szCs w:val="15"/>
                <w:highlight w:val="none"/>
              </w:rPr>
              <w:t xml:space="preserve">1000≤Y＜5000 </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500≤Y＜1000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20" w:type="pct"/>
            <w:vMerge w:val="restar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租赁和商务服务业</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X≥300</w:t>
            </w:r>
          </w:p>
        </w:tc>
        <w:tc>
          <w:tcPr>
            <w:tcW w:w="901" w:type="pct"/>
            <w:vAlign w:val="center"/>
          </w:tcPr>
          <w:p>
            <w:pPr>
              <w:widowControl/>
              <w:ind w:left="-32" w:leftChars="-51" w:hanging="90" w:hangingChars="60"/>
              <w:jc w:val="center"/>
              <w:rPr>
                <w:rFonts w:cs="宋体"/>
                <w:color w:val="auto"/>
                <w:kern w:val="0"/>
                <w:sz w:val="15"/>
                <w:szCs w:val="15"/>
                <w:highlight w:val="none"/>
              </w:rPr>
            </w:pPr>
            <w:r>
              <w:rPr>
                <w:rFonts w:hint="eastAsia" w:cs="宋体"/>
                <w:color w:val="auto"/>
                <w:kern w:val="0"/>
                <w:sz w:val="15"/>
                <w:szCs w:val="15"/>
                <w:highlight w:val="none"/>
              </w:rPr>
              <w:t xml:space="preserve">100≤X＜300 </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10≤X＜100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120" w:type="pct"/>
            <w:vMerge w:val="continue"/>
            <w:vAlign w:val="center"/>
          </w:tcPr>
          <w:p>
            <w:pPr>
              <w:widowControl/>
              <w:rPr>
                <w:rFonts w:cs="宋体"/>
                <w:color w:val="auto"/>
                <w:kern w:val="0"/>
                <w:sz w:val="15"/>
                <w:szCs w:val="15"/>
                <w:highlight w:val="none"/>
              </w:rPr>
            </w:pPr>
          </w:p>
        </w:tc>
        <w:tc>
          <w:tcPr>
            <w:tcW w:w="725" w:type="pct"/>
            <w:vAlign w:val="center"/>
          </w:tcPr>
          <w:p>
            <w:pPr>
              <w:widowControl/>
              <w:spacing w:line="240" w:lineRule="exact"/>
              <w:jc w:val="center"/>
              <w:rPr>
                <w:rFonts w:cs="宋体"/>
                <w:color w:val="auto"/>
                <w:kern w:val="0"/>
                <w:sz w:val="15"/>
                <w:szCs w:val="15"/>
                <w:highlight w:val="none"/>
              </w:rPr>
            </w:pPr>
            <w:r>
              <w:rPr>
                <w:rFonts w:hint="eastAsia" w:cs="宋体"/>
                <w:color w:val="auto"/>
                <w:kern w:val="0"/>
                <w:sz w:val="15"/>
                <w:szCs w:val="15"/>
                <w:highlight w:val="none"/>
              </w:rPr>
              <w:t>资产总额(Z)</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万元</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Z≥120000</w:t>
            </w:r>
          </w:p>
        </w:tc>
        <w:tc>
          <w:tcPr>
            <w:tcW w:w="901"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8000≤Z＜120000</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100≤Z＜8000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1120" w:type="pct"/>
            <w:vAlign w:val="center"/>
          </w:tcPr>
          <w:p>
            <w:pPr>
              <w:widowControl/>
              <w:spacing w:line="240" w:lineRule="exact"/>
              <w:rPr>
                <w:rFonts w:cs="宋体"/>
                <w:color w:val="auto"/>
                <w:kern w:val="0"/>
                <w:sz w:val="15"/>
                <w:szCs w:val="15"/>
                <w:highlight w:val="none"/>
              </w:rPr>
            </w:pPr>
            <w:r>
              <w:rPr>
                <w:rFonts w:hint="eastAsia" w:cs="宋体"/>
                <w:color w:val="auto"/>
                <w:kern w:val="0"/>
                <w:sz w:val="15"/>
                <w:szCs w:val="15"/>
                <w:highlight w:val="none"/>
              </w:rPr>
              <w:t>其他未列明行业 *</w:t>
            </w:r>
          </w:p>
        </w:tc>
        <w:tc>
          <w:tcPr>
            <w:tcW w:w="7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从业人员(X)</w:t>
            </w:r>
          </w:p>
        </w:tc>
        <w:tc>
          <w:tcPr>
            <w:tcW w:w="37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人</w:t>
            </w:r>
          </w:p>
        </w:tc>
        <w:tc>
          <w:tcPr>
            <w:tcW w:w="59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X≥300</w:t>
            </w:r>
          </w:p>
        </w:tc>
        <w:tc>
          <w:tcPr>
            <w:tcW w:w="901" w:type="pct"/>
            <w:vAlign w:val="center"/>
          </w:tcPr>
          <w:p>
            <w:pPr>
              <w:widowControl/>
              <w:ind w:left="-32" w:leftChars="-51" w:hanging="90" w:hangingChars="60"/>
              <w:jc w:val="center"/>
              <w:rPr>
                <w:rFonts w:cs="宋体"/>
                <w:color w:val="auto"/>
                <w:kern w:val="0"/>
                <w:sz w:val="15"/>
                <w:szCs w:val="15"/>
                <w:highlight w:val="none"/>
              </w:rPr>
            </w:pPr>
            <w:r>
              <w:rPr>
                <w:rFonts w:hint="eastAsia" w:cs="宋体"/>
                <w:color w:val="auto"/>
                <w:kern w:val="0"/>
                <w:sz w:val="15"/>
                <w:szCs w:val="15"/>
                <w:highlight w:val="none"/>
              </w:rPr>
              <w:t xml:space="preserve">100≤X＜300 </w:t>
            </w:r>
          </w:p>
        </w:tc>
        <w:tc>
          <w:tcPr>
            <w:tcW w:w="75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 xml:space="preserve"> 10≤X＜100</w:t>
            </w:r>
          </w:p>
        </w:tc>
        <w:tc>
          <w:tcPr>
            <w:tcW w:w="525" w:type="pct"/>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X＜10</w:t>
            </w:r>
          </w:p>
        </w:tc>
      </w:tr>
    </w:tbl>
    <w:p>
      <w:pPr>
        <w:widowControl/>
        <w:adjustRightInd/>
        <w:snapToGrid/>
        <w:ind w:firstLine="512" w:firstLineChars="200"/>
        <w:rPr>
          <w:rFonts w:cs="宋体"/>
          <w:color w:val="auto"/>
          <w:spacing w:val="8"/>
          <w:kern w:val="0"/>
          <w:highlight w:val="none"/>
        </w:rPr>
      </w:pPr>
      <w:r>
        <w:rPr>
          <w:rFonts w:hint="eastAsia" w:cs="宋体"/>
          <w:color w:val="auto"/>
          <w:spacing w:val="8"/>
          <w:kern w:val="0"/>
          <w:highlight w:val="none"/>
        </w:rPr>
        <w:t>说明：</w:t>
      </w:r>
    </w:p>
    <w:p>
      <w:pPr>
        <w:adjustRightInd/>
        <w:snapToGrid/>
        <w:ind w:firstLine="512" w:firstLineChars="200"/>
        <w:rPr>
          <w:rFonts w:cs="宋体"/>
          <w:color w:val="auto"/>
          <w:spacing w:val="8"/>
          <w:kern w:val="0"/>
          <w:highlight w:val="none"/>
        </w:rPr>
      </w:pPr>
      <w:r>
        <w:rPr>
          <w:rFonts w:hint="eastAsia" w:cs="宋体"/>
          <w:color w:val="auto"/>
          <w:spacing w:val="8"/>
          <w:kern w:val="0"/>
          <w:highlight w:val="none"/>
        </w:rPr>
        <w:t>1.大型、中型和小型企业须同时满足所列指标的下限，否则下划一档；微型企业只须满足所列指标中的一项即可。</w:t>
      </w:r>
    </w:p>
    <w:p>
      <w:pPr>
        <w:adjustRightInd/>
        <w:snapToGrid/>
        <w:ind w:firstLine="512" w:firstLineChars="200"/>
        <w:rPr>
          <w:rFonts w:cs="宋体"/>
          <w:color w:val="auto"/>
          <w:spacing w:val="8"/>
          <w:kern w:val="0"/>
          <w:highlight w:val="none"/>
        </w:rPr>
      </w:pPr>
      <w:r>
        <w:rPr>
          <w:rFonts w:hint="eastAsia"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ind w:firstLine="512" w:firstLineChars="200"/>
        <w:rPr>
          <w:rFonts w:cs="宋体"/>
          <w:b/>
          <w:bCs/>
          <w:color w:val="auto"/>
          <w:highlight w:val="none"/>
        </w:rPr>
      </w:pPr>
      <w:r>
        <w:rPr>
          <w:rFonts w:hint="eastAsia"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49"/>
        <w:ind w:firstLine="482"/>
        <w:rPr>
          <w:color w:val="auto"/>
          <w:highlight w:val="none"/>
        </w:rPr>
      </w:pPr>
    </w:p>
    <w:p>
      <w:pPr>
        <w:rPr>
          <w:color w:val="auto"/>
          <w:highlight w:val="none"/>
        </w:rPr>
      </w:pPr>
    </w:p>
    <w:sectPr>
      <w:headerReference r:id="rId15" w:type="first"/>
      <w:footerReference r:id="rId17" w:type="first"/>
      <w:headerReference r:id="rId14" w:type="default"/>
      <w:footerReference r:id="rId16" w:type="default"/>
      <w:pgSz w:w="11906" w:h="16838"/>
      <w:pgMar w:top="1440" w:right="1080" w:bottom="1440" w:left="1080" w:header="851" w:footer="992" w:gutter="0"/>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ind w:right="360"/>
      <w:rPr>
        <w:sz w:val="15"/>
        <w:szCs w:val="15"/>
      </w:rPr>
    </w:pPr>
    <w:r>
      <w:rPr>
        <w:rFonts w:hAnsi="Calibri" w:cs="黑体"/>
        <w:sz w:val="15"/>
        <w:szCs w:val="20"/>
      </w:rPr>
      <mc:AlternateContent>
        <mc:Choice Requires="wps">
          <w:drawing>
            <wp:anchor distT="0" distB="0" distL="114300" distR="114300" simplePos="0" relativeHeight="251661312"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rPr>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61312;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edfWAAAABwEAAA8AAAAAAAAAAQAgAAAAIgAAAGRycy9kb3ducmV2&#10;LnhtbFBLAQIUABQAAAAIAIdO4kBuI/RkxQEAAIoDAAAOAAAAAAAAAAEAIAAAACUBAABkcnMvZTJv&#10;RG9jLnhtbFBLBQYAAAAABgAGAFkBAABcBQAAAAA=&#10;">
              <v:fill on="f" focussize="0,0"/>
              <v:stroke on="f"/>
              <v:imagedata o:title=""/>
              <o:lock v:ext="edit" aspectratio="f"/>
              <v:textbox inset="0mm,0mm,0mm,0mm" style="mso-fit-shape-to-text:t;">
                <w:txbxContent>
                  <w:p>
                    <w:pPr>
                      <w:rPr>
                        <w:sz w:val="18"/>
                      </w:rPr>
                    </w:pPr>
                  </w:p>
                </w:txbxContent>
              </v:textbox>
            </v:rect>
          </w:pict>
        </mc:Fallback>
      </mc:AlternateContent>
    </w:r>
    <w:r>
      <w:rPr>
        <w:rFonts w:hint="eastAsia"/>
        <w:sz w:val="15"/>
        <w:szCs w:val="15"/>
      </w:rPr>
      <w:t>地址：成都市高新区吉庆三路333号蜀都中心二期一号楼一单元401号                                         邮政编码：610041</w:t>
    </w:r>
  </w:p>
  <w:p>
    <w:pPr>
      <w:pStyle w:val="17"/>
      <w:tabs>
        <w:tab w:val="center" w:pos="4153"/>
        <w:tab w:val="right" w:pos="8306"/>
        <w:tab w:val="clear" w:pos="0"/>
      </w:tabs>
      <w:ind w:right="360"/>
    </w:pPr>
    <w:r>
      <w:rPr>
        <w:rFonts w:hint="eastAsia"/>
        <w:sz w:val="15"/>
        <w:szCs w:val="15"/>
      </w:rPr>
      <w:t>电话(TEL)：86-028-61375575、62600820、62630990                                                            传真(FAX)：028-83381268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b/>
        <w:bCs/>
      </w:rPr>
    </w:pPr>
    <w:r>
      <w:rPr>
        <w:rFonts w:hAnsi="Calibri" w:cs="黑体"/>
        <w:sz w:val="20"/>
        <w:szCs w:val="11"/>
      </w:rPr>
      <w:drawing>
        <wp:anchor distT="0" distB="0" distL="114300" distR="114300" simplePos="0" relativeHeight="251659264"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sz w:val="21"/>
        <w:szCs w:val="21"/>
      </w:rPr>
      <w:t xml:space="preserve">       </w:t>
    </w:r>
    <w:r>
      <w:rPr>
        <w:rFonts w:hint="eastAsia"/>
        <w:b/>
        <w:bCs/>
      </w:rPr>
      <w:t>四川乾新招投标代理有限公司</w:t>
    </w:r>
  </w:p>
  <w:p>
    <w:pPr>
      <w:pStyle w:val="18"/>
      <w:pBdr>
        <w:bottom w:val="single" w:color="auto" w:sz="4" w:space="1"/>
      </w:pBdr>
      <w:tabs>
        <w:tab w:val="center" w:pos="4153"/>
        <w:tab w:val="right" w:pos="8306"/>
        <w:tab w:val="clear" w:pos="0"/>
      </w:tabs>
      <w:jc w:val="left"/>
    </w:pPr>
    <w:r>
      <w:rPr>
        <w:rFonts w:hint="eastAsia"/>
        <w:b/>
        <w:bCs/>
      </w:rPr>
      <w:t xml:space="preserve">        Si Chuan Qian Xin Tendering and Bidding Agency Co.Ltd                             不止专注 更懂托付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rFonts w:asciiTheme="minorEastAsia" w:hAnsiTheme="minorEastAsia" w:cstheme="minor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5A342"/>
    <w:multiLevelType w:val="singleLevel"/>
    <w:tmpl w:val="8585A342"/>
    <w:lvl w:ilvl="0" w:tentative="0">
      <w:start w:val="1"/>
      <w:numFmt w:val="chineseCounting"/>
      <w:suff w:val="nothing"/>
      <w:lvlText w:val="%1、"/>
      <w:lvlJc w:val="left"/>
      <w:pPr>
        <w:ind w:left="0" w:firstLine="420"/>
      </w:pPr>
      <w:rPr>
        <w:rFonts w:hint="eastAsia"/>
      </w:rPr>
    </w:lvl>
  </w:abstractNum>
  <w:abstractNum w:abstractNumId="1">
    <w:nsid w:val="9180E7F6"/>
    <w:multiLevelType w:val="singleLevel"/>
    <w:tmpl w:val="9180E7F6"/>
    <w:lvl w:ilvl="0" w:tentative="0">
      <w:start w:val="1"/>
      <w:numFmt w:val="decimal"/>
      <w:lvlText w:val="(%1)"/>
      <w:lvlJc w:val="left"/>
      <w:pPr>
        <w:tabs>
          <w:tab w:val="left" w:pos="0"/>
        </w:tabs>
        <w:ind w:left="0" w:firstLine="0"/>
      </w:pPr>
      <w:rPr>
        <w:rFonts w:hint="default"/>
      </w:rPr>
    </w:lvl>
  </w:abstractNum>
  <w:abstractNum w:abstractNumId="2">
    <w:nsid w:val="9E0CF402"/>
    <w:multiLevelType w:val="singleLevel"/>
    <w:tmpl w:val="9E0CF402"/>
    <w:lvl w:ilvl="0" w:tentative="0">
      <w:start w:val="1"/>
      <w:numFmt w:val="chineseCounting"/>
      <w:suff w:val="nothing"/>
      <w:lvlText w:val="(%1)"/>
      <w:lvlJc w:val="left"/>
      <w:pPr>
        <w:ind w:left="0" w:firstLine="420"/>
      </w:pPr>
      <w:rPr>
        <w:rFonts w:hint="eastAsia"/>
      </w:rPr>
    </w:lvl>
  </w:abstractNum>
  <w:abstractNum w:abstractNumId="3">
    <w:nsid w:val="A3094459"/>
    <w:multiLevelType w:val="singleLevel"/>
    <w:tmpl w:val="A3094459"/>
    <w:lvl w:ilvl="0" w:tentative="0">
      <w:start w:val="1"/>
      <w:numFmt w:val="chineseCounting"/>
      <w:suff w:val="nothing"/>
      <w:lvlText w:val="%1、"/>
      <w:lvlJc w:val="left"/>
      <w:pPr>
        <w:ind w:left="0" w:firstLine="420"/>
      </w:pPr>
      <w:rPr>
        <w:rFonts w:hint="eastAsia"/>
      </w:rPr>
    </w:lvl>
  </w:abstractNum>
  <w:abstractNum w:abstractNumId="4">
    <w:nsid w:val="A80635A9"/>
    <w:multiLevelType w:val="singleLevel"/>
    <w:tmpl w:val="A80635A9"/>
    <w:lvl w:ilvl="0" w:tentative="0">
      <w:start w:val="1"/>
      <w:numFmt w:val="chineseCounting"/>
      <w:pStyle w:val="68"/>
      <w:suff w:val="nothing"/>
      <w:lvlText w:val="第%1条  "/>
      <w:lvlJc w:val="left"/>
      <w:pPr>
        <w:ind w:left="0" w:firstLine="0"/>
      </w:pPr>
      <w:rPr>
        <w:rFonts w:hint="eastAsia"/>
      </w:rPr>
    </w:lvl>
  </w:abstractNum>
  <w:abstractNum w:abstractNumId="5">
    <w:nsid w:val="B04D8E0A"/>
    <w:multiLevelType w:val="multilevel"/>
    <w:tmpl w:val="B04D8E0A"/>
    <w:lvl w:ilvl="0" w:tentative="0">
      <w:start w:val="1"/>
      <w:numFmt w:val="chineseCounting"/>
      <w:pStyle w:val="50"/>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7"/>
      <w:suff w:val="nothing"/>
      <w:lvlText w:val="%2、"/>
      <w:lvlJc w:val="left"/>
      <w:pPr>
        <w:ind w:left="0" w:firstLine="0"/>
      </w:pPr>
      <w:rPr>
        <w:rFonts w:hint="eastAsia" w:ascii="宋体" w:hAnsi="宋体" w:eastAsia="宋体" w:cs="宋体"/>
      </w:rPr>
    </w:lvl>
    <w:lvl w:ilvl="2" w:tentative="0">
      <w:start w:val="1"/>
      <w:numFmt w:val="chineseCounting"/>
      <w:pStyle w:val="51"/>
      <w:suff w:val="nothing"/>
      <w:lvlText w:val="(%3)"/>
      <w:lvlJc w:val="left"/>
      <w:pPr>
        <w:tabs>
          <w:tab w:val="left" w:pos="0"/>
        </w:tabs>
        <w:ind w:left="0" w:firstLine="0"/>
      </w:pPr>
      <w:rPr>
        <w:rFonts w:hint="eastAsia" w:ascii="宋体" w:hAnsi="宋体" w:eastAsia="宋体" w:cs="宋体"/>
      </w:rPr>
    </w:lvl>
    <w:lvl w:ilvl="3" w:tentative="0">
      <w:start w:val="1"/>
      <w:numFmt w:val="decimal"/>
      <w:pStyle w:val="65"/>
      <w:suff w:val="nothing"/>
      <w:lvlText w:val="%4."/>
      <w:lvlJc w:val="left"/>
      <w:pPr>
        <w:tabs>
          <w:tab w:val="left" w:pos="0"/>
        </w:tabs>
        <w:ind w:left="0" w:firstLine="0"/>
      </w:pPr>
      <w:rPr>
        <w:rFonts w:hint="eastAsia" w:ascii="宋体" w:hAnsi="宋体" w:eastAsia="宋体" w:cs="宋体"/>
      </w:rPr>
    </w:lvl>
    <w:lvl w:ilvl="4" w:tentative="0">
      <w:start w:val="1"/>
      <w:numFmt w:val="decimal"/>
      <w:pStyle w:val="66"/>
      <w:suff w:val="nothing"/>
      <w:lvlText w:val="%4.%5"/>
      <w:lvlJc w:val="left"/>
      <w:pPr>
        <w:ind w:left="0" w:firstLine="0"/>
      </w:pPr>
      <w:rPr>
        <w:rFonts w:hint="eastAsia" w:ascii="宋体" w:hAnsi="宋体" w:eastAsia="宋体" w:cs="宋体"/>
      </w:rPr>
    </w:lvl>
    <w:lvl w:ilvl="5" w:tentative="0">
      <w:start w:val="1"/>
      <w:numFmt w:val="decimal"/>
      <w:pStyle w:val="67"/>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B9317FB1"/>
    <w:multiLevelType w:val="singleLevel"/>
    <w:tmpl w:val="B9317FB1"/>
    <w:lvl w:ilvl="0" w:tentative="0">
      <w:start w:val="1"/>
      <w:numFmt w:val="decimal"/>
      <w:lvlText w:val="%1."/>
      <w:lvlJc w:val="left"/>
      <w:pPr>
        <w:tabs>
          <w:tab w:val="left" w:pos="312"/>
        </w:tabs>
      </w:pPr>
    </w:lvl>
  </w:abstractNum>
  <w:abstractNum w:abstractNumId="7">
    <w:nsid w:val="C7F53590"/>
    <w:multiLevelType w:val="multilevel"/>
    <w:tmpl w:val="C7F53590"/>
    <w:lvl w:ilvl="0" w:tentative="0">
      <w:start w:val="1"/>
      <w:numFmt w:val="decimal"/>
      <w:pStyle w:val="41"/>
      <w:suff w:val="nothing"/>
      <w:lvlText w:val="%1."/>
      <w:lvlJc w:val="left"/>
      <w:pPr>
        <w:tabs>
          <w:tab w:val="left" w:pos="420"/>
        </w:tabs>
        <w:ind w:left="0" w:firstLine="0"/>
      </w:pPr>
      <w:rPr>
        <w:rFonts w:hint="default" w:ascii="宋体" w:hAnsi="宋体" w:eastAsia="宋体" w:cs="宋体"/>
      </w:rPr>
    </w:lvl>
    <w:lvl w:ilvl="1" w:tentative="0">
      <w:start w:val="1"/>
      <w:numFmt w:val="decimal"/>
      <w:pStyle w:val="42"/>
      <w:suff w:val="nothing"/>
      <w:lvlText w:val="%1.%2"/>
      <w:lvlJc w:val="left"/>
      <w:pPr>
        <w:tabs>
          <w:tab w:val="left" w:pos="420"/>
        </w:tabs>
        <w:ind w:left="0" w:firstLine="0"/>
      </w:pPr>
      <w:rPr>
        <w:rFonts w:hint="default" w:ascii="宋体" w:hAnsi="宋体" w:eastAsia="宋体" w:cs="宋体"/>
      </w:rPr>
    </w:lvl>
    <w:lvl w:ilvl="2" w:tentative="0">
      <w:start w:val="1"/>
      <w:numFmt w:val="decimal"/>
      <w:pStyle w:val="43"/>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CA240A61"/>
    <w:multiLevelType w:val="singleLevel"/>
    <w:tmpl w:val="CA240A61"/>
    <w:lvl w:ilvl="0" w:tentative="0">
      <w:start w:val="1"/>
      <w:numFmt w:val="chineseCounting"/>
      <w:pStyle w:val="74"/>
      <w:suff w:val="nothing"/>
      <w:lvlText w:val="(%1)"/>
      <w:lvlJc w:val="left"/>
      <w:pPr>
        <w:ind w:left="0" w:firstLine="0"/>
      </w:pPr>
      <w:rPr>
        <w:rFonts w:hint="eastAsia"/>
      </w:rPr>
    </w:lvl>
  </w:abstractNum>
  <w:abstractNum w:abstractNumId="9">
    <w:nsid w:val="CC368B94"/>
    <w:multiLevelType w:val="singleLevel"/>
    <w:tmpl w:val="CC368B94"/>
    <w:lvl w:ilvl="0" w:tentative="0">
      <w:start w:val="1"/>
      <w:numFmt w:val="decimal"/>
      <w:lvlText w:val="(%1)"/>
      <w:lvlJc w:val="left"/>
      <w:pPr>
        <w:ind w:left="425" w:hanging="425"/>
      </w:pPr>
      <w:rPr>
        <w:rFonts w:hint="default"/>
      </w:rPr>
    </w:lvl>
  </w:abstractNum>
  <w:abstractNum w:abstractNumId="10">
    <w:nsid w:val="CFBAA8CD"/>
    <w:multiLevelType w:val="singleLevel"/>
    <w:tmpl w:val="CFBAA8CD"/>
    <w:lvl w:ilvl="0" w:tentative="0">
      <w:start w:val="1"/>
      <w:numFmt w:val="decimal"/>
      <w:lvlText w:val="(%1)"/>
      <w:lvlJc w:val="left"/>
      <w:pPr>
        <w:tabs>
          <w:tab w:val="left" w:pos="0"/>
        </w:tabs>
        <w:ind w:left="0" w:firstLine="0"/>
      </w:pPr>
      <w:rPr>
        <w:rFonts w:hint="default"/>
      </w:rPr>
    </w:lvl>
  </w:abstractNum>
  <w:abstractNum w:abstractNumId="11">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5"/>
      <w:suff w:val="nothing"/>
      <w:lvlText w:val="(%2)"/>
      <w:lvlJc w:val="left"/>
      <w:pPr>
        <w:ind w:left="0" w:firstLine="0"/>
      </w:pPr>
      <w:rPr>
        <w:rFonts w:hint="eastAsia" w:ascii="宋体" w:hAnsi="宋体" w:eastAsia="宋体" w:cs="宋体"/>
      </w:rPr>
    </w:lvl>
    <w:lvl w:ilvl="2" w:tentative="0">
      <w:start w:val="1"/>
      <w:numFmt w:val="decimal"/>
      <w:pStyle w:val="38"/>
      <w:suff w:val="nothing"/>
      <w:lvlText w:val="%3."/>
      <w:lvlJc w:val="left"/>
      <w:pPr>
        <w:ind w:left="0" w:firstLine="0"/>
      </w:pPr>
      <w:rPr>
        <w:rFonts w:hint="eastAsia" w:ascii="宋体" w:hAnsi="宋体" w:eastAsia="宋体" w:cs="宋体"/>
      </w:rPr>
    </w:lvl>
    <w:lvl w:ilvl="3" w:tentative="0">
      <w:start w:val="1"/>
      <w:numFmt w:val="decimal"/>
      <w:pStyle w:val="39"/>
      <w:suff w:val="nothing"/>
      <w:lvlText w:val="%3.%4"/>
      <w:lvlJc w:val="left"/>
      <w:pPr>
        <w:ind w:left="0" w:firstLine="0"/>
      </w:pPr>
      <w:rPr>
        <w:rFonts w:hint="eastAsia" w:ascii="宋体" w:hAnsi="宋体" w:eastAsia="宋体" w:cs="宋体"/>
      </w:rPr>
    </w:lvl>
    <w:lvl w:ilvl="4" w:tentative="0">
      <w:start w:val="1"/>
      <w:numFmt w:val="decimal"/>
      <w:pStyle w:val="40"/>
      <w:suff w:val="nothing"/>
      <w:lvlText w:val="(%5)"/>
      <w:lvlJc w:val="left"/>
      <w:pPr>
        <w:ind w:left="0" w:firstLine="0"/>
      </w:pPr>
      <w:rPr>
        <w:rFonts w:hint="eastAsia" w:ascii="宋体" w:hAnsi="宋体" w:eastAsia="宋体" w:cs="宋体"/>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12">
    <w:nsid w:val="E89D9569"/>
    <w:multiLevelType w:val="singleLevel"/>
    <w:tmpl w:val="E89D9569"/>
    <w:lvl w:ilvl="0" w:tentative="0">
      <w:start w:val="1"/>
      <w:numFmt w:val="decimal"/>
      <w:lvlText w:val="(%1)"/>
      <w:lvlJc w:val="left"/>
      <w:pPr>
        <w:ind w:left="425" w:hanging="425"/>
      </w:pPr>
      <w:rPr>
        <w:rFonts w:hint="default"/>
      </w:rPr>
    </w:lvl>
  </w:abstractNum>
  <w:abstractNum w:abstractNumId="13">
    <w:nsid w:val="F30A3750"/>
    <w:multiLevelType w:val="singleLevel"/>
    <w:tmpl w:val="F30A3750"/>
    <w:lvl w:ilvl="0" w:tentative="0">
      <w:start w:val="1"/>
      <w:numFmt w:val="decimal"/>
      <w:lvlText w:val="(%1)"/>
      <w:lvlJc w:val="left"/>
      <w:pPr>
        <w:ind w:left="425" w:hanging="425"/>
      </w:pPr>
      <w:rPr>
        <w:rFonts w:hint="default"/>
      </w:rPr>
    </w:lvl>
  </w:abstractNum>
  <w:abstractNum w:abstractNumId="14">
    <w:nsid w:val="FAAA5948"/>
    <w:multiLevelType w:val="singleLevel"/>
    <w:tmpl w:val="FAAA5948"/>
    <w:lvl w:ilvl="0" w:tentative="0">
      <w:start w:val="1"/>
      <w:numFmt w:val="chineseCounting"/>
      <w:suff w:val="nothing"/>
      <w:lvlText w:val="(%1)"/>
      <w:lvlJc w:val="left"/>
      <w:pPr>
        <w:ind w:left="0" w:firstLine="420"/>
      </w:pPr>
      <w:rPr>
        <w:rFonts w:hint="eastAsia"/>
      </w:rPr>
    </w:lvl>
  </w:abstractNum>
  <w:abstractNum w:abstractNumId="15">
    <w:nsid w:val="00000006"/>
    <w:multiLevelType w:val="multilevel"/>
    <w:tmpl w:val="00000006"/>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0B66883C"/>
    <w:multiLevelType w:val="singleLevel"/>
    <w:tmpl w:val="0B66883C"/>
    <w:lvl w:ilvl="0" w:tentative="0">
      <w:start w:val="1"/>
      <w:numFmt w:val="decimal"/>
      <w:lvlText w:val="(%1)"/>
      <w:lvlJc w:val="left"/>
      <w:pPr>
        <w:tabs>
          <w:tab w:val="left" w:pos="0"/>
        </w:tabs>
        <w:ind w:left="0" w:firstLine="0"/>
      </w:pPr>
      <w:rPr>
        <w:rFonts w:hint="default"/>
      </w:rPr>
    </w:lvl>
  </w:abstractNum>
  <w:abstractNum w:abstractNumId="17">
    <w:nsid w:val="1D6432C1"/>
    <w:multiLevelType w:val="singleLevel"/>
    <w:tmpl w:val="1D6432C1"/>
    <w:lvl w:ilvl="0" w:tentative="0">
      <w:start w:val="1"/>
      <w:numFmt w:val="decimal"/>
      <w:lvlText w:val="(%1)"/>
      <w:lvlJc w:val="left"/>
      <w:pPr>
        <w:ind w:left="425" w:hanging="425"/>
      </w:pPr>
      <w:rPr>
        <w:rFonts w:hint="default"/>
      </w:rPr>
    </w:lvl>
  </w:abstractNum>
  <w:abstractNum w:abstractNumId="18">
    <w:nsid w:val="31103F09"/>
    <w:multiLevelType w:val="singleLevel"/>
    <w:tmpl w:val="31103F09"/>
    <w:lvl w:ilvl="0" w:tentative="0">
      <w:start w:val="1"/>
      <w:numFmt w:val="decimal"/>
      <w:lvlText w:val="(%1)"/>
      <w:lvlJc w:val="left"/>
      <w:pPr>
        <w:ind w:left="425" w:hanging="425"/>
      </w:pPr>
      <w:rPr>
        <w:rFonts w:hint="default"/>
      </w:rPr>
    </w:lvl>
  </w:abstractNum>
  <w:abstractNum w:abstractNumId="19">
    <w:nsid w:val="3481F6A0"/>
    <w:multiLevelType w:val="singleLevel"/>
    <w:tmpl w:val="3481F6A0"/>
    <w:lvl w:ilvl="0" w:tentative="0">
      <w:start w:val="1"/>
      <w:numFmt w:val="chineseCounting"/>
      <w:suff w:val="nothing"/>
      <w:lvlText w:val="%1、"/>
      <w:lvlJc w:val="left"/>
      <w:pPr>
        <w:ind w:left="0" w:firstLine="420"/>
      </w:pPr>
      <w:rPr>
        <w:rFonts w:hint="eastAsia"/>
      </w:rPr>
    </w:lvl>
  </w:abstractNum>
  <w:abstractNum w:abstractNumId="20">
    <w:nsid w:val="3B392214"/>
    <w:multiLevelType w:val="singleLevel"/>
    <w:tmpl w:val="3B392214"/>
    <w:lvl w:ilvl="0" w:tentative="0">
      <w:start w:val="1"/>
      <w:numFmt w:val="chineseCounting"/>
      <w:suff w:val="nothing"/>
      <w:lvlText w:val="%1、"/>
      <w:lvlJc w:val="left"/>
      <w:pPr>
        <w:ind w:left="0" w:firstLine="420"/>
      </w:pPr>
      <w:rPr>
        <w:rFonts w:hint="eastAsia"/>
      </w:rPr>
    </w:lvl>
  </w:abstractNum>
  <w:abstractNum w:abstractNumId="2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2">
    <w:nsid w:val="4404D1FE"/>
    <w:multiLevelType w:val="singleLevel"/>
    <w:tmpl w:val="4404D1FE"/>
    <w:lvl w:ilvl="0" w:tentative="0">
      <w:start w:val="1"/>
      <w:numFmt w:val="chineseCounting"/>
      <w:suff w:val="nothing"/>
      <w:lvlText w:val="(%1)"/>
      <w:lvlJc w:val="left"/>
      <w:pPr>
        <w:ind w:left="0" w:firstLine="0"/>
      </w:pPr>
      <w:rPr>
        <w:rFonts w:hint="eastAsia"/>
      </w:rPr>
    </w:lvl>
  </w:abstractNum>
  <w:abstractNum w:abstractNumId="23">
    <w:nsid w:val="4A4B8EE6"/>
    <w:multiLevelType w:val="singleLevel"/>
    <w:tmpl w:val="4A4B8EE6"/>
    <w:lvl w:ilvl="0" w:tentative="0">
      <w:start w:val="1"/>
      <w:numFmt w:val="decimal"/>
      <w:lvlText w:val="(%1)"/>
      <w:lvlJc w:val="left"/>
      <w:pPr>
        <w:ind w:left="425" w:hanging="425"/>
      </w:pPr>
      <w:rPr>
        <w:rFonts w:hint="default"/>
      </w:rPr>
    </w:lvl>
  </w:abstractNum>
  <w:abstractNum w:abstractNumId="24">
    <w:nsid w:val="4D41F85D"/>
    <w:multiLevelType w:val="singleLevel"/>
    <w:tmpl w:val="4D41F85D"/>
    <w:lvl w:ilvl="0" w:tentative="0">
      <w:start w:val="1"/>
      <w:numFmt w:val="decimal"/>
      <w:lvlText w:val="(%1)"/>
      <w:lvlJc w:val="left"/>
      <w:pPr>
        <w:ind w:left="425" w:hanging="425"/>
      </w:pPr>
      <w:rPr>
        <w:rFonts w:hint="default"/>
      </w:rPr>
    </w:lvl>
  </w:abstractNum>
  <w:abstractNum w:abstractNumId="25">
    <w:nsid w:val="568BF507"/>
    <w:multiLevelType w:val="singleLevel"/>
    <w:tmpl w:val="568BF507"/>
    <w:lvl w:ilvl="0" w:tentative="0">
      <w:start w:val="1"/>
      <w:numFmt w:val="decimal"/>
      <w:lvlText w:val="(%1)"/>
      <w:lvlJc w:val="left"/>
      <w:pPr>
        <w:ind w:left="425" w:hanging="425"/>
      </w:pPr>
      <w:rPr>
        <w:rFonts w:hint="default"/>
      </w:rPr>
    </w:lvl>
  </w:abstractNum>
  <w:abstractNum w:abstractNumId="26">
    <w:nsid w:val="592E7752"/>
    <w:multiLevelType w:val="singleLevel"/>
    <w:tmpl w:val="592E7752"/>
    <w:lvl w:ilvl="0" w:tentative="0">
      <w:start w:val="1"/>
      <w:numFmt w:val="decimal"/>
      <w:lvlText w:val="%1)"/>
      <w:lvlJc w:val="left"/>
      <w:pPr>
        <w:ind w:left="425" w:hanging="425"/>
      </w:pPr>
      <w:rPr>
        <w:rFonts w:hint="default"/>
      </w:rPr>
    </w:lvl>
  </w:abstractNum>
  <w:abstractNum w:abstractNumId="27">
    <w:nsid w:val="6149693C"/>
    <w:multiLevelType w:val="singleLevel"/>
    <w:tmpl w:val="6149693C"/>
    <w:lvl w:ilvl="0" w:tentative="0">
      <w:start w:val="1"/>
      <w:numFmt w:val="decimal"/>
      <w:lvlText w:val="(%1)"/>
      <w:lvlJc w:val="left"/>
      <w:pPr>
        <w:ind w:left="425" w:hanging="425"/>
      </w:pPr>
      <w:rPr>
        <w:rFonts w:hint="default"/>
      </w:rPr>
    </w:lvl>
  </w:abstractNum>
  <w:abstractNum w:abstractNumId="28">
    <w:nsid w:val="66ADB290"/>
    <w:multiLevelType w:val="singleLevel"/>
    <w:tmpl w:val="66ADB290"/>
    <w:lvl w:ilvl="0" w:tentative="0">
      <w:start w:val="1"/>
      <w:numFmt w:val="chineseCounting"/>
      <w:lvlText w:val="(%1)"/>
      <w:lvlJc w:val="left"/>
      <w:pPr>
        <w:tabs>
          <w:tab w:val="left" w:pos="312"/>
        </w:tabs>
        <w:ind w:left="120" w:firstLine="0"/>
      </w:pPr>
      <w:rPr>
        <w:rFonts w:hint="eastAsia"/>
      </w:rPr>
    </w:lvl>
  </w:abstractNum>
  <w:abstractNum w:abstractNumId="29">
    <w:nsid w:val="6FE1D4AC"/>
    <w:multiLevelType w:val="singleLevel"/>
    <w:tmpl w:val="6FE1D4AC"/>
    <w:lvl w:ilvl="0" w:tentative="0">
      <w:start w:val="1"/>
      <w:numFmt w:val="decimal"/>
      <w:lvlText w:val="(%1)"/>
      <w:lvlJc w:val="left"/>
      <w:pPr>
        <w:ind w:left="425" w:hanging="425"/>
      </w:pPr>
      <w:rPr>
        <w:rFonts w:hint="default"/>
      </w:rPr>
    </w:lvl>
  </w:abstractNum>
  <w:abstractNum w:abstractNumId="30">
    <w:nsid w:val="70CBFB5C"/>
    <w:multiLevelType w:val="singleLevel"/>
    <w:tmpl w:val="70CBFB5C"/>
    <w:lvl w:ilvl="0" w:tentative="0">
      <w:start w:val="1"/>
      <w:numFmt w:val="chineseCounting"/>
      <w:suff w:val="nothing"/>
      <w:lvlText w:val="(%1)"/>
      <w:lvlJc w:val="left"/>
      <w:pPr>
        <w:ind w:left="0" w:firstLine="420"/>
      </w:pPr>
      <w:rPr>
        <w:rFonts w:hint="eastAsia"/>
      </w:rPr>
    </w:lvl>
  </w:abstractNum>
  <w:abstractNum w:abstractNumId="31">
    <w:nsid w:val="71C45749"/>
    <w:multiLevelType w:val="singleLevel"/>
    <w:tmpl w:val="71C45749"/>
    <w:lvl w:ilvl="0" w:tentative="0">
      <w:start w:val="9"/>
      <w:numFmt w:val="decimal"/>
      <w:suff w:val="space"/>
      <w:lvlText w:val="%1."/>
      <w:lvlJc w:val="left"/>
    </w:lvl>
  </w:abstractNum>
  <w:abstractNum w:abstractNumId="32">
    <w:nsid w:val="79578A8E"/>
    <w:multiLevelType w:val="singleLevel"/>
    <w:tmpl w:val="79578A8E"/>
    <w:lvl w:ilvl="0" w:tentative="0">
      <w:start w:val="1"/>
      <w:numFmt w:val="decimal"/>
      <w:lvlText w:val="%1"/>
      <w:lvlJc w:val="left"/>
      <w:pPr>
        <w:tabs>
          <w:tab w:val="left" w:pos="0"/>
        </w:tabs>
        <w:ind w:left="0" w:firstLine="0"/>
      </w:pPr>
      <w:rPr>
        <w:rFonts w:hint="default"/>
      </w:rPr>
    </w:lvl>
  </w:abstractNum>
  <w:num w:numId="1">
    <w:abstractNumId w:val="11"/>
  </w:num>
  <w:num w:numId="2">
    <w:abstractNumId w:val="21"/>
  </w:num>
  <w:num w:numId="3">
    <w:abstractNumId w:val="5"/>
  </w:num>
  <w:num w:numId="4">
    <w:abstractNumId w:val="7"/>
  </w:num>
  <w:num w:numId="5">
    <w:abstractNumId w:val="4"/>
  </w:num>
  <w:num w:numId="6">
    <w:abstractNumId w:val="8"/>
  </w:num>
  <w:num w:numId="7">
    <w:abstractNumId w:val="0"/>
  </w:num>
  <w:num w:numId="8">
    <w:abstractNumId w:val="22"/>
  </w:num>
  <w:num w:numId="9">
    <w:abstractNumId w:val="32"/>
  </w:num>
  <w:num w:numId="10">
    <w:abstractNumId w:val="13"/>
  </w:num>
  <w:num w:numId="11">
    <w:abstractNumId w:val="1"/>
  </w:num>
  <w:num w:numId="12">
    <w:abstractNumId w:val="16"/>
  </w:num>
  <w:num w:numId="13">
    <w:abstractNumId w:val="10"/>
  </w:num>
  <w:num w:numId="14">
    <w:abstractNumId w:val="17"/>
  </w:num>
  <w:num w:numId="15">
    <w:abstractNumId w:val="24"/>
  </w:num>
  <w:num w:numId="16">
    <w:abstractNumId w:val="18"/>
  </w:num>
  <w:num w:numId="17">
    <w:abstractNumId w:val="29"/>
  </w:num>
  <w:num w:numId="18">
    <w:abstractNumId w:val="23"/>
  </w:num>
  <w:num w:numId="19">
    <w:abstractNumId w:val="25"/>
  </w:num>
  <w:num w:numId="20">
    <w:abstractNumId w:val="26"/>
  </w:num>
  <w:num w:numId="21">
    <w:abstractNumId w:val="9"/>
  </w:num>
  <w:num w:numId="22">
    <w:abstractNumId w:val="12"/>
  </w:num>
  <w:num w:numId="23">
    <w:abstractNumId w:val="27"/>
  </w:num>
  <w:num w:numId="24">
    <w:abstractNumId w:val="14"/>
  </w:num>
  <w:num w:numId="25">
    <w:abstractNumId w:val="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20"/>
  </w:num>
  <w:num w:numId="30">
    <w:abstractNumId w:val="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0"/>
  <w:drawingGridHorizontalSpacing w:val="2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YzA1NDIxM2U5NDM4YjdhOWYzZjU0NGUzNzdkOTgifQ=="/>
  </w:docVars>
  <w:rsids>
    <w:rsidRoot w:val="00172A27"/>
    <w:rsid w:val="0000400A"/>
    <w:rsid w:val="000168D4"/>
    <w:rsid w:val="000504D4"/>
    <w:rsid w:val="00050929"/>
    <w:rsid w:val="00071F90"/>
    <w:rsid w:val="00080967"/>
    <w:rsid w:val="00083410"/>
    <w:rsid w:val="00083A85"/>
    <w:rsid w:val="000A22EE"/>
    <w:rsid w:val="000D0D5A"/>
    <w:rsid w:val="000D7DD0"/>
    <w:rsid w:val="0010191C"/>
    <w:rsid w:val="001025A9"/>
    <w:rsid w:val="0010309E"/>
    <w:rsid w:val="0012071D"/>
    <w:rsid w:val="00127F82"/>
    <w:rsid w:val="00152049"/>
    <w:rsid w:val="00172A27"/>
    <w:rsid w:val="001747EE"/>
    <w:rsid w:val="00180AAC"/>
    <w:rsid w:val="00190708"/>
    <w:rsid w:val="001B6050"/>
    <w:rsid w:val="001C42C5"/>
    <w:rsid w:val="001C56B0"/>
    <w:rsid w:val="001E2AED"/>
    <w:rsid w:val="001E6888"/>
    <w:rsid w:val="002214E7"/>
    <w:rsid w:val="00225683"/>
    <w:rsid w:val="00234073"/>
    <w:rsid w:val="002435A0"/>
    <w:rsid w:val="00243FF7"/>
    <w:rsid w:val="00247B38"/>
    <w:rsid w:val="0025536B"/>
    <w:rsid w:val="002565E2"/>
    <w:rsid w:val="00267611"/>
    <w:rsid w:val="00282CD9"/>
    <w:rsid w:val="00290AF1"/>
    <w:rsid w:val="002B5D9A"/>
    <w:rsid w:val="002B6AE7"/>
    <w:rsid w:val="002B79CA"/>
    <w:rsid w:val="002E06BF"/>
    <w:rsid w:val="002E1A1C"/>
    <w:rsid w:val="002E5F48"/>
    <w:rsid w:val="002F05A6"/>
    <w:rsid w:val="002F3BB7"/>
    <w:rsid w:val="00315B60"/>
    <w:rsid w:val="003274CB"/>
    <w:rsid w:val="00344015"/>
    <w:rsid w:val="00346B27"/>
    <w:rsid w:val="00353E82"/>
    <w:rsid w:val="0037217C"/>
    <w:rsid w:val="00396369"/>
    <w:rsid w:val="003B2228"/>
    <w:rsid w:val="003C13E4"/>
    <w:rsid w:val="003D21F1"/>
    <w:rsid w:val="003E1DCC"/>
    <w:rsid w:val="003F4651"/>
    <w:rsid w:val="003F576F"/>
    <w:rsid w:val="00410967"/>
    <w:rsid w:val="00411E40"/>
    <w:rsid w:val="00415E21"/>
    <w:rsid w:val="00445ADF"/>
    <w:rsid w:val="0046727E"/>
    <w:rsid w:val="00482071"/>
    <w:rsid w:val="00483674"/>
    <w:rsid w:val="004861AE"/>
    <w:rsid w:val="00486D20"/>
    <w:rsid w:val="00495036"/>
    <w:rsid w:val="004A6781"/>
    <w:rsid w:val="004A7D40"/>
    <w:rsid w:val="004B4092"/>
    <w:rsid w:val="004C716A"/>
    <w:rsid w:val="004E0FDD"/>
    <w:rsid w:val="004F2F95"/>
    <w:rsid w:val="00506600"/>
    <w:rsid w:val="00526D76"/>
    <w:rsid w:val="00545344"/>
    <w:rsid w:val="00551430"/>
    <w:rsid w:val="00554499"/>
    <w:rsid w:val="00557A19"/>
    <w:rsid w:val="00570E40"/>
    <w:rsid w:val="00573162"/>
    <w:rsid w:val="005F3F05"/>
    <w:rsid w:val="0060449E"/>
    <w:rsid w:val="006058A4"/>
    <w:rsid w:val="006109FE"/>
    <w:rsid w:val="00614BF4"/>
    <w:rsid w:val="00616B6E"/>
    <w:rsid w:val="00633858"/>
    <w:rsid w:val="00670841"/>
    <w:rsid w:val="006708EE"/>
    <w:rsid w:val="006934B4"/>
    <w:rsid w:val="00694C4F"/>
    <w:rsid w:val="006B1D4C"/>
    <w:rsid w:val="006C21DD"/>
    <w:rsid w:val="006D2A98"/>
    <w:rsid w:val="006E5C03"/>
    <w:rsid w:val="006F6EF3"/>
    <w:rsid w:val="00722E70"/>
    <w:rsid w:val="00735F80"/>
    <w:rsid w:val="0074524D"/>
    <w:rsid w:val="00773B9F"/>
    <w:rsid w:val="00784579"/>
    <w:rsid w:val="00794A97"/>
    <w:rsid w:val="007B1F36"/>
    <w:rsid w:val="007D09EC"/>
    <w:rsid w:val="007E031E"/>
    <w:rsid w:val="007F300C"/>
    <w:rsid w:val="008003F4"/>
    <w:rsid w:val="008016F9"/>
    <w:rsid w:val="008062AE"/>
    <w:rsid w:val="00811328"/>
    <w:rsid w:val="00815C57"/>
    <w:rsid w:val="00815F35"/>
    <w:rsid w:val="0082614F"/>
    <w:rsid w:val="00850B71"/>
    <w:rsid w:val="0085639C"/>
    <w:rsid w:val="0087454D"/>
    <w:rsid w:val="00890D7F"/>
    <w:rsid w:val="008A0EB1"/>
    <w:rsid w:val="008A2076"/>
    <w:rsid w:val="008E659E"/>
    <w:rsid w:val="008F1529"/>
    <w:rsid w:val="008F1CB6"/>
    <w:rsid w:val="008F717E"/>
    <w:rsid w:val="008F74EB"/>
    <w:rsid w:val="00902627"/>
    <w:rsid w:val="00931981"/>
    <w:rsid w:val="00932AFD"/>
    <w:rsid w:val="00942ED3"/>
    <w:rsid w:val="00945986"/>
    <w:rsid w:val="00946F94"/>
    <w:rsid w:val="00990893"/>
    <w:rsid w:val="009C43E6"/>
    <w:rsid w:val="009D01D2"/>
    <w:rsid w:val="009E1E4F"/>
    <w:rsid w:val="009F5992"/>
    <w:rsid w:val="00A23AFB"/>
    <w:rsid w:val="00A3273B"/>
    <w:rsid w:val="00A466E6"/>
    <w:rsid w:val="00A47F1F"/>
    <w:rsid w:val="00A75A1A"/>
    <w:rsid w:val="00A837A5"/>
    <w:rsid w:val="00A92409"/>
    <w:rsid w:val="00A95C07"/>
    <w:rsid w:val="00AA51C1"/>
    <w:rsid w:val="00AB65CA"/>
    <w:rsid w:val="00AB67D8"/>
    <w:rsid w:val="00AC2F78"/>
    <w:rsid w:val="00AC5E59"/>
    <w:rsid w:val="00AC7692"/>
    <w:rsid w:val="00AF3998"/>
    <w:rsid w:val="00B07B2E"/>
    <w:rsid w:val="00B3075A"/>
    <w:rsid w:val="00B31CC3"/>
    <w:rsid w:val="00BA69F4"/>
    <w:rsid w:val="00BA6D13"/>
    <w:rsid w:val="00BB299F"/>
    <w:rsid w:val="00BE1766"/>
    <w:rsid w:val="00BF4E9E"/>
    <w:rsid w:val="00C00F81"/>
    <w:rsid w:val="00C17A63"/>
    <w:rsid w:val="00C35487"/>
    <w:rsid w:val="00C426D3"/>
    <w:rsid w:val="00C43BC1"/>
    <w:rsid w:val="00CA0AAA"/>
    <w:rsid w:val="00CD401B"/>
    <w:rsid w:val="00CD437E"/>
    <w:rsid w:val="00CD43B3"/>
    <w:rsid w:val="00CD58A7"/>
    <w:rsid w:val="00CE226F"/>
    <w:rsid w:val="00CF24E3"/>
    <w:rsid w:val="00CF53F3"/>
    <w:rsid w:val="00D174EB"/>
    <w:rsid w:val="00D23AEC"/>
    <w:rsid w:val="00D373B2"/>
    <w:rsid w:val="00D37D24"/>
    <w:rsid w:val="00D80201"/>
    <w:rsid w:val="00D827D3"/>
    <w:rsid w:val="00D87B92"/>
    <w:rsid w:val="00D87C93"/>
    <w:rsid w:val="00DA65C9"/>
    <w:rsid w:val="00DB5C76"/>
    <w:rsid w:val="00DC4298"/>
    <w:rsid w:val="00DC68DD"/>
    <w:rsid w:val="00DD654B"/>
    <w:rsid w:val="00DF10BC"/>
    <w:rsid w:val="00E04823"/>
    <w:rsid w:val="00E2173D"/>
    <w:rsid w:val="00E53568"/>
    <w:rsid w:val="00E74CE9"/>
    <w:rsid w:val="00E7539A"/>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50CDF"/>
    <w:rsid w:val="00F714C7"/>
    <w:rsid w:val="00F9177B"/>
    <w:rsid w:val="0124272A"/>
    <w:rsid w:val="01270287"/>
    <w:rsid w:val="012F2443"/>
    <w:rsid w:val="013D1C8A"/>
    <w:rsid w:val="013F0F7C"/>
    <w:rsid w:val="01425C39"/>
    <w:rsid w:val="01464694"/>
    <w:rsid w:val="015258FF"/>
    <w:rsid w:val="01782F69"/>
    <w:rsid w:val="01876A1F"/>
    <w:rsid w:val="018F03FE"/>
    <w:rsid w:val="018F5390"/>
    <w:rsid w:val="019377A3"/>
    <w:rsid w:val="01A637C0"/>
    <w:rsid w:val="01A96BB6"/>
    <w:rsid w:val="01B763DC"/>
    <w:rsid w:val="01BC53AC"/>
    <w:rsid w:val="01C91C5F"/>
    <w:rsid w:val="01CA5BE2"/>
    <w:rsid w:val="01CB3DA5"/>
    <w:rsid w:val="01CF3FF1"/>
    <w:rsid w:val="01E366FD"/>
    <w:rsid w:val="01EB2534"/>
    <w:rsid w:val="01FC0080"/>
    <w:rsid w:val="02033DDF"/>
    <w:rsid w:val="02132164"/>
    <w:rsid w:val="02195753"/>
    <w:rsid w:val="02200325"/>
    <w:rsid w:val="0224682D"/>
    <w:rsid w:val="023372E3"/>
    <w:rsid w:val="02362CC5"/>
    <w:rsid w:val="02377801"/>
    <w:rsid w:val="025417B4"/>
    <w:rsid w:val="025667FA"/>
    <w:rsid w:val="02676F4A"/>
    <w:rsid w:val="026D704D"/>
    <w:rsid w:val="02735026"/>
    <w:rsid w:val="027655B6"/>
    <w:rsid w:val="02792F82"/>
    <w:rsid w:val="02825F13"/>
    <w:rsid w:val="028430AA"/>
    <w:rsid w:val="028879D9"/>
    <w:rsid w:val="02913ED0"/>
    <w:rsid w:val="02A14D74"/>
    <w:rsid w:val="02B43DAD"/>
    <w:rsid w:val="02D15AE9"/>
    <w:rsid w:val="02DC1FED"/>
    <w:rsid w:val="02DD3DF1"/>
    <w:rsid w:val="02E247AD"/>
    <w:rsid w:val="02E3266E"/>
    <w:rsid w:val="02EA4607"/>
    <w:rsid w:val="02F71628"/>
    <w:rsid w:val="02F83A9F"/>
    <w:rsid w:val="03154438"/>
    <w:rsid w:val="031C70D4"/>
    <w:rsid w:val="0321449C"/>
    <w:rsid w:val="034128D8"/>
    <w:rsid w:val="03486A36"/>
    <w:rsid w:val="0350391F"/>
    <w:rsid w:val="035B2B6B"/>
    <w:rsid w:val="03694E2C"/>
    <w:rsid w:val="036E7CB0"/>
    <w:rsid w:val="03770FAA"/>
    <w:rsid w:val="039261BA"/>
    <w:rsid w:val="039E6195"/>
    <w:rsid w:val="03A03184"/>
    <w:rsid w:val="03C23BAF"/>
    <w:rsid w:val="03C40ABE"/>
    <w:rsid w:val="03CC4A88"/>
    <w:rsid w:val="03D60077"/>
    <w:rsid w:val="03E3449B"/>
    <w:rsid w:val="03F050BD"/>
    <w:rsid w:val="03F7077E"/>
    <w:rsid w:val="03FB00F1"/>
    <w:rsid w:val="04053316"/>
    <w:rsid w:val="04155920"/>
    <w:rsid w:val="041A2756"/>
    <w:rsid w:val="041E23EC"/>
    <w:rsid w:val="042E0EC7"/>
    <w:rsid w:val="0431295A"/>
    <w:rsid w:val="04390C0B"/>
    <w:rsid w:val="044D771D"/>
    <w:rsid w:val="044F225E"/>
    <w:rsid w:val="0453127A"/>
    <w:rsid w:val="045E4D3C"/>
    <w:rsid w:val="04671AF4"/>
    <w:rsid w:val="0467789F"/>
    <w:rsid w:val="046F52E9"/>
    <w:rsid w:val="04776383"/>
    <w:rsid w:val="047B1E84"/>
    <w:rsid w:val="04802939"/>
    <w:rsid w:val="04841778"/>
    <w:rsid w:val="04892F7A"/>
    <w:rsid w:val="04A42259"/>
    <w:rsid w:val="04B830C1"/>
    <w:rsid w:val="04BD4C76"/>
    <w:rsid w:val="04C76AD2"/>
    <w:rsid w:val="04DE5CC1"/>
    <w:rsid w:val="04E229C3"/>
    <w:rsid w:val="04E25418"/>
    <w:rsid w:val="04F37806"/>
    <w:rsid w:val="04F51041"/>
    <w:rsid w:val="04FB6CA5"/>
    <w:rsid w:val="04FF4175"/>
    <w:rsid w:val="0510106B"/>
    <w:rsid w:val="05204AF2"/>
    <w:rsid w:val="05232BB3"/>
    <w:rsid w:val="053B4CF5"/>
    <w:rsid w:val="053C2598"/>
    <w:rsid w:val="053F6F8A"/>
    <w:rsid w:val="05405F58"/>
    <w:rsid w:val="054A38E2"/>
    <w:rsid w:val="054F4444"/>
    <w:rsid w:val="05533444"/>
    <w:rsid w:val="056D77F4"/>
    <w:rsid w:val="057C1154"/>
    <w:rsid w:val="0586026D"/>
    <w:rsid w:val="05981791"/>
    <w:rsid w:val="05A37C76"/>
    <w:rsid w:val="05AA6ECF"/>
    <w:rsid w:val="05B55267"/>
    <w:rsid w:val="05BB0641"/>
    <w:rsid w:val="05BF7BE3"/>
    <w:rsid w:val="05C14E93"/>
    <w:rsid w:val="05C806EA"/>
    <w:rsid w:val="05D67331"/>
    <w:rsid w:val="05D76C05"/>
    <w:rsid w:val="05DF4C6E"/>
    <w:rsid w:val="05EE7A21"/>
    <w:rsid w:val="05F15D26"/>
    <w:rsid w:val="05F74FD6"/>
    <w:rsid w:val="06015BFD"/>
    <w:rsid w:val="064249C6"/>
    <w:rsid w:val="0644691C"/>
    <w:rsid w:val="06473E71"/>
    <w:rsid w:val="064C13DA"/>
    <w:rsid w:val="06607022"/>
    <w:rsid w:val="06640B64"/>
    <w:rsid w:val="06657762"/>
    <w:rsid w:val="066D09E8"/>
    <w:rsid w:val="066D20E0"/>
    <w:rsid w:val="06791870"/>
    <w:rsid w:val="067D6654"/>
    <w:rsid w:val="06AB7088"/>
    <w:rsid w:val="06C14990"/>
    <w:rsid w:val="06C255FB"/>
    <w:rsid w:val="06C466BB"/>
    <w:rsid w:val="06CB49BC"/>
    <w:rsid w:val="06DC4238"/>
    <w:rsid w:val="06E91B3A"/>
    <w:rsid w:val="06EB2CFE"/>
    <w:rsid w:val="06F05174"/>
    <w:rsid w:val="06F23D1E"/>
    <w:rsid w:val="06FF392B"/>
    <w:rsid w:val="07057562"/>
    <w:rsid w:val="070A306D"/>
    <w:rsid w:val="072A238A"/>
    <w:rsid w:val="072B4A05"/>
    <w:rsid w:val="072C3FB9"/>
    <w:rsid w:val="07304456"/>
    <w:rsid w:val="073B634E"/>
    <w:rsid w:val="073C2D1E"/>
    <w:rsid w:val="074B3407"/>
    <w:rsid w:val="074C58DC"/>
    <w:rsid w:val="075615A8"/>
    <w:rsid w:val="07641D0D"/>
    <w:rsid w:val="07662674"/>
    <w:rsid w:val="0767483A"/>
    <w:rsid w:val="077B378C"/>
    <w:rsid w:val="078007D7"/>
    <w:rsid w:val="07A31B05"/>
    <w:rsid w:val="07A400D4"/>
    <w:rsid w:val="07B83B14"/>
    <w:rsid w:val="07C40FCD"/>
    <w:rsid w:val="07D409C2"/>
    <w:rsid w:val="07D879E1"/>
    <w:rsid w:val="07E0507A"/>
    <w:rsid w:val="07E761B7"/>
    <w:rsid w:val="080F2BED"/>
    <w:rsid w:val="080F372F"/>
    <w:rsid w:val="081A6BAD"/>
    <w:rsid w:val="08273974"/>
    <w:rsid w:val="082A73B9"/>
    <w:rsid w:val="082F56F4"/>
    <w:rsid w:val="08372ED5"/>
    <w:rsid w:val="08400F85"/>
    <w:rsid w:val="08405798"/>
    <w:rsid w:val="08466C39"/>
    <w:rsid w:val="084D1037"/>
    <w:rsid w:val="085049F9"/>
    <w:rsid w:val="08541F2D"/>
    <w:rsid w:val="086379DD"/>
    <w:rsid w:val="08734602"/>
    <w:rsid w:val="08795873"/>
    <w:rsid w:val="08885FE3"/>
    <w:rsid w:val="08903BD8"/>
    <w:rsid w:val="08A4283A"/>
    <w:rsid w:val="08B0513C"/>
    <w:rsid w:val="08B54892"/>
    <w:rsid w:val="08BE07C4"/>
    <w:rsid w:val="08C0336E"/>
    <w:rsid w:val="08C203AB"/>
    <w:rsid w:val="08C44BBB"/>
    <w:rsid w:val="08D539E3"/>
    <w:rsid w:val="08DB73B0"/>
    <w:rsid w:val="08DE1C47"/>
    <w:rsid w:val="08DF474E"/>
    <w:rsid w:val="08E9226C"/>
    <w:rsid w:val="08EC63BA"/>
    <w:rsid w:val="08EE6DAF"/>
    <w:rsid w:val="090F449F"/>
    <w:rsid w:val="091A7CBA"/>
    <w:rsid w:val="091C32AD"/>
    <w:rsid w:val="091D71CF"/>
    <w:rsid w:val="0923288D"/>
    <w:rsid w:val="093455E9"/>
    <w:rsid w:val="093B5F9E"/>
    <w:rsid w:val="093F51ED"/>
    <w:rsid w:val="09474FBC"/>
    <w:rsid w:val="094D4667"/>
    <w:rsid w:val="09524F20"/>
    <w:rsid w:val="0957330D"/>
    <w:rsid w:val="096B20A4"/>
    <w:rsid w:val="09777DC5"/>
    <w:rsid w:val="098E57E7"/>
    <w:rsid w:val="099C06C8"/>
    <w:rsid w:val="09A50C35"/>
    <w:rsid w:val="09A5319E"/>
    <w:rsid w:val="09B024F6"/>
    <w:rsid w:val="09CC3BAD"/>
    <w:rsid w:val="09E244D3"/>
    <w:rsid w:val="09E44204"/>
    <w:rsid w:val="09EB24A2"/>
    <w:rsid w:val="09F410FD"/>
    <w:rsid w:val="0A141092"/>
    <w:rsid w:val="0A18215B"/>
    <w:rsid w:val="0A1C206E"/>
    <w:rsid w:val="0A1F3AFB"/>
    <w:rsid w:val="0A2F6CE6"/>
    <w:rsid w:val="0A3D4730"/>
    <w:rsid w:val="0A406793"/>
    <w:rsid w:val="0A4F2112"/>
    <w:rsid w:val="0A562EAD"/>
    <w:rsid w:val="0A5D3D18"/>
    <w:rsid w:val="0A805ABD"/>
    <w:rsid w:val="0A88671B"/>
    <w:rsid w:val="0A941E7B"/>
    <w:rsid w:val="0A956EE9"/>
    <w:rsid w:val="0ABE76EC"/>
    <w:rsid w:val="0ABF45E0"/>
    <w:rsid w:val="0AC9163F"/>
    <w:rsid w:val="0AD029E3"/>
    <w:rsid w:val="0AD20D78"/>
    <w:rsid w:val="0AD33E3F"/>
    <w:rsid w:val="0AD95FEE"/>
    <w:rsid w:val="0AE101D7"/>
    <w:rsid w:val="0AEB1D55"/>
    <w:rsid w:val="0AEF28BE"/>
    <w:rsid w:val="0B030A0E"/>
    <w:rsid w:val="0B0C10FF"/>
    <w:rsid w:val="0B116715"/>
    <w:rsid w:val="0B165FCB"/>
    <w:rsid w:val="0B1B76AB"/>
    <w:rsid w:val="0B1C4A51"/>
    <w:rsid w:val="0B373A25"/>
    <w:rsid w:val="0B43484C"/>
    <w:rsid w:val="0B470389"/>
    <w:rsid w:val="0B490628"/>
    <w:rsid w:val="0B4D084E"/>
    <w:rsid w:val="0B5001FD"/>
    <w:rsid w:val="0B5D62E7"/>
    <w:rsid w:val="0B5E6C1B"/>
    <w:rsid w:val="0B7C78A1"/>
    <w:rsid w:val="0B81389B"/>
    <w:rsid w:val="0B936E8C"/>
    <w:rsid w:val="0B94665C"/>
    <w:rsid w:val="0B9B3CCE"/>
    <w:rsid w:val="0B9D5FFB"/>
    <w:rsid w:val="0BA216A9"/>
    <w:rsid w:val="0BA62356"/>
    <w:rsid w:val="0BB71100"/>
    <w:rsid w:val="0BCF0D6E"/>
    <w:rsid w:val="0BDC4041"/>
    <w:rsid w:val="0BDD0790"/>
    <w:rsid w:val="0BDD4638"/>
    <w:rsid w:val="0BDD4A52"/>
    <w:rsid w:val="0BE1120F"/>
    <w:rsid w:val="0BEB6ADB"/>
    <w:rsid w:val="0BF5093F"/>
    <w:rsid w:val="0C095932"/>
    <w:rsid w:val="0C0D7E74"/>
    <w:rsid w:val="0C154760"/>
    <w:rsid w:val="0C166DCE"/>
    <w:rsid w:val="0C2F3F2C"/>
    <w:rsid w:val="0C4D5452"/>
    <w:rsid w:val="0C593A85"/>
    <w:rsid w:val="0C6658D4"/>
    <w:rsid w:val="0C670CE3"/>
    <w:rsid w:val="0C6A4177"/>
    <w:rsid w:val="0C6F19E1"/>
    <w:rsid w:val="0C6F3B75"/>
    <w:rsid w:val="0C7927C4"/>
    <w:rsid w:val="0C815C13"/>
    <w:rsid w:val="0C841CF8"/>
    <w:rsid w:val="0C8C56BB"/>
    <w:rsid w:val="0CA53F3A"/>
    <w:rsid w:val="0CA87886"/>
    <w:rsid w:val="0CAF57CC"/>
    <w:rsid w:val="0CB137D7"/>
    <w:rsid w:val="0CC06DC6"/>
    <w:rsid w:val="0CC12374"/>
    <w:rsid w:val="0CD914B5"/>
    <w:rsid w:val="0CDC30C8"/>
    <w:rsid w:val="0CE94F94"/>
    <w:rsid w:val="0CED067B"/>
    <w:rsid w:val="0CF91DC6"/>
    <w:rsid w:val="0CFC6488"/>
    <w:rsid w:val="0D1158BC"/>
    <w:rsid w:val="0D1D5BF4"/>
    <w:rsid w:val="0D2E7CDA"/>
    <w:rsid w:val="0D4A61F6"/>
    <w:rsid w:val="0D4C30B2"/>
    <w:rsid w:val="0D5A4C9D"/>
    <w:rsid w:val="0D5E127F"/>
    <w:rsid w:val="0D636535"/>
    <w:rsid w:val="0D670671"/>
    <w:rsid w:val="0D772EB1"/>
    <w:rsid w:val="0D790005"/>
    <w:rsid w:val="0D793F75"/>
    <w:rsid w:val="0D8323B8"/>
    <w:rsid w:val="0D8D3FD0"/>
    <w:rsid w:val="0D947DEF"/>
    <w:rsid w:val="0D9960F6"/>
    <w:rsid w:val="0D9B3836"/>
    <w:rsid w:val="0D9D017D"/>
    <w:rsid w:val="0DA76BB1"/>
    <w:rsid w:val="0DB12C7D"/>
    <w:rsid w:val="0DB87064"/>
    <w:rsid w:val="0DD37D4F"/>
    <w:rsid w:val="0DE95727"/>
    <w:rsid w:val="0E0407B3"/>
    <w:rsid w:val="0E0A6F36"/>
    <w:rsid w:val="0E105F97"/>
    <w:rsid w:val="0E1D4C94"/>
    <w:rsid w:val="0E1E01D2"/>
    <w:rsid w:val="0E1E7E94"/>
    <w:rsid w:val="0E237ECF"/>
    <w:rsid w:val="0E2641C1"/>
    <w:rsid w:val="0E2C57A6"/>
    <w:rsid w:val="0E2E6DDF"/>
    <w:rsid w:val="0E35704F"/>
    <w:rsid w:val="0E3B4AAC"/>
    <w:rsid w:val="0E444E25"/>
    <w:rsid w:val="0E4528EE"/>
    <w:rsid w:val="0E463F6A"/>
    <w:rsid w:val="0E477367"/>
    <w:rsid w:val="0E4E095A"/>
    <w:rsid w:val="0E533A22"/>
    <w:rsid w:val="0E5400D2"/>
    <w:rsid w:val="0E5D50FC"/>
    <w:rsid w:val="0E5E0B3E"/>
    <w:rsid w:val="0E686F94"/>
    <w:rsid w:val="0E7E68A9"/>
    <w:rsid w:val="0E8D2FCC"/>
    <w:rsid w:val="0E9944EA"/>
    <w:rsid w:val="0EA16002"/>
    <w:rsid w:val="0EAA08C9"/>
    <w:rsid w:val="0EB331E4"/>
    <w:rsid w:val="0EB5186D"/>
    <w:rsid w:val="0EC17605"/>
    <w:rsid w:val="0EC87A33"/>
    <w:rsid w:val="0ED2201C"/>
    <w:rsid w:val="0ED45063"/>
    <w:rsid w:val="0EE63A83"/>
    <w:rsid w:val="0EFC25AB"/>
    <w:rsid w:val="0F090320"/>
    <w:rsid w:val="0F3D3F7D"/>
    <w:rsid w:val="0F3E4FBF"/>
    <w:rsid w:val="0F4527B9"/>
    <w:rsid w:val="0F452E31"/>
    <w:rsid w:val="0F4672D5"/>
    <w:rsid w:val="0F552295"/>
    <w:rsid w:val="0F555D3E"/>
    <w:rsid w:val="0F651BD0"/>
    <w:rsid w:val="0F7331B1"/>
    <w:rsid w:val="0F8216A0"/>
    <w:rsid w:val="0F830CF9"/>
    <w:rsid w:val="0F8807D3"/>
    <w:rsid w:val="0F985025"/>
    <w:rsid w:val="0F9F270E"/>
    <w:rsid w:val="0FA43FFC"/>
    <w:rsid w:val="0FA64FD7"/>
    <w:rsid w:val="0FA715B7"/>
    <w:rsid w:val="0FA73009"/>
    <w:rsid w:val="0FAB0735"/>
    <w:rsid w:val="0FAB73CF"/>
    <w:rsid w:val="0FB01CCD"/>
    <w:rsid w:val="0FBA136E"/>
    <w:rsid w:val="0FBE1DA0"/>
    <w:rsid w:val="0FC67596"/>
    <w:rsid w:val="0FD23538"/>
    <w:rsid w:val="0FD9066E"/>
    <w:rsid w:val="0FEA7956"/>
    <w:rsid w:val="0FF2619D"/>
    <w:rsid w:val="10002E78"/>
    <w:rsid w:val="100A088B"/>
    <w:rsid w:val="101E557F"/>
    <w:rsid w:val="10220902"/>
    <w:rsid w:val="10287488"/>
    <w:rsid w:val="1030329B"/>
    <w:rsid w:val="107921C2"/>
    <w:rsid w:val="107E07FE"/>
    <w:rsid w:val="108B5C75"/>
    <w:rsid w:val="10927871"/>
    <w:rsid w:val="109B2457"/>
    <w:rsid w:val="10A86948"/>
    <w:rsid w:val="10BD4B6E"/>
    <w:rsid w:val="10C573E3"/>
    <w:rsid w:val="10C85AC8"/>
    <w:rsid w:val="10CE0DC3"/>
    <w:rsid w:val="10E55858"/>
    <w:rsid w:val="10E8122E"/>
    <w:rsid w:val="10E86263"/>
    <w:rsid w:val="10F16B8E"/>
    <w:rsid w:val="10F84BC2"/>
    <w:rsid w:val="11002024"/>
    <w:rsid w:val="1101215E"/>
    <w:rsid w:val="110257B8"/>
    <w:rsid w:val="1107086A"/>
    <w:rsid w:val="110856FF"/>
    <w:rsid w:val="112673D2"/>
    <w:rsid w:val="11272A81"/>
    <w:rsid w:val="11343C71"/>
    <w:rsid w:val="11382C4E"/>
    <w:rsid w:val="1140061F"/>
    <w:rsid w:val="11511756"/>
    <w:rsid w:val="11603F53"/>
    <w:rsid w:val="1166278E"/>
    <w:rsid w:val="11713460"/>
    <w:rsid w:val="118151C6"/>
    <w:rsid w:val="118D64B8"/>
    <w:rsid w:val="11933940"/>
    <w:rsid w:val="11A3453B"/>
    <w:rsid w:val="11B13A44"/>
    <w:rsid w:val="11B64B9D"/>
    <w:rsid w:val="11C20BF7"/>
    <w:rsid w:val="11C34C5A"/>
    <w:rsid w:val="11C40985"/>
    <w:rsid w:val="11CB3AC2"/>
    <w:rsid w:val="11D7281B"/>
    <w:rsid w:val="11D93657"/>
    <w:rsid w:val="11E62926"/>
    <w:rsid w:val="11E7019B"/>
    <w:rsid w:val="11F403EF"/>
    <w:rsid w:val="12041F1C"/>
    <w:rsid w:val="12227131"/>
    <w:rsid w:val="12614426"/>
    <w:rsid w:val="126F5ED9"/>
    <w:rsid w:val="1299328B"/>
    <w:rsid w:val="12A04B9A"/>
    <w:rsid w:val="12A30DA6"/>
    <w:rsid w:val="12AB396B"/>
    <w:rsid w:val="12AC4134"/>
    <w:rsid w:val="12BB251A"/>
    <w:rsid w:val="12C23A7C"/>
    <w:rsid w:val="12D37006"/>
    <w:rsid w:val="12D919C1"/>
    <w:rsid w:val="12E26208"/>
    <w:rsid w:val="12E363B9"/>
    <w:rsid w:val="12E94BA8"/>
    <w:rsid w:val="12F24CAC"/>
    <w:rsid w:val="12F55F70"/>
    <w:rsid w:val="13022F10"/>
    <w:rsid w:val="130A3353"/>
    <w:rsid w:val="131B0C66"/>
    <w:rsid w:val="13264D07"/>
    <w:rsid w:val="132E40E1"/>
    <w:rsid w:val="13380869"/>
    <w:rsid w:val="13467004"/>
    <w:rsid w:val="13755EB2"/>
    <w:rsid w:val="137A4031"/>
    <w:rsid w:val="137D70FF"/>
    <w:rsid w:val="137F7883"/>
    <w:rsid w:val="138651E7"/>
    <w:rsid w:val="13877DCB"/>
    <w:rsid w:val="13887B1A"/>
    <w:rsid w:val="1397460F"/>
    <w:rsid w:val="139F2E5E"/>
    <w:rsid w:val="139F5206"/>
    <w:rsid w:val="13A336E2"/>
    <w:rsid w:val="13A35911"/>
    <w:rsid w:val="13A47BFE"/>
    <w:rsid w:val="13B773EB"/>
    <w:rsid w:val="13C4002F"/>
    <w:rsid w:val="13E67824"/>
    <w:rsid w:val="13ED6898"/>
    <w:rsid w:val="140C24C6"/>
    <w:rsid w:val="14166484"/>
    <w:rsid w:val="14197E9B"/>
    <w:rsid w:val="14242A9B"/>
    <w:rsid w:val="14293FDD"/>
    <w:rsid w:val="142A083B"/>
    <w:rsid w:val="14335E33"/>
    <w:rsid w:val="143D057B"/>
    <w:rsid w:val="145D7218"/>
    <w:rsid w:val="14663754"/>
    <w:rsid w:val="14703650"/>
    <w:rsid w:val="1470604A"/>
    <w:rsid w:val="14857BC8"/>
    <w:rsid w:val="148A09EC"/>
    <w:rsid w:val="1492143F"/>
    <w:rsid w:val="14BE3BD0"/>
    <w:rsid w:val="14C8714B"/>
    <w:rsid w:val="14CF2CA5"/>
    <w:rsid w:val="14D53920"/>
    <w:rsid w:val="14DE58BA"/>
    <w:rsid w:val="14E36FB1"/>
    <w:rsid w:val="14E60E10"/>
    <w:rsid w:val="14F71157"/>
    <w:rsid w:val="15072773"/>
    <w:rsid w:val="151D60E3"/>
    <w:rsid w:val="1530340C"/>
    <w:rsid w:val="15443470"/>
    <w:rsid w:val="15504583"/>
    <w:rsid w:val="155D44F6"/>
    <w:rsid w:val="1568195A"/>
    <w:rsid w:val="156825AE"/>
    <w:rsid w:val="157648A9"/>
    <w:rsid w:val="157D25F1"/>
    <w:rsid w:val="158013B3"/>
    <w:rsid w:val="15820A4C"/>
    <w:rsid w:val="15897466"/>
    <w:rsid w:val="158D4B66"/>
    <w:rsid w:val="159D2AA8"/>
    <w:rsid w:val="15A42374"/>
    <w:rsid w:val="15BC3A0F"/>
    <w:rsid w:val="15BC5826"/>
    <w:rsid w:val="15CF3C06"/>
    <w:rsid w:val="15CF6FF0"/>
    <w:rsid w:val="15E40909"/>
    <w:rsid w:val="15E64801"/>
    <w:rsid w:val="15F97B47"/>
    <w:rsid w:val="16056E9F"/>
    <w:rsid w:val="16071DD9"/>
    <w:rsid w:val="160C2197"/>
    <w:rsid w:val="160C5D02"/>
    <w:rsid w:val="16184098"/>
    <w:rsid w:val="161F7166"/>
    <w:rsid w:val="16290D5F"/>
    <w:rsid w:val="16290DB7"/>
    <w:rsid w:val="162C4C37"/>
    <w:rsid w:val="163409FD"/>
    <w:rsid w:val="164925E6"/>
    <w:rsid w:val="16564ED8"/>
    <w:rsid w:val="16585429"/>
    <w:rsid w:val="16695F27"/>
    <w:rsid w:val="166B2C03"/>
    <w:rsid w:val="166B2D98"/>
    <w:rsid w:val="166C0BAE"/>
    <w:rsid w:val="167A093E"/>
    <w:rsid w:val="167E6CA3"/>
    <w:rsid w:val="167F4B95"/>
    <w:rsid w:val="16907DB2"/>
    <w:rsid w:val="16972B76"/>
    <w:rsid w:val="169D0E74"/>
    <w:rsid w:val="16A0455F"/>
    <w:rsid w:val="16B06E12"/>
    <w:rsid w:val="16BD04E5"/>
    <w:rsid w:val="16C75097"/>
    <w:rsid w:val="16D13817"/>
    <w:rsid w:val="16DC22CD"/>
    <w:rsid w:val="16E21427"/>
    <w:rsid w:val="16F30190"/>
    <w:rsid w:val="16F46161"/>
    <w:rsid w:val="17033117"/>
    <w:rsid w:val="170C751B"/>
    <w:rsid w:val="17113645"/>
    <w:rsid w:val="17174AB2"/>
    <w:rsid w:val="171A1FB8"/>
    <w:rsid w:val="172F59B8"/>
    <w:rsid w:val="17366FA0"/>
    <w:rsid w:val="173C59AC"/>
    <w:rsid w:val="173F20E2"/>
    <w:rsid w:val="17632BD5"/>
    <w:rsid w:val="176B0284"/>
    <w:rsid w:val="177F62FA"/>
    <w:rsid w:val="17846E24"/>
    <w:rsid w:val="178E0BAF"/>
    <w:rsid w:val="179775E8"/>
    <w:rsid w:val="179F3A6F"/>
    <w:rsid w:val="17BB3C94"/>
    <w:rsid w:val="17C271C7"/>
    <w:rsid w:val="17C931A5"/>
    <w:rsid w:val="17DF2075"/>
    <w:rsid w:val="17E25684"/>
    <w:rsid w:val="17EF62A3"/>
    <w:rsid w:val="17F16C3F"/>
    <w:rsid w:val="17F54509"/>
    <w:rsid w:val="17FA253A"/>
    <w:rsid w:val="18071145"/>
    <w:rsid w:val="180D1861"/>
    <w:rsid w:val="18155CB9"/>
    <w:rsid w:val="18212523"/>
    <w:rsid w:val="1824021D"/>
    <w:rsid w:val="182727AA"/>
    <w:rsid w:val="182C3C1D"/>
    <w:rsid w:val="18690252"/>
    <w:rsid w:val="186A253C"/>
    <w:rsid w:val="186F457F"/>
    <w:rsid w:val="187602DD"/>
    <w:rsid w:val="18764A71"/>
    <w:rsid w:val="18782953"/>
    <w:rsid w:val="18921538"/>
    <w:rsid w:val="189C164E"/>
    <w:rsid w:val="189E12C3"/>
    <w:rsid w:val="189E32A4"/>
    <w:rsid w:val="18BD055D"/>
    <w:rsid w:val="18C04A46"/>
    <w:rsid w:val="18C4037B"/>
    <w:rsid w:val="18D13410"/>
    <w:rsid w:val="18D764B0"/>
    <w:rsid w:val="18D92B7A"/>
    <w:rsid w:val="18DE3F5F"/>
    <w:rsid w:val="18FF308F"/>
    <w:rsid w:val="19065C33"/>
    <w:rsid w:val="19134FE0"/>
    <w:rsid w:val="19257F5C"/>
    <w:rsid w:val="192617BF"/>
    <w:rsid w:val="19263C11"/>
    <w:rsid w:val="19292464"/>
    <w:rsid w:val="192C1E30"/>
    <w:rsid w:val="19364034"/>
    <w:rsid w:val="194B6D06"/>
    <w:rsid w:val="19580F07"/>
    <w:rsid w:val="196C060A"/>
    <w:rsid w:val="197226D6"/>
    <w:rsid w:val="197B045A"/>
    <w:rsid w:val="19911370"/>
    <w:rsid w:val="19A05B09"/>
    <w:rsid w:val="19A60597"/>
    <w:rsid w:val="19A748CE"/>
    <w:rsid w:val="19B53F29"/>
    <w:rsid w:val="19BB4AC7"/>
    <w:rsid w:val="19D51CA0"/>
    <w:rsid w:val="19ED1019"/>
    <w:rsid w:val="19F30FD0"/>
    <w:rsid w:val="1A084634"/>
    <w:rsid w:val="1A0931E6"/>
    <w:rsid w:val="1A0B22C7"/>
    <w:rsid w:val="1A1D39FB"/>
    <w:rsid w:val="1A1E49AB"/>
    <w:rsid w:val="1A296C44"/>
    <w:rsid w:val="1A2C6661"/>
    <w:rsid w:val="1A33410B"/>
    <w:rsid w:val="1A3D4066"/>
    <w:rsid w:val="1A416EE2"/>
    <w:rsid w:val="1A422421"/>
    <w:rsid w:val="1A4C61D9"/>
    <w:rsid w:val="1A5846A0"/>
    <w:rsid w:val="1A5B75BD"/>
    <w:rsid w:val="1A5C1E8C"/>
    <w:rsid w:val="1A684E92"/>
    <w:rsid w:val="1A6B77DC"/>
    <w:rsid w:val="1A872550"/>
    <w:rsid w:val="1A8A4647"/>
    <w:rsid w:val="1A8C7621"/>
    <w:rsid w:val="1A9723B6"/>
    <w:rsid w:val="1AA34AA6"/>
    <w:rsid w:val="1AA93183"/>
    <w:rsid w:val="1AAC781B"/>
    <w:rsid w:val="1AB33345"/>
    <w:rsid w:val="1AB44A07"/>
    <w:rsid w:val="1AD35741"/>
    <w:rsid w:val="1AD41623"/>
    <w:rsid w:val="1ADA1B4E"/>
    <w:rsid w:val="1ADC6D49"/>
    <w:rsid w:val="1AED05E1"/>
    <w:rsid w:val="1AF00F47"/>
    <w:rsid w:val="1AF046CF"/>
    <w:rsid w:val="1AF34F93"/>
    <w:rsid w:val="1B074284"/>
    <w:rsid w:val="1B1A7868"/>
    <w:rsid w:val="1B226840"/>
    <w:rsid w:val="1B240A90"/>
    <w:rsid w:val="1B24725D"/>
    <w:rsid w:val="1B2B048F"/>
    <w:rsid w:val="1B301CAE"/>
    <w:rsid w:val="1B4072CF"/>
    <w:rsid w:val="1B43727C"/>
    <w:rsid w:val="1B4D4C2F"/>
    <w:rsid w:val="1B51525C"/>
    <w:rsid w:val="1B5752AC"/>
    <w:rsid w:val="1B67625B"/>
    <w:rsid w:val="1B6B336B"/>
    <w:rsid w:val="1B7E4376"/>
    <w:rsid w:val="1B8F3DB2"/>
    <w:rsid w:val="1B9369D7"/>
    <w:rsid w:val="1B977AE0"/>
    <w:rsid w:val="1B99214E"/>
    <w:rsid w:val="1B9E5564"/>
    <w:rsid w:val="1BA477C3"/>
    <w:rsid w:val="1BAF5377"/>
    <w:rsid w:val="1BBA0045"/>
    <w:rsid w:val="1BBC447B"/>
    <w:rsid w:val="1BC739A1"/>
    <w:rsid w:val="1BCB3B13"/>
    <w:rsid w:val="1BD143CB"/>
    <w:rsid w:val="1BDB05DD"/>
    <w:rsid w:val="1C0F507F"/>
    <w:rsid w:val="1C19483C"/>
    <w:rsid w:val="1C1C6D9C"/>
    <w:rsid w:val="1C1D7370"/>
    <w:rsid w:val="1C205BA6"/>
    <w:rsid w:val="1C213008"/>
    <w:rsid w:val="1C231D73"/>
    <w:rsid w:val="1C2E790B"/>
    <w:rsid w:val="1C346708"/>
    <w:rsid w:val="1C347AE7"/>
    <w:rsid w:val="1C3709C2"/>
    <w:rsid w:val="1C454A56"/>
    <w:rsid w:val="1C5221E9"/>
    <w:rsid w:val="1C691CFF"/>
    <w:rsid w:val="1C73352D"/>
    <w:rsid w:val="1C7F0A0D"/>
    <w:rsid w:val="1C883EE2"/>
    <w:rsid w:val="1C8A5704"/>
    <w:rsid w:val="1C8B5500"/>
    <w:rsid w:val="1C901B90"/>
    <w:rsid w:val="1C993644"/>
    <w:rsid w:val="1C9C1E2E"/>
    <w:rsid w:val="1CA30814"/>
    <w:rsid w:val="1CA411B8"/>
    <w:rsid w:val="1CA91C58"/>
    <w:rsid w:val="1CB533A4"/>
    <w:rsid w:val="1CCB2810"/>
    <w:rsid w:val="1CD11261"/>
    <w:rsid w:val="1CF333E6"/>
    <w:rsid w:val="1CF33ECD"/>
    <w:rsid w:val="1D0565E2"/>
    <w:rsid w:val="1D1C1676"/>
    <w:rsid w:val="1D2122A1"/>
    <w:rsid w:val="1D2357FD"/>
    <w:rsid w:val="1D2D51F1"/>
    <w:rsid w:val="1D37486F"/>
    <w:rsid w:val="1D3A1AFC"/>
    <w:rsid w:val="1D415466"/>
    <w:rsid w:val="1D42071E"/>
    <w:rsid w:val="1D4856D1"/>
    <w:rsid w:val="1D4A2717"/>
    <w:rsid w:val="1D4C35F1"/>
    <w:rsid w:val="1D677324"/>
    <w:rsid w:val="1D6E2D29"/>
    <w:rsid w:val="1D727114"/>
    <w:rsid w:val="1D7B63DC"/>
    <w:rsid w:val="1D7D06A7"/>
    <w:rsid w:val="1D8C6A7E"/>
    <w:rsid w:val="1D8E167F"/>
    <w:rsid w:val="1DA95AA9"/>
    <w:rsid w:val="1DAE7561"/>
    <w:rsid w:val="1DB95872"/>
    <w:rsid w:val="1DC15568"/>
    <w:rsid w:val="1DC77F7C"/>
    <w:rsid w:val="1DD0335C"/>
    <w:rsid w:val="1DD620D3"/>
    <w:rsid w:val="1DD67B8A"/>
    <w:rsid w:val="1DFB2A4C"/>
    <w:rsid w:val="1DFC3B16"/>
    <w:rsid w:val="1E1E21E7"/>
    <w:rsid w:val="1E211314"/>
    <w:rsid w:val="1E246B60"/>
    <w:rsid w:val="1E2566DA"/>
    <w:rsid w:val="1E2D48C4"/>
    <w:rsid w:val="1E32366D"/>
    <w:rsid w:val="1E400D8A"/>
    <w:rsid w:val="1E510853"/>
    <w:rsid w:val="1E635018"/>
    <w:rsid w:val="1E793163"/>
    <w:rsid w:val="1E814CED"/>
    <w:rsid w:val="1E845724"/>
    <w:rsid w:val="1E8469F9"/>
    <w:rsid w:val="1E9C5BFF"/>
    <w:rsid w:val="1E9F2157"/>
    <w:rsid w:val="1EAB66A5"/>
    <w:rsid w:val="1EBC01B9"/>
    <w:rsid w:val="1EBC3704"/>
    <w:rsid w:val="1ECC3FFD"/>
    <w:rsid w:val="1ED2384F"/>
    <w:rsid w:val="1EDB5C44"/>
    <w:rsid w:val="1EDD43FA"/>
    <w:rsid w:val="1EDF476D"/>
    <w:rsid w:val="1EE75CB3"/>
    <w:rsid w:val="1EEA697A"/>
    <w:rsid w:val="1EEC0C5C"/>
    <w:rsid w:val="1F176E60"/>
    <w:rsid w:val="1F3660F5"/>
    <w:rsid w:val="1F37018C"/>
    <w:rsid w:val="1F416424"/>
    <w:rsid w:val="1F454B5A"/>
    <w:rsid w:val="1F51433D"/>
    <w:rsid w:val="1F5500CB"/>
    <w:rsid w:val="1F666BD8"/>
    <w:rsid w:val="1F7E00E0"/>
    <w:rsid w:val="1F9A340A"/>
    <w:rsid w:val="1FA76EBF"/>
    <w:rsid w:val="1FAB0412"/>
    <w:rsid w:val="1FB137CD"/>
    <w:rsid w:val="1FB31A5F"/>
    <w:rsid w:val="1FC97C87"/>
    <w:rsid w:val="1FCC023A"/>
    <w:rsid w:val="1FCE4A48"/>
    <w:rsid w:val="1FDE3F49"/>
    <w:rsid w:val="1FE933AA"/>
    <w:rsid w:val="1FF468DA"/>
    <w:rsid w:val="1FFA4D64"/>
    <w:rsid w:val="201051B9"/>
    <w:rsid w:val="20225D93"/>
    <w:rsid w:val="203856BA"/>
    <w:rsid w:val="2040794E"/>
    <w:rsid w:val="20444842"/>
    <w:rsid w:val="20460DDC"/>
    <w:rsid w:val="204D6F6C"/>
    <w:rsid w:val="20506C8E"/>
    <w:rsid w:val="20675240"/>
    <w:rsid w:val="206A11BC"/>
    <w:rsid w:val="207F43D9"/>
    <w:rsid w:val="2089798B"/>
    <w:rsid w:val="209128E5"/>
    <w:rsid w:val="2093428B"/>
    <w:rsid w:val="20A84AFD"/>
    <w:rsid w:val="20B00A88"/>
    <w:rsid w:val="20B336D0"/>
    <w:rsid w:val="20BA4290"/>
    <w:rsid w:val="20DA452F"/>
    <w:rsid w:val="20E40D06"/>
    <w:rsid w:val="20E70DDA"/>
    <w:rsid w:val="20E86C6F"/>
    <w:rsid w:val="20EE5292"/>
    <w:rsid w:val="20EE7A98"/>
    <w:rsid w:val="20F012DA"/>
    <w:rsid w:val="20F91B22"/>
    <w:rsid w:val="2102118F"/>
    <w:rsid w:val="210643F0"/>
    <w:rsid w:val="21097648"/>
    <w:rsid w:val="21126A1E"/>
    <w:rsid w:val="211A3117"/>
    <w:rsid w:val="211D6ED8"/>
    <w:rsid w:val="21213B93"/>
    <w:rsid w:val="212A1E87"/>
    <w:rsid w:val="21365E4F"/>
    <w:rsid w:val="213D6F08"/>
    <w:rsid w:val="21432762"/>
    <w:rsid w:val="215F5D66"/>
    <w:rsid w:val="216B585E"/>
    <w:rsid w:val="219B228D"/>
    <w:rsid w:val="219C7087"/>
    <w:rsid w:val="219D2205"/>
    <w:rsid w:val="21A2770F"/>
    <w:rsid w:val="21AF4DC3"/>
    <w:rsid w:val="21C06F92"/>
    <w:rsid w:val="21C84E9E"/>
    <w:rsid w:val="21CB5CF6"/>
    <w:rsid w:val="21D7058F"/>
    <w:rsid w:val="21DE519D"/>
    <w:rsid w:val="21E5632B"/>
    <w:rsid w:val="21F143E4"/>
    <w:rsid w:val="21F718D2"/>
    <w:rsid w:val="21FA3ADC"/>
    <w:rsid w:val="220643AF"/>
    <w:rsid w:val="22077889"/>
    <w:rsid w:val="220D6897"/>
    <w:rsid w:val="22104944"/>
    <w:rsid w:val="22121D33"/>
    <w:rsid w:val="22123F7B"/>
    <w:rsid w:val="2214460E"/>
    <w:rsid w:val="2225695B"/>
    <w:rsid w:val="222B4A26"/>
    <w:rsid w:val="223C6262"/>
    <w:rsid w:val="224320F7"/>
    <w:rsid w:val="224C1EE4"/>
    <w:rsid w:val="224E5006"/>
    <w:rsid w:val="225F71CC"/>
    <w:rsid w:val="226E0F46"/>
    <w:rsid w:val="22715FC0"/>
    <w:rsid w:val="227C19E6"/>
    <w:rsid w:val="228026A7"/>
    <w:rsid w:val="22851A6B"/>
    <w:rsid w:val="22872B3F"/>
    <w:rsid w:val="228B7D1B"/>
    <w:rsid w:val="228E4B75"/>
    <w:rsid w:val="22983E3C"/>
    <w:rsid w:val="22BB1853"/>
    <w:rsid w:val="22BF3A8F"/>
    <w:rsid w:val="22C95D7E"/>
    <w:rsid w:val="22D700DE"/>
    <w:rsid w:val="22EE7034"/>
    <w:rsid w:val="230B1926"/>
    <w:rsid w:val="230F68BD"/>
    <w:rsid w:val="231B17F9"/>
    <w:rsid w:val="231E341B"/>
    <w:rsid w:val="23375076"/>
    <w:rsid w:val="233A304E"/>
    <w:rsid w:val="235511EA"/>
    <w:rsid w:val="23690609"/>
    <w:rsid w:val="23740102"/>
    <w:rsid w:val="237A3E4E"/>
    <w:rsid w:val="237E1230"/>
    <w:rsid w:val="238A29AB"/>
    <w:rsid w:val="238D5BB8"/>
    <w:rsid w:val="238F40D9"/>
    <w:rsid w:val="23933508"/>
    <w:rsid w:val="239504D4"/>
    <w:rsid w:val="23950A3C"/>
    <w:rsid w:val="23990E38"/>
    <w:rsid w:val="23A1473E"/>
    <w:rsid w:val="23A82B6D"/>
    <w:rsid w:val="23A92C60"/>
    <w:rsid w:val="23AF6CA6"/>
    <w:rsid w:val="23B03FD9"/>
    <w:rsid w:val="23BA7F5A"/>
    <w:rsid w:val="23C13739"/>
    <w:rsid w:val="23C656FB"/>
    <w:rsid w:val="23E11DA2"/>
    <w:rsid w:val="23E235B0"/>
    <w:rsid w:val="23F50E6E"/>
    <w:rsid w:val="24044813"/>
    <w:rsid w:val="241B640B"/>
    <w:rsid w:val="2428389C"/>
    <w:rsid w:val="242D5F16"/>
    <w:rsid w:val="2439617A"/>
    <w:rsid w:val="245005B3"/>
    <w:rsid w:val="24661A7D"/>
    <w:rsid w:val="247B7973"/>
    <w:rsid w:val="248D4A26"/>
    <w:rsid w:val="24940315"/>
    <w:rsid w:val="249604BE"/>
    <w:rsid w:val="24A31E88"/>
    <w:rsid w:val="24C504EE"/>
    <w:rsid w:val="24C91853"/>
    <w:rsid w:val="24D14521"/>
    <w:rsid w:val="24D43A70"/>
    <w:rsid w:val="24E164AF"/>
    <w:rsid w:val="24E41B08"/>
    <w:rsid w:val="24E65466"/>
    <w:rsid w:val="24E944A8"/>
    <w:rsid w:val="24EA2059"/>
    <w:rsid w:val="24F61130"/>
    <w:rsid w:val="24FA131E"/>
    <w:rsid w:val="24FC5064"/>
    <w:rsid w:val="250B6C88"/>
    <w:rsid w:val="250D16FB"/>
    <w:rsid w:val="25207316"/>
    <w:rsid w:val="25261FA7"/>
    <w:rsid w:val="25280D33"/>
    <w:rsid w:val="252E7B0D"/>
    <w:rsid w:val="25373204"/>
    <w:rsid w:val="253A1C68"/>
    <w:rsid w:val="253C7281"/>
    <w:rsid w:val="255A4BBE"/>
    <w:rsid w:val="25627611"/>
    <w:rsid w:val="25636FED"/>
    <w:rsid w:val="25645A54"/>
    <w:rsid w:val="256736AA"/>
    <w:rsid w:val="25772EBB"/>
    <w:rsid w:val="257A33DD"/>
    <w:rsid w:val="25806C5B"/>
    <w:rsid w:val="25832019"/>
    <w:rsid w:val="259331FE"/>
    <w:rsid w:val="25957FF8"/>
    <w:rsid w:val="25A149AC"/>
    <w:rsid w:val="25A246E2"/>
    <w:rsid w:val="25AF3F32"/>
    <w:rsid w:val="25B1193D"/>
    <w:rsid w:val="25B22A3B"/>
    <w:rsid w:val="25B22F04"/>
    <w:rsid w:val="25BA2D11"/>
    <w:rsid w:val="25C654B7"/>
    <w:rsid w:val="25D56865"/>
    <w:rsid w:val="25D97596"/>
    <w:rsid w:val="25DA7B82"/>
    <w:rsid w:val="25DC3627"/>
    <w:rsid w:val="25E37902"/>
    <w:rsid w:val="25E41FB5"/>
    <w:rsid w:val="25EB7E37"/>
    <w:rsid w:val="25F044F9"/>
    <w:rsid w:val="25F15A83"/>
    <w:rsid w:val="25F74971"/>
    <w:rsid w:val="26040109"/>
    <w:rsid w:val="26061962"/>
    <w:rsid w:val="260F672F"/>
    <w:rsid w:val="26175540"/>
    <w:rsid w:val="261A7B4E"/>
    <w:rsid w:val="262C56B0"/>
    <w:rsid w:val="2642755C"/>
    <w:rsid w:val="26437C73"/>
    <w:rsid w:val="26507D69"/>
    <w:rsid w:val="265579A6"/>
    <w:rsid w:val="26590788"/>
    <w:rsid w:val="265B3349"/>
    <w:rsid w:val="265D1B10"/>
    <w:rsid w:val="26600825"/>
    <w:rsid w:val="26640280"/>
    <w:rsid w:val="266D04E0"/>
    <w:rsid w:val="26735CFC"/>
    <w:rsid w:val="267D0DD4"/>
    <w:rsid w:val="26900E65"/>
    <w:rsid w:val="269308F5"/>
    <w:rsid w:val="269C531D"/>
    <w:rsid w:val="26A0140A"/>
    <w:rsid w:val="26A13A95"/>
    <w:rsid w:val="26A24575"/>
    <w:rsid w:val="26A4480F"/>
    <w:rsid w:val="26AB027E"/>
    <w:rsid w:val="26BD3478"/>
    <w:rsid w:val="26C42702"/>
    <w:rsid w:val="26C441FF"/>
    <w:rsid w:val="26CB5BEC"/>
    <w:rsid w:val="26D17EE9"/>
    <w:rsid w:val="26D26B3A"/>
    <w:rsid w:val="26E70819"/>
    <w:rsid w:val="26EF3957"/>
    <w:rsid w:val="26F614FF"/>
    <w:rsid w:val="27085698"/>
    <w:rsid w:val="2716064C"/>
    <w:rsid w:val="2722517B"/>
    <w:rsid w:val="2726309C"/>
    <w:rsid w:val="272D447F"/>
    <w:rsid w:val="27325E70"/>
    <w:rsid w:val="27341B93"/>
    <w:rsid w:val="27430D53"/>
    <w:rsid w:val="274B20AC"/>
    <w:rsid w:val="274C3BF3"/>
    <w:rsid w:val="27537702"/>
    <w:rsid w:val="27644968"/>
    <w:rsid w:val="27651E6B"/>
    <w:rsid w:val="276B64BA"/>
    <w:rsid w:val="276E31A4"/>
    <w:rsid w:val="27752950"/>
    <w:rsid w:val="27773C49"/>
    <w:rsid w:val="278B23EE"/>
    <w:rsid w:val="279C7ABE"/>
    <w:rsid w:val="27A46AC2"/>
    <w:rsid w:val="27B52D32"/>
    <w:rsid w:val="27B71FDE"/>
    <w:rsid w:val="27C22234"/>
    <w:rsid w:val="27D30046"/>
    <w:rsid w:val="27D4336A"/>
    <w:rsid w:val="27E916B3"/>
    <w:rsid w:val="27E965F8"/>
    <w:rsid w:val="27F60128"/>
    <w:rsid w:val="28094EEC"/>
    <w:rsid w:val="28100970"/>
    <w:rsid w:val="28130FC3"/>
    <w:rsid w:val="2819327A"/>
    <w:rsid w:val="281F6D05"/>
    <w:rsid w:val="28200862"/>
    <w:rsid w:val="28242AFE"/>
    <w:rsid w:val="282D4DA2"/>
    <w:rsid w:val="284763CA"/>
    <w:rsid w:val="28491292"/>
    <w:rsid w:val="284C1CF1"/>
    <w:rsid w:val="285259C3"/>
    <w:rsid w:val="285770A1"/>
    <w:rsid w:val="286F0F65"/>
    <w:rsid w:val="28810C2F"/>
    <w:rsid w:val="28832153"/>
    <w:rsid w:val="288C402F"/>
    <w:rsid w:val="28AB6575"/>
    <w:rsid w:val="28AF56E0"/>
    <w:rsid w:val="28B65C22"/>
    <w:rsid w:val="28BF2E88"/>
    <w:rsid w:val="28CD4798"/>
    <w:rsid w:val="28D21782"/>
    <w:rsid w:val="28D37562"/>
    <w:rsid w:val="28DF12D9"/>
    <w:rsid w:val="28F039B6"/>
    <w:rsid w:val="28F364BD"/>
    <w:rsid w:val="29034D8E"/>
    <w:rsid w:val="290B3357"/>
    <w:rsid w:val="290D640A"/>
    <w:rsid w:val="291A4C7E"/>
    <w:rsid w:val="291A4D01"/>
    <w:rsid w:val="291F0427"/>
    <w:rsid w:val="29267141"/>
    <w:rsid w:val="293C79A7"/>
    <w:rsid w:val="29454D6E"/>
    <w:rsid w:val="294C795A"/>
    <w:rsid w:val="294F4DA4"/>
    <w:rsid w:val="295449EC"/>
    <w:rsid w:val="29554FB8"/>
    <w:rsid w:val="295A26F1"/>
    <w:rsid w:val="295D23DB"/>
    <w:rsid w:val="297172A8"/>
    <w:rsid w:val="2983564B"/>
    <w:rsid w:val="2986365A"/>
    <w:rsid w:val="298F2D60"/>
    <w:rsid w:val="29915B28"/>
    <w:rsid w:val="29BE52CE"/>
    <w:rsid w:val="29CA7DA6"/>
    <w:rsid w:val="29DB2E13"/>
    <w:rsid w:val="29DB4A1E"/>
    <w:rsid w:val="29DB795F"/>
    <w:rsid w:val="29DD285D"/>
    <w:rsid w:val="29F301B2"/>
    <w:rsid w:val="29F43C64"/>
    <w:rsid w:val="29F75820"/>
    <w:rsid w:val="29FA1C59"/>
    <w:rsid w:val="29FA25C8"/>
    <w:rsid w:val="29FD19B7"/>
    <w:rsid w:val="29FF2103"/>
    <w:rsid w:val="2A112438"/>
    <w:rsid w:val="2A1808B1"/>
    <w:rsid w:val="2A1C72FC"/>
    <w:rsid w:val="2A286222"/>
    <w:rsid w:val="2A4A4265"/>
    <w:rsid w:val="2A53163A"/>
    <w:rsid w:val="2A557F75"/>
    <w:rsid w:val="2A6021EF"/>
    <w:rsid w:val="2A763351"/>
    <w:rsid w:val="2A7A5040"/>
    <w:rsid w:val="2A913EB9"/>
    <w:rsid w:val="2A94612D"/>
    <w:rsid w:val="2A9C5B40"/>
    <w:rsid w:val="2AA400F4"/>
    <w:rsid w:val="2AAC54BB"/>
    <w:rsid w:val="2AB57FF9"/>
    <w:rsid w:val="2AB63F4E"/>
    <w:rsid w:val="2ABA6371"/>
    <w:rsid w:val="2ABC5BE6"/>
    <w:rsid w:val="2AC329D5"/>
    <w:rsid w:val="2AC450FA"/>
    <w:rsid w:val="2ACC28DA"/>
    <w:rsid w:val="2AE00B0F"/>
    <w:rsid w:val="2AE11D66"/>
    <w:rsid w:val="2AEA0A59"/>
    <w:rsid w:val="2AEB102F"/>
    <w:rsid w:val="2AFA470A"/>
    <w:rsid w:val="2B0C20F7"/>
    <w:rsid w:val="2B0F5533"/>
    <w:rsid w:val="2B193F03"/>
    <w:rsid w:val="2B1B65B9"/>
    <w:rsid w:val="2B2706A2"/>
    <w:rsid w:val="2B28252F"/>
    <w:rsid w:val="2B3D33DC"/>
    <w:rsid w:val="2B3E29BA"/>
    <w:rsid w:val="2B461FAE"/>
    <w:rsid w:val="2B4C122B"/>
    <w:rsid w:val="2B4D31F0"/>
    <w:rsid w:val="2B4E1BFB"/>
    <w:rsid w:val="2B4F71D5"/>
    <w:rsid w:val="2B527EE3"/>
    <w:rsid w:val="2B580D2F"/>
    <w:rsid w:val="2B5E1A74"/>
    <w:rsid w:val="2B6464AC"/>
    <w:rsid w:val="2B667187"/>
    <w:rsid w:val="2B791713"/>
    <w:rsid w:val="2B7B0BDF"/>
    <w:rsid w:val="2B7D4228"/>
    <w:rsid w:val="2B8B70C4"/>
    <w:rsid w:val="2B9576E2"/>
    <w:rsid w:val="2B9A4D5A"/>
    <w:rsid w:val="2BA41CAA"/>
    <w:rsid w:val="2BC2082C"/>
    <w:rsid w:val="2BD25B6F"/>
    <w:rsid w:val="2BDF4279"/>
    <w:rsid w:val="2BEC51D8"/>
    <w:rsid w:val="2BEF1A87"/>
    <w:rsid w:val="2BF4601A"/>
    <w:rsid w:val="2C0368C6"/>
    <w:rsid w:val="2C05500E"/>
    <w:rsid w:val="2C1052D5"/>
    <w:rsid w:val="2C1134D0"/>
    <w:rsid w:val="2C206A34"/>
    <w:rsid w:val="2C240D62"/>
    <w:rsid w:val="2C246940"/>
    <w:rsid w:val="2C290D81"/>
    <w:rsid w:val="2C2E78B5"/>
    <w:rsid w:val="2C356260"/>
    <w:rsid w:val="2C3C1EC1"/>
    <w:rsid w:val="2C42462B"/>
    <w:rsid w:val="2C516DB2"/>
    <w:rsid w:val="2C56636C"/>
    <w:rsid w:val="2C5806E7"/>
    <w:rsid w:val="2C5B41CA"/>
    <w:rsid w:val="2C692ABE"/>
    <w:rsid w:val="2C6A1BF3"/>
    <w:rsid w:val="2C78619D"/>
    <w:rsid w:val="2C8A6306"/>
    <w:rsid w:val="2CA423D8"/>
    <w:rsid w:val="2CA96082"/>
    <w:rsid w:val="2CB85977"/>
    <w:rsid w:val="2CBB5644"/>
    <w:rsid w:val="2CBC42DB"/>
    <w:rsid w:val="2CBE7F71"/>
    <w:rsid w:val="2CBF3753"/>
    <w:rsid w:val="2CC44205"/>
    <w:rsid w:val="2CCF5DDE"/>
    <w:rsid w:val="2CDB0944"/>
    <w:rsid w:val="2CE20B7A"/>
    <w:rsid w:val="2CE27267"/>
    <w:rsid w:val="2CE74D39"/>
    <w:rsid w:val="2CE8150A"/>
    <w:rsid w:val="2CEE595C"/>
    <w:rsid w:val="2D016444"/>
    <w:rsid w:val="2D0B00A7"/>
    <w:rsid w:val="2D12077C"/>
    <w:rsid w:val="2D157438"/>
    <w:rsid w:val="2D270FD0"/>
    <w:rsid w:val="2D2742B1"/>
    <w:rsid w:val="2D277EFB"/>
    <w:rsid w:val="2D2A7BA6"/>
    <w:rsid w:val="2D31047C"/>
    <w:rsid w:val="2D3178DC"/>
    <w:rsid w:val="2D324DB9"/>
    <w:rsid w:val="2D4006D1"/>
    <w:rsid w:val="2D461BFA"/>
    <w:rsid w:val="2D4973F6"/>
    <w:rsid w:val="2D4E3F0C"/>
    <w:rsid w:val="2D586481"/>
    <w:rsid w:val="2D60110A"/>
    <w:rsid w:val="2D646B9E"/>
    <w:rsid w:val="2D700E9E"/>
    <w:rsid w:val="2D74517D"/>
    <w:rsid w:val="2D804EE1"/>
    <w:rsid w:val="2D976683"/>
    <w:rsid w:val="2D9E1323"/>
    <w:rsid w:val="2DAD3F36"/>
    <w:rsid w:val="2DB27C81"/>
    <w:rsid w:val="2DBD63EE"/>
    <w:rsid w:val="2DC007B4"/>
    <w:rsid w:val="2DC82B2B"/>
    <w:rsid w:val="2DD8553C"/>
    <w:rsid w:val="2DE35338"/>
    <w:rsid w:val="2DE84224"/>
    <w:rsid w:val="2DEF74F7"/>
    <w:rsid w:val="2DFE1B6D"/>
    <w:rsid w:val="2DFF7F79"/>
    <w:rsid w:val="2E1272CF"/>
    <w:rsid w:val="2E194F3D"/>
    <w:rsid w:val="2E294458"/>
    <w:rsid w:val="2E2A34C6"/>
    <w:rsid w:val="2E3A7BAD"/>
    <w:rsid w:val="2E3E0198"/>
    <w:rsid w:val="2E3F0BEE"/>
    <w:rsid w:val="2E4722CA"/>
    <w:rsid w:val="2E5248C7"/>
    <w:rsid w:val="2E560939"/>
    <w:rsid w:val="2E5A7CD6"/>
    <w:rsid w:val="2E5E648E"/>
    <w:rsid w:val="2E790DE1"/>
    <w:rsid w:val="2E813A2E"/>
    <w:rsid w:val="2E9136EE"/>
    <w:rsid w:val="2E9A39AA"/>
    <w:rsid w:val="2EA81254"/>
    <w:rsid w:val="2EB914B3"/>
    <w:rsid w:val="2EBF55C6"/>
    <w:rsid w:val="2EC56BE5"/>
    <w:rsid w:val="2EE046DE"/>
    <w:rsid w:val="2EED69CE"/>
    <w:rsid w:val="2EF00893"/>
    <w:rsid w:val="2EFF3E52"/>
    <w:rsid w:val="2F08433B"/>
    <w:rsid w:val="2F1177E1"/>
    <w:rsid w:val="2F136646"/>
    <w:rsid w:val="2F267201"/>
    <w:rsid w:val="2F363704"/>
    <w:rsid w:val="2F430CE4"/>
    <w:rsid w:val="2F5276D2"/>
    <w:rsid w:val="2F61762B"/>
    <w:rsid w:val="2F962068"/>
    <w:rsid w:val="2F9E5E02"/>
    <w:rsid w:val="2FA5374C"/>
    <w:rsid w:val="2FA92ACB"/>
    <w:rsid w:val="2FC12E0D"/>
    <w:rsid w:val="2FCF18F7"/>
    <w:rsid w:val="2FD3657A"/>
    <w:rsid w:val="2FDD2E8E"/>
    <w:rsid w:val="2FDE3125"/>
    <w:rsid w:val="2FE75D69"/>
    <w:rsid w:val="2FED2320"/>
    <w:rsid w:val="2FF3094F"/>
    <w:rsid w:val="2FFD0C0E"/>
    <w:rsid w:val="300D20E3"/>
    <w:rsid w:val="300D36B9"/>
    <w:rsid w:val="301B2328"/>
    <w:rsid w:val="30225849"/>
    <w:rsid w:val="30322E5C"/>
    <w:rsid w:val="30360C1F"/>
    <w:rsid w:val="3038636F"/>
    <w:rsid w:val="30396D27"/>
    <w:rsid w:val="3044003E"/>
    <w:rsid w:val="30505F70"/>
    <w:rsid w:val="3052159A"/>
    <w:rsid w:val="305703F6"/>
    <w:rsid w:val="30645CFC"/>
    <w:rsid w:val="30665E9F"/>
    <w:rsid w:val="306C7EFE"/>
    <w:rsid w:val="307A24E3"/>
    <w:rsid w:val="30890978"/>
    <w:rsid w:val="308C0468"/>
    <w:rsid w:val="30927C33"/>
    <w:rsid w:val="30A57B99"/>
    <w:rsid w:val="30A62CD6"/>
    <w:rsid w:val="30B97331"/>
    <w:rsid w:val="30BA6D63"/>
    <w:rsid w:val="30C23A3B"/>
    <w:rsid w:val="30D74CD3"/>
    <w:rsid w:val="30DF17AC"/>
    <w:rsid w:val="30ED1D29"/>
    <w:rsid w:val="30F2469C"/>
    <w:rsid w:val="30F5319F"/>
    <w:rsid w:val="30F83ACC"/>
    <w:rsid w:val="310B4D10"/>
    <w:rsid w:val="310C35ED"/>
    <w:rsid w:val="310D031B"/>
    <w:rsid w:val="31186793"/>
    <w:rsid w:val="313B3958"/>
    <w:rsid w:val="31496258"/>
    <w:rsid w:val="314B0B14"/>
    <w:rsid w:val="31594B69"/>
    <w:rsid w:val="315B0515"/>
    <w:rsid w:val="31607AF5"/>
    <w:rsid w:val="316A3DFD"/>
    <w:rsid w:val="316B6CEE"/>
    <w:rsid w:val="31881438"/>
    <w:rsid w:val="318C3787"/>
    <w:rsid w:val="31913A69"/>
    <w:rsid w:val="31922F44"/>
    <w:rsid w:val="31973569"/>
    <w:rsid w:val="319B3CAA"/>
    <w:rsid w:val="31B36D87"/>
    <w:rsid w:val="31B859B9"/>
    <w:rsid w:val="31C41C16"/>
    <w:rsid w:val="31C559E0"/>
    <w:rsid w:val="31CE06FD"/>
    <w:rsid w:val="31D3781C"/>
    <w:rsid w:val="31DA7CEA"/>
    <w:rsid w:val="31ED3136"/>
    <w:rsid w:val="31ED4869"/>
    <w:rsid w:val="31FD406A"/>
    <w:rsid w:val="31FE2FC8"/>
    <w:rsid w:val="32066C5B"/>
    <w:rsid w:val="324276A3"/>
    <w:rsid w:val="32440A8B"/>
    <w:rsid w:val="324639D0"/>
    <w:rsid w:val="32481294"/>
    <w:rsid w:val="324D77D1"/>
    <w:rsid w:val="325719E8"/>
    <w:rsid w:val="326170B4"/>
    <w:rsid w:val="3264531C"/>
    <w:rsid w:val="32665466"/>
    <w:rsid w:val="326B38EB"/>
    <w:rsid w:val="327D69A1"/>
    <w:rsid w:val="32892A4B"/>
    <w:rsid w:val="32B736BD"/>
    <w:rsid w:val="32B865A2"/>
    <w:rsid w:val="32C26FE8"/>
    <w:rsid w:val="32DE215F"/>
    <w:rsid w:val="32F46F73"/>
    <w:rsid w:val="32FE6CC1"/>
    <w:rsid w:val="330E2F53"/>
    <w:rsid w:val="331D3751"/>
    <w:rsid w:val="331F2416"/>
    <w:rsid w:val="33291ECF"/>
    <w:rsid w:val="332F4C8C"/>
    <w:rsid w:val="3337290D"/>
    <w:rsid w:val="33435FD9"/>
    <w:rsid w:val="3345063A"/>
    <w:rsid w:val="335121B9"/>
    <w:rsid w:val="337829B0"/>
    <w:rsid w:val="337A0742"/>
    <w:rsid w:val="337C0BAD"/>
    <w:rsid w:val="33835519"/>
    <w:rsid w:val="338A50B3"/>
    <w:rsid w:val="33923816"/>
    <w:rsid w:val="33960E31"/>
    <w:rsid w:val="339766EC"/>
    <w:rsid w:val="339F64FB"/>
    <w:rsid w:val="33A13F7B"/>
    <w:rsid w:val="33A8589B"/>
    <w:rsid w:val="33B6478C"/>
    <w:rsid w:val="33B95F01"/>
    <w:rsid w:val="33C07D0A"/>
    <w:rsid w:val="33E170B6"/>
    <w:rsid w:val="33E7058D"/>
    <w:rsid w:val="33E93BB1"/>
    <w:rsid w:val="33F75282"/>
    <w:rsid w:val="33FB6405"/>
    <w:rsid w:val="340228A6"/>
    <w:rsid w:val="3402383D"/>
    <w:rsid w:val="340A53E6"/>
    <w:rsid w:val="340E1DC7"/>
    <w:rsid w:val="34100227"/>
    <w:rsid w:val="341073A7"/>
    <w:rsid w:val="34110143"/>
    <w:rsid w:val="341B323F"/>
    <w:rsid w:val="341E0C7A"/>
    <w:rsid w:val="34517714"/>
    <w:rsid w:val="34525525"/>
    <w:rsid w:val="346E1392"/>
    <w:rsid w:val="347362F2"/>
    <w:rsid w:val="348A1DB8"/>
    <w:rsid w:val="348F7C47"/>
    <w:rsid w:val="34980D1E"/>
    <w:rsid w:val="349A29AA"/>
    <w:rsid w:val="349F4C96"/>
    <w:rsid w:val="34B033E7"/>
    <w:rsid w:val="34B407E5"/>
    <w:rsid w:val="34BD350C"/>
    <w:rsid w:val="34BF74EA"/>
    <w:rsid w:val="34D11234"/>
    <w:rsid w:val="34D2181B"/>
    <w:rsid w:val="34D66156"/>
    <w:rsid w:val="34D766B0"/>
    <w:rsid w:val="34DB2B4D"/>
    <w:rsid w:val="34E16316"/>
    <w:rsid w:val="34E467C1"/>
    <w:rsid w:val="34E47A4E"/>
    <w:rsid w:val="34E73EBF"/>
    <w:rsid w:val="34E75F12"/>
    <w:rsid w:val="34F32500"/>
    <w:rsid w:val="35007055"/>
    <w:rsid w:val="350A5CF4"/>
    <w:rsid w:val="35177BA8"/>
    <w:rsid w:val="351F2F82"/>
    <w:rsid w:val="3528253D"/>
    <w:rsid w:val="35321C38"/>
    <w:rsid w:val="3535293E"/>
    <w:rsid w:val="3536502B"/>
    <w:rsid w:val="353665BD"/>
    <w:rsid w:val="35403512"/>
    <w:rsid w:val="355B65B2"/>
    <w:rsid w:val="355D4F81"/>
    <w:rsid w:val="356F337C"/>
    <w:rsid w:val="35705AE4"/>
    <w:rsid w:val="35824905"/>
    <w:rsid w:val="35843F72"/>
    <w:rsid w:val="358A53F9"/>
    <w:rsid w:val="35970273"/>
    <w:rsid w:val="35C74E47"/>
    <w:rsid w:val="35E24DF5"/>
    <w:rsid w:val="35EF38C5"/>
    <w:rsid w:val="35F75FE2"/>
    <w:rsid w:val="35FC0320"/>
    <w:rsid w:val="35FC78A0"/>
    <w:rsid w:val="35FF463C"/>
    <w:rsid w:val="360D4DD7"/>
    <w:rsid w:val="361124A4"/>
    <w:rsid w:val="36132896"/>
    <w:rsid w:val="36162CAE"/>
    <w:rsid w:val="36251E52"/>
    <w:rsid w:val="363407F7"/>
    <w:rsid w:val="3638445C"/>
    <w:rsid w:val="364D39D1"/>
    <w:rsid w:val="365612E8"/>
    <w:rsid w:val="366513C8"/>
    <w:rsid w:val="366859E7"/>
    <w:rsid w:val="3686608C"/>
    <w:rsid w:val="368C77BE"/>
    <w:rsid w:val="3690626B"/>
    <w:rsid w:val="36925534"/>
    <w:rsid w:val="36AD62EF"/>
    <w:rsid w:val="36BA5F23"/>
    <w:rsid w:val="36BF32E0"/>
    <w:rsid w:val="36CA1F25"/>
    <w:rsid w:val="36D30FB4"/>
    <w:rsid w:val="36D371E0"/>
    <w:rsid w:val="36D85CD0"/>
    <w:rsid w:val="36DE0951"/>
    <w:rsid w:val="36E255A1"/>
    <w:rsid w:val="36E70640"/>
    <w:rsid w:val="36E70B9F"/>
    <w:rsid w:val="36F210B1"/>
    <w:rsid w:val="36F809A0"/>
    <w:rsid w:val="36F901E6"/>
    <w:rsid w:val="37007AC7"/>
    <w:rsid w:val="371B03E3"/>
    <w:rsid w:val="371F6EDC"/>
    <w:rsid w:val="372A09FA"/>
    <w:rsid w:val="37330115"/>
    <w:rsid w:val="373529C0"/>
    <w:rsid w:val="375A58F4"/>
    <w:rsid w:val="375F2D0C"/>
    <w:rsid w:val="376B4FBE"/>
    <w:rsid w:val="37807A1C"/>
    <w:rsid w:val="378B3228"/>
    <w:rsid w:val="378E3BE4"/>
    <w:rsid w:val="379837CA"/>
    <w:rsid w:val="37994C24"/>
    <w:rsid w:val="379D5DBB"/>
    <w:rsid w:val="37A24ACF"/>
    <w:rsid w:val="37A4695E"/>
    <w:rsid w:val="37AA79A3"/>
    <w:rsid w:val="37AC54A7"/>
    <w:rsid w:val="37B253AC"/>
    <w:rsid w:val="37B73B33"/>
    <w:rsid w:val="37B75F51"/>
    <w:rsid w:val="37B95FE7"/>
    <w:rsid w:val="37C466EA"/>
    <w:rsid w:val="37C87091"/>
    <w:rsid w:val="37CC5A88"/>
    <w:rsid w:val="37D06270"/>
    <w:rsid w:val="37D42B5B"/>
    <w:rsid w:val="37D87221"/>
    <w:rsid w:val="37E64E82"/>
    <w:rsid w:val="37E8004A"/>
    <w:rsid w:val="37F048A0"/>
    <w:rsid w:val="37F27E10"/>
    <w:rsid w:val="380316D1"/>
    <w:rsid w:val="3818225E"/>
    <w:rsid w:val="381B1C36"/>
    <w:rsid w:val="381D44C0"/>
    <w:rsid w:val="382932C1"/>
    <w:rsid w:val="38294E72"/>
    <w:rsid w:val="382A51FA"/>
    <w:rsid w:val="382F4B08"/>
    <w:rsid w:val="38312A30"/>
    <w:rsid w:val="3841179A"/>
    <w:rsid w:val="3849219E"/>
    <w:rsid w:val="385760C8"/>
    <w:rsid w:val="38854250"/>
    <w:rsid w:val="3895556E"/>
    <w:rsid w:val="38991974"/>
    <w:rsid w:val="38A00A0E"/>
    <w:rsid w:val="38A23923"/>
    <w:rsid w:val="38B10FD3"/>
    <w:rsid w:val="38DC7DB9"/>
    <w:rsid w:val="38E12A24"/>
    <w:rsid w:val="38E7522B"/>
    <w:rsid w:val="38EE1788"/>
    <w:rsid w:val="38F172EC"/>
    <w:rsid w:val="39086A4A"/>
    <w:rsid w:val="390D588D"/>
    <w:rsid w:val="39165FEB"/>
    <w:rsid w:val="391F5244"/>
    <w:rsid w:val="39225CE4"/>
    <w:rsid w:val="39253208"/>
    <w:rsid w:val="392635CF"/>
    <w:rsid w:val="392876F4"/>
    <w:rsid w:val="392A377B"/>
    <w:rsid w:val="393120C7"/>
    <w:rsid w:val="393E362D"/>
    <w:rsid w:val="394B30C6"/>
    <w:rsid w:val="39534219"/>
    <w:rsid w:val="395A11E0"/>
    <w:rsid w:val="395E6FAD"/>
    <w:rsid w:val="396252C6"/>
    <w:rsid w:val="396D0C84"/>
    <w:rsid w:val="397F27D6"/>
    <w:rsid w:val="398B750F"/>
    <w:rsid w:val="39980102"/>
    <w:rsid w:val="39AE1A04"/>
    <w:rsid w:val="39B7679D"/>
    <w:rsid w:val="39B87AD4"/>
    <w:rsid w:val="39BC591B"/>
    <w:rsid w:val="39C550B5"/>
    <w:rsid w:val="39DC14C7"/>
    <w:rsid w:val="39DC32CF"/>
    <w:rsid w:val="39DC5B33"/>
    <w:rsid w:val="39DE2BF0"/>
    <w:rsid w:val="39EF3377"/>
    <w:rsid w:val="39F63CA8"/>
    <w:rsid w:val="39FC310C"/>
    <w:rsid w:val="3A056274"/>
    <w:rsid w:val="3A0C76D7"/>
    <w:rsid w:val="3A1E479F"/>
    <w:rsid w:val="3A204AEC"/>
    <w:rsid w:val="3A2200E6"/>
    <w:rsid w:val="3A2D4580"/>
    <w:rsid w:val="3A3E0D77"/>
    <w:rsid w:val="3A4E34CE"/>
    <w:rsid w:val="3A504D64"/>
    <w:rsid w:val="3A543DA5"/>
    <w:rsid w:val="3A5610C1"/>
    <w:rsid w:val="3A6234A0"/>
    <w:rsid w:val="3A627DF4"/>
    <w:rsid w:val="3A6F0BDF"/>
    <w:rsid w:val="3A726BA5"/>
    <w:rsid w:val="3A757ED7"/>
    <w:rsid w:val="3A791CD8"/>
    <w:rsid w:val="3A8A3C6B"/>
    <w:rsid w:val="3A8A5A19"/>
    <w:rsid w:val="3A9611FB"/>
    <w:rsid w:val="3AA82229"/>
    <w:rsid w:val="3AB06356"/>
    <w:rsid w:val="3AC20A9E"/>
    <w:rsid w:val="3AC9146F"/>
    <w:rsid w:val="3ACA5143"/>
    <w:rsid w:val="3ACC7E1E"/>
    <w:rsid w:val="3ACF1F22"/>
    <w:rsid w:val="3AD4114D"/>
    <w:rsid w:val="3ADC43DB"/>
    <w:rsid w:val="3AE27603"/>
    <w:rsid w:val="3AEB018A"/>
    <w:rsid w:val="3B047A2C"/>
    <w:rsid w:val="3B071680"/>
    <w:rsid w:val="3B101F22"/>
    <w:rsid w:val="3B1040CD"/>
    <w:rsid w:val="3B124C1B"/>
    <w:rsid w:val="3B144FE3"/>
    <w:rsid w:val="3B1672AC"/>
    <w:rsid w:val="3B247C1B"/>
    <w:rsid w:val="3B2A3136"/>
    <w:rsid w:val="3B2B31E1"/>
    <w:rsid w:val="3B43293D"/>
    <w:rsid w:val="3B506610"/>
    <w:rsid w:val="3B5F7EA1"/>
    <w:rsid w:val="3B622EBC"/>
    <w:rsid w:val="3B697A40"/>
    <w:rsid w:val="3B6D06BF"/>
    <w:rsid w:val="3B733F3E"/>
    <w:rsid w:val="3B7B6258"/>
    <w:rsid w:val="3B7C16F1"/>
    <w:rsid w:val="3B7D36E1"/>
    <w:rsid w:val="3B8071F5"/>
    <w:rsid w:val="3B8701AA"/>
    <w:rsid w:val="3B8A52AF"/>
    <w:rsid w:val="3B8A6A1F"/>
    <w:rsid w:val="3B9B6F13"/>
    <w:rsid w:val="3BA9514A"/>
    <w:rsid w:val="3BAB1FA2"/>
    <w:rsid w:val="3BAD2165"/>
    <w:rsid w:val="3BC05AA5"/>
    <w:rsid w:val="3BE16990"/>
    <w:rsid w:val="3BE5760A"/>
    <w:rsid w:val="3BF736C7"/>
    <w:rsid w:val="3C027045"/>
    <w:rsid w:val="3C0D7EBC"/>
    <w:rsid w:val="3C1F6A90"/>
    <w:rsid w:val="3C35789E"/>
    <w:rsid w:val="3C3614CD"/>
    <w:rsid w:val="3C3A17EA"/>
    <w:rsid w:val="3C3E6D60"/>
    <w:rsid w:val="3C4D4524"/>
    <w:rsid w:val="3C5639DE"/>
    <w:rsid w:val="3C571C05"/>
    <w:rsid w:val="3C59493B"/>
    <w:rsid w:val="3C64352B"/>
    <w:rsid w:val="3C672E2C"/>
    <w:rsid w:val="3C764FC0"/>
    <w:rsid w:val="3C7B2002"/>
    <w:rsid w:val="3C7C1DB0"/>
    <w:rsid w:val="3C7D661A"/>
    <w:rsid w:val="3C843F02"/>
    <w:rsid w:val="3C8446EA"/>
    <w:rsid w:val="3C896FAB"/>
    <w:rsid w:val="3C8D58BE"/>
    <w:rsid w:val="3C8E5FED"/>
    <w:rsid w:val="3C932296"/>
    <w:rsid w:val="3C9E20B1"/>
    <w:rsid w:val="3CA76B12"/>
    <w:rsid w:val="3CB53A65"/>
    <w:rsid w:val="3CC102AC"/>
    <w:rsid w:val="3CD329DD"/>
    <w:rsid w:val="3CDA7844"/>
    <w:rsid w:val="3CDD69A8"/>
    <w:rsid w:val="3CE360F2"/>
    <w:rsid w:val="3CEA5162"/>
    <w:rsid w:val="3CEE5C15"/>
    <w:rsid w:val="3CF5496B"/>
    <w:rsid w:val="3D026351"/>
    <w:rsid w:val="3D0C46DE"/>
    <w:rsid w:val="3D115586"/>
    <w:rsid w:val="3D145A6E"/>
    <w:rsid w:val="3D197739"/>
    <w:rsid w:val="3D2B2775"/>
    <w:rsid w:val="3D4A76E1"/>
    <w:rsid w:val="3D4B66DD"/>
    <w:rsid w:val="3D4F21FC"/>
    <w:rsid w:val="3D500385"/>
    <w:rsid w:val="3D5A44CB"/>
    <w:rsid w:val="3D6025AF"/>
    <w:rsid w:val="3D647CD4"/>
    <w:rsid w:val="3D68148B"/>
    <w:rsid w:val="3D7B49B3"/>
    <w:rsid w:val="3D803FEE"/>
    <w:rsid w:val="3D822398"/>
    <w:rsid w:val="3D84454D"/>
    <w:rsid w:val="3D880068"/>
    <w:rsid w:val="3D8A5D30"/>
    <w:rsid w:val="3D8D259B"/>
    <w:rsid w:val="3D8D2E74"/>
    <w:rsid w:val="3D917E56"/>
    <w:rsid w:val="3D940183"/>
    <w:rsid w:val="3D94569F"/>
    <w:rsid w:val="3D9A7E0E"/>
    <w:rsid w:val="3DA75E51"/>
    <w:rsid w:val="3DB328C2"/>
    <w:rsid w:val="3DB47E97"/>
    <w:rsid w:val="3DBD7EB3"/>
    <w:rsid w:val="3DCC12F0"/>
    <w:rsid w:val="3DCE3610"/>
    <w:rsid w:val="3DD30C31"/>
    <w:rsid w:val="3DE41CDC"/>
    <w:rsid w:val="3DE85142"/>
    <w:rsid w:val="3DEB52FD"/>
    <w:rsid w:val="3DFB68A0"/>
    <w:rsid w:val="3E016AE6"/>
    <w:rsid w:val="3E187D1F"/>
    <w:rsid w:val="3E1C3525"/>
    <w:rsid w:val="3E200B4B"/>
    <w:rsid w:val="3E225DB0"/>
    <w:rsid w:val="3E367318"/>
    <w:rsid w:val="3E3D069E"/>
    <w:rsid w:val="3E483582"/>
    <w:rsid w:val="3E5337D0"/>
    <w:rsid w:val="3E537DE4"/>
    <w:rsid w:val="3E554154"/>
    <w:rsid w:val="3E5C0A68"/>
    <w:rsid w:val="3E5F165E"/>
    <w:rsid w:val="3E6A28BE"/>
    <w:rsid w:val="3E6A67BD"/>
    <w:rsid w:val="3E734A16"/>
    <w:rsid w:val="3E7609F9"/>
    <w:rsid w:val="3E7717CD"/>
    <w:rsid w:val="3E8E783E"/>
    <w:rsid w:val="3E904009"/>
    <w:rsid w:val="3E976956"/>
    <w:rsid w:val="3E996659"/>
    <w:rsid w:val="3E9E1FC0"/>
    <w:rsid w:val="3EA300A7"/>
    <w:rsid w:val="3EB249D8"/>
    <w:rsid w:val="3EB26A2B"/>
    <w:rsid w:val="3EB33E5C"/>
    <w:rsid w:val="3EC3043C"/>
    <w:rsid w:val="3EC8679C"/>
    <w:rsid w:val="3ED71449"/>
    <w:rsid w:val="3EE5288B"/>
    <w:rsid w:val="3EF06066"/>
    <w:rsid w:val="3F027DD0"/>
    <w:rsid w:val="3F037360"/>
    <w:rsid w:val="3F067638"/>
    <w:rsid w:val="3F0A7128"/>
    <w:rsid w:val="3F0E3630"/>
    <w:rsid w:val="3F1C4CFE"/>
    <w:rsid w:val="3F232D0D"/>
    <w:rsid w:val="3F2433C7"/>
    <w:rsid w:val="3F2763A2"/>
    <w:rsid w:val="3F2E1337"/>
    <w:rsid w:val="3F2E2497"/>
    <w:rsid w:val="3F3303B1"/>
    <w:rsid w:val="3F4A339D"/>
    <w:rsid w:val="3F66563F"/>
    <w:rsid w:val="3F6E7773"/>
    <w:rsid w:val="3F7950FB"/>
    <w:rsid w:val="3F9F1936"/>
    <w:rsid w:val="3FA35F61"/>
    <w:rsid w:val="3FA868C4"/>
    <w:rsid w:val="3FBE0131"/>
    <w:rsid w:val="3FBF2FE8"/>
    <w:rsid w:val="3FDB689D"/>
    <w:rsid w:val="3FDE02D2"/>
    <w:rsid w:val="3FE50A43"/>
    <w:rsid w:val="40016981"/>
    <w:rsid w:val="4002562A"/>
    <w:rsid w:val="400D69C0"/>
    <w:rsid w:val="400F1021"/>
    <w:rsid w:val="401E1F88"/>
    <w:rsid w:val="40226BCB"/>
    <w:rsid w:val="40263CA3"/>
    <w:rsid w:val="40266EE6"/>
    <w:rsid w:val="402D166A"/>
    <w:rsid w:val="40430379"/>
    <w:rsid w:val="40556AC9"/>
    <w:rsid w:val="40653402"/>
    <w:rsid w:val="40654256"/>
    <w:rsid w:val="406E2D1C"/>
    <w:rsid w:val="407A1956"/>
    <w:rsid w:val="407B584A"/>
    <w:rsid w:val="407C3AE5"/>
    <w:rsid w:val="407F1C79"/>
    <w:rsid w:val="40967086"/>
    <w:rsid w:val="409B660A"/>
    <w:rsid w:val="40A96AA7"/>
    <w:rsid w:val="40AA67B2"/>
    <w:rsid w:val="40AF442B"/>
    <w:rsid w:val="40B04F11"/>
    <w:rsid w:val="40C27447"/>
    <w:rsid w:val="40D641E4"/>
    <w:rsid w:val="40DD7014"/>
    <w:rsid w:val="40DD7A15"/>
    <w:rsid w:val="41076015"/>
    <w:rsid w:val="41080CDA"/>
    <w:rsid w:val="411266A1"/>
    <w:rsid w:val="411E1C26"/>
    <w:rsid w:val="41230768"/>
    <w:rsid w:val="413217D2"/>
    <w:rsid w:val="413362A7"/>
    <w:rsid w:val="414311A9"/>
    <w:rsid w:val="415E7F1E"/>
    <w:rsid w:val="41630D72"/>
    <w:rsid w:val="4163168B"/>
    <w:rsid w:val="41645CF3"/>
    <w:rsid w:val="41684FED"/>
    <w:rsid w:val="41705CAC"/>
    <w:rsid w:val="417852FE"/>
    <w:rsid w:val="41792489"/>
    <w:rsid w:val="418718DD"/>
    <w:rsid w:val="41975AE6"/>
    <w:rsid w:val="419A0534"/>
    <w:rsid w:val="419A39AC"/>
    <w:rsid w:val="41A7672E"/>
    <w:rsid w:val="41AB30BD"/>
    <w:rsid w:val="41C16449"/>
    <w:rsid w:val="41D62A00"/>
    <w:rsid w:val="41E21F75"/>
    <w:rsid w:val="42072DC2"/>
    <w:rsid w:val="420E6F2F"/>
    <w:rsid w:val="42101E16"/>
    <w:rsid w:val="421337A1"/>
    <w:rsid w:val="422C1E62"/>
    <w:rsid w:val="4238215D"/>
    <w:rsid w:val="42387696"/>
    <w:rsid w:val="426C3CAB"/>
    <w:rsid w:val="426E0E54"/>
    <w:rsid w:val="426E79CE"/>
    <w:rsid w:val="426F2EC7"/>
    <w:rsid w:val="42746CC9"/>
    <w:rsid w:val="42782D0E"/>
    <w:rsid w:val="42812BEB"/>
    <w:rsid w:val="42917131"/>
    <w:rsid w:val="429A07C3"/>
    <w:rsid w:val="42A16F5E"/>
    <w:rsid w:val="42A654EA"/>
    <w:rsid w:val="42BE31F4"/>
    <w:rsid w:val="42E23496"/>
    <w:rsid w:val="42E87A95"/>
    <w:rsid w:val="42EB54C2"/>
    <w:rsid w:val="43011432"/>
    <w:rsid w:val="430345BA"/>
    <w:rsid w:val="43137447"/>
    <w:rsid w:val="431567DE"/>
    <w:rsid w:val="431B24E0"/>
    <w:rsid w:val="431F46B8"/>
    <w:rsid w:val="432129E2"/>
    <w:rsid w:val="434022CB"/>
    <w:rsid w:val="43441DEB"/>
    <w:rsid w:val="4345375F"/>
    <w:rsid w:val="434B6E74"/>
    <w:rsid w:val="4357300A"/>
    <w:rsid w:val="43654953"/>
    <w:rsid w:val="43675239"/>
    <w:rsid w:val="437300B3"/>
    <w:rsid w:val="438028DB"/>
    <w:rsid w:val="43803E5D"/>
    <w:rsid w:val="43837D6F"/>
    <w:rsid w:val="43933756"/>
    <w:rsid w:val="439C453E"/>
    <w:rsid w:val="43B503B6"/>
    <w:rsid w:val="43B971EC"/>
    <w:rsid w:val="43BE6232"/>
    <w:rsid w:val="43D349E2"/>
    <w:rsid w:val="43D51C29"/>
    <w:rsid w:val="43D926D1"/>
    <w:rsid w:val="43D951C6"/>
    <w:rsid w:val="43D95633"/>
    <w:rsid w:val="43DA1716"/>
    <w:rsid w:val="43DB3B08"/>
    <w:rsid w:val="43DD12AF"/>
    <w:rsid w:val="43EA259E"/>
    <w:rsid w:val="43EE4C88"/>
    <w:rsid w:val="44011F00"/>
    <w:rsid w:val="441C152A"/>
    <w:rsid w:val="44385C50"/>
    <w:rsid w:val="44415838"/>
    <w:rsid w:val="4449591C"/>
    <w:rsid w:val="4450382F"/>
    <w:rsid w:val="44512D44"/>
    <w:rsid w:val="44590A99"/>
    <w:rsid w:val="446C6593"/>
    <w:rsid w:val="446F1124"/>
    <w:rsid w:val="447C700B"/>
    <w:rsid w:val="447C768F"/>
    <w:rsid w:val="447F27A2"/>
    <w:rsid w:val="44982F38"/>
    <w:rsid w:val="44A76CF6"/>
    <w:rsid w:val="44AD1FCC"/>
    <w:rsid w:val="44B2524D"/>
    <w:rsid w:val="44BD0353"/>
    <w:rsid w:val="44C803B7"/>
    <w:rsid w:val="44CD31E2"/>
    <w:rsid w:val="44D2170F"/>
    <w:rsid w:val="44DD62F3"/>
    <w:rsid w:val="44DE63A8"/>
    <w:rsid w:val="44DF60D4"/>
    <w:rsid w:val="44E04549"/>
    <w:rsid w:val="44E635F5"/>
    <w:rsid w:val="44EB3558"/>
    <w:rsid w:val="44F32FB8"/>
    <w:rsid w:val="4511041C"/>
    <w:rsid w:val="453A3D5A"/>
    <w:rsid w:val="45400B8C"/>
    <w:rsid w:val="454B22CD"/>
    <w:rsid w:val="45525385"/>
    <w:rsid w:val="455E543A"/>
    <w:rsid w:val="456526DC"/>
    <w:rsid w:val="4568104C"/>
    <w:rsid w:val="456B1D70"/>
    <w:rsid w:val="456B6252"/>
    <w:rsid w:val="45830823"/>
    <w:rsid w:val="45912560"/>
    <w:rsid w:val="45A06AD9"/>
    <w:rsid w:val="45AB25D8"/>
    <w:rsid w:val="45BA3A4B"/>
    <w:rsid w:val="45C168FC"/>
    <w:rsid w:val="45E42AD7"/>
    <w:rsid w:val="45EA380F"/>
    <w:rsid w:val="45FE6567"/>
    <w:rsid w:val="4603293E"/>
    <w:rsid w:val="46177320"/>
    <w:rsid w:val="46226875"/>
    <w:rsid w:val="46285495"/>
    <w:rsid w:val="46317741"/>
    <w:rsid w:val="464B7691"/>
    <w:rsid w:val="46510993"/>
    <w:rsid w:val="46600D63"/>
    <w:rsid w:val="4660270E"/>
    <w:rsid w:val="468A7785"/>
    <w:rsid w:val="469156F2"/>
    <w:rsid w:val="46921AAD"/>
    <w:rsid w:val="469F582A"/>
    <w:rsid w:val="46A30C61"/>
    <w:rsid w:val="46A80D82"/>
    <w:rsid w:val="46AD46D2"/>
    <w:rsid w:val="46B26810"/>
    <w:rsid w:val="46BB7BAE"/>
    <w:rsid w:val="46BC1650"/>
    <w:rsid w:val="46BF304B"/>
    <w:rsid w:val="46CB3B16"/>
    <w:rsid w:val="46E94533"/>
    <w:rsid w:val="46E97115"/>
    <w:rsid w:val="46F575B9"/>
    <w:rsid w:val="46FF6008"/>
    <w:rsid w:val="470457E6"/>
    <w:rsid w:val="47185071"/>
    <w:rsid w:val="472530E4"/>
    <w:rsid w:val="47266DF8"/>
    <w:rsid w:val="47307DD7"/>
    <w:rsid w:val="47334483"/>
    <w:rsid w:val="473C1E11"/>
    <w:rsid w:val="473F409F"/>
    <w:rsid w:val="4741268A"/>
    <w:rsid w:val="47485E33"/>
    <w:rsid w:val="47496A9E"/>
    <w:rsid w:val="474C23A8"/>
    <w:rsid w:val="474E6020"/>
    <w:rsid w:val="475029D2"/>
    <w:rsid w:val="475603F6"/>
    <w:rsid w:val="47715960"/>
    <w:rsid w:val="47722A18"/>
    <w:rsid w:val="47741D0C"/>
    <w:rsid w:val="47750729"/>
    <w:rsid w:val="47775577"/>
    <w:rsid w:val="477C0DDF"/>
    <w:rsid w:val="47876B9F"/>
    <w:rsid w:val="47877015"/>
    <w:rsid w:val="479236A7"/>
    <w:rsid w:val="47953EA1"/>
    <w:rsid w:val="47996DB2"/>
    <w:rsid w:val="47A213C0"/>
    <w:rsid w:val="47A855FF"/>
    <w:rsid w:val="47B76453"/>
    <w:rsid w:val="47B8753D"/>
    <w:rsid w:val="47C2640D"/>
    <w:rsid w:val="47C902A2"/>
    <w:rsid w:val="47D211B9"/>
    <w:rsid w:val="47DC4284"/>
    <w:rsid w:val="47DF7B1C"/>
    <w:rsid w:val="47E8372E"/>
    <w:rsid w:val="47F21EF0"/>
    <w:rsid w:val="47F5197C"/>
    <w:rsid w:val="47F95DB7"/>
    <w:rsid w:val="480C7018"/>
    <w:rsid w:val="481D120F"/>
    <w:rsid w:val="482105C0"/>
    <w:rsid w:val="48211E7E"/>
    <w:rsid w:val="482F06D1"/>
    <w:rsid w:val="48342F88"/>
    <w:rsid w:val="483510C7"/>
    <w:rsid w:val="48376D8B"/>
    <w:rsid w:val="484C6A03"/>
    <w:rsid w:val="485A1120"/>
    <w:rsid w:val="485C39F4"/>
    <w:rsid w:val="4862142D"/>
    <w:rsid w:val="48626E30"/>
    <w:rsid w:val="48636ED0"/>
    <w:rsid w:val="48662346"/>
    <w:rsid w:val="48680479"/>
    <w:rsid w:val="486E5B80"/>
    <w:rsid w:val="487835F2"/>
    <w:rsid w:val="48862220"/>
    <w:rsid w:val="48952A5D"/>
    <w:rsid w:val="489701E4"/>
    <w:rsid w:val="489C5552"/>
    <w:rsid w:val="48AB0568"/>
    <w:rsid w:val="48B23A8E"/>
    <w:rsid w:val="48BD5CAC"/>
    <w:rsid w:val="48C170BE"/>
    <w:rsid w:val="48CD0CC0"/>
    <w:rsid w:val="48D949EA"/>
    <w:rsid w:val="48DF2A5F"/>
    <w:rsid w:val="48F542A3"/>
    <w:rsid w:val="48F73D54"/>
    <w:rsid w:val="4905290C"/>
    <w:rsid w:val="49063785"/>
    <w:rsid w:val="491C548A"/>
    <w:rsid w:val="491D1B81"/>
    <w:rsid w:val="492477BB"/>
    <w:rsid w:val="492F531F"/>
    <w:rsid w:val="492F6636"/>
    <w:rsid w:val="492F7E36"/>
    <w:rsid w:val="493976ED"/>
    <w:rsid w:val="493E5399"/>
    <w:rsid w:val="49405D5E"/>
    <w:rsid w:val="49532700"/>
    <w:rsid w:val="49561E92"/>
    <w:rsid w:val="496A1DB8"/>
    <w:rsid w:val="4971045B"/>
    <w:rsid w:val="4979031F"/>
    <w:rsid w:val="497976FA"/>
    <w:rsid w:val="49833A3E"/>
    <w:rsid w:val="49896678"/>
    <w:rsid w:val="4995652F"/>
    <w:rsid w:val="49AE68B8"/>
    <w:rsid w:val="49C60139"/>
    <w:rsid w:val="49C63B01"/>
    <w:rsid w:val="49DD63A3"/>
    <w:rsid w:val="49E6704C"/>
    <w:rsid w:val="49EB6B77"/>
    <w:rsid w:val="49EE6A1F"/>
    <w:rsid w:val="49EF23AD"/>
    <w:rsid w:val="49F14CC3"/>
    <w:rsid w:val="49FB5294"/>
    <w:rsid w:val="49FD6413"/>
    <w:rsid w:val="4A3511ED"/>
    <w:rsid w:val="4A3D4FF8"/>
    <w:rsid w:val="4A3F629B"/>
    <w:rsid w:val="4A411991"/>
    <w:rsid w:val="4A416D23"/>
    <w:rsid w:val="4A4949D7"/>
    <w:rsid w:val="4A546A31"/>
    <w:rsid w:val="4A680700"/>
    <w:rsid w:val="4A691BA3"/>
    <w:rsid w:val="4A712484"/>
    <w:rsid w:val="4A75264F"/>
    <w:rsid w:val="4A8622B6"/>
    <w:rsid w:val="4AA13962"/>
    <w:rsid w:val="4AAB2830"/>
    <w:rsid w:val="4AB809E6"/>
    <w:rsid w:val="4ADB40EF"/>
    <w:rsid w:val="4ADD4949"/>
    <w:rsid w:val="4AE86A3E"/>
    <w:rsid w:val="4AF40C8C"/>
    <w:rsid w:val="4AF7270C"/>
    <w:rsid w:val="4B037587"/>
    <w:rsid w:val="4B0C10BD"/>
    <w:rsid w:val="4B13723E"/>
    <w:rsid w:val="4B33627A"/>
    <w:rsid w:val="4B3529F4"/>
    <w:rsid w:val="4B356505"/>
    <w:rsid w:val="4B3A331C"/>
    <w:rsid w:val="4B3C3CE3"/>
    <w:rsid w:val="4B3D32A5"/>
    <w:rsid w:val="4B4479FD"/>
    <w:rsid w:val="4B503E7D"/>
    <w:rsid w:val="4B5154C2"/>
    <w:rsid w:val="4B5526A6"/>
    <w:rsid w:val="4B6933C7"/>
    <w:rsid w:val="4B6A739A"/>
    <w:rsid w:val="4B6B2FC4"/>
    <w:rsid w:val="4B6C15A0"/>
    <w:rsid w:val="4B7F73B1"/>
    <w:rsid w:val="4B816AF3"/>
    <w:rsid w:val="4B84080B"/>
    <w:rsid w:val="4B9C1C4B"/>
    <w:rsid w:val="4BBA5C6F"/>
    <w:rsid w:val="4BC3761F"/>
    <w:rsid w:val="4BEE2702"/>
    <w:rsid w:val="4BF1539E"/>
    <w:rsid w:val="4BF85B6F"/>
    <w:rsid w:val="4BFB6578"/>
    <w:rsid w:val="4BFC61C1"/>
    <w:rsid w:val="4C0D69A5"/>
    <w:rsid w:val="4C114E73"/>
    <w:rsid w:val="4C12586E"/>
    <w:rsid w:val="4C1F5E0C"/>
    <w:rsid w:val="4C256C42"/>
    <w:rsid w:val="4C276414"/>
    <w:rsid w:val="4C30348B"/>
    <w:rsid w:val="4C3213BE"/>
    <w:rsid w:val="4C457E06"/>
    <w:rsid w:val="4C486022"/>
    <w:rsid w:val="4C5653EF"/>
    <w:rsid w:val="4C5B7215"/>
    <w:rsid w:val="4C6E490F"/>
    <w:rsid w:val="4C7615EC"/>
    <w:rsid w:val="4C793236"/>
    <w:rsid w:val="4C7A3E0A"/>
    <w:rsid w:val="4C8C4E8D"/>
    <w:rsid w:val="4C9838A1"/>
    <w:rsid w:val="4C992C68"/>
    <w:rsid w:val="4C9A24A5"/>
    <w:rsid w:val="4CB4751A"/>
    <w:rsid w:val="4CC90623"/>
    <w:rsid w:val="4CCB194E"/>
    <w:rsid w:val="4CCF1A0C"/>
    <w:rsid w:val="4CD715B6"/>
    <w:rsid w:val="4CDE433D"/>
    <w:rsid w:val="4CE34671"/>
    <w:rsid w:val="4CF03284"/>
    <w:rsid w:val="4CFE58B7"/>
    <w:rsid w:val="4D062112"/>
    <w:rsid w:val="4D0A60AB"/>
    <w:rsid w:val="4D0D5045"/>
    <w:rsid w:val="4D107159"/>
    <w:rsid w:val="4D241DA1"/>
    <w:rsid w:val="4D260213"/>
    <w:rsid w:val="4D2A06C0"/>
    <w:rsid w:val="4D333CEE"/>
    <w:rsid w:val="4D510618"/>
    <w:rsid w:val="4D694853"/>
    <w:rsid w:val="4D6E3730"/>
    <w:rsid w:val="4D7D0B22"/>
    <w:rsid w:val="4D8A4419"/>
    <w:rsid w:val="4D8E2DD5"/>
    <w:rsid w:val="4D91494B"/>
    <w:rsid w:val="4D964BDE"/>
    <w:rsid w:val="4DA22F6F"/>
    <w:rsid w:val="4DA2676F"/>
    <w:rsid w:val="4DA366F2"/>
    <w:rsid w:val="4DB90D53"/>
    <w:rsid w:val="4DC43E1F"/>
    <w:rsid w:val="4DC82688"/>
    <w:rsid w:val="4DCA651D"/>
    <w:rsid w:val="4DD455C4"/>
    <w:rsid w:val="4DEE1BA4"/>
    <w:rsid w:val="4DEF40B9"/>
    <w:rsid w:val="4DF85277"/>
    <w:rsid w:val="4DFC5B74"/>
    <w:rsid w:val="4E00643A"/>
    <w:rsid w:val="4E020DDB"/>
    <w:rsid w:val="4E1307DE"/>
    <w:rsid w:val="4E1A5E9B"/>
    <w:rsid w:val="4E1D7719"/>
    <w:rsid w:val="4E206385"/>
    <w:rsid w:val="4E220315"/>
    <w:rsid w:val="4E2B750E"/>
    <w:rsid w:val="4E525C89"/>
    <w:rsid w:val="4E6C7842"/>
    <w:rsid w:val="4E716DD6"/>
    <w:rsid w:val="4E7937FC"/>
    <w:rsid w:val="4E7D41EF"/>
    <w:rsid w:val="4E8743CF"/>
    <w:rsid w:val="4E8A19A2"/>
    <w:rsid w:val="4E8B1908"/>
    <w:rsid w:val="4E931C37"/>
    <w:rsid w:val="4E932393"/>
    <w:rsid w:val="4EA73499"/>
    <w:rsid w:val="4EA75B41"/>
    <w:rsid w:val="4EAF6660"/>
    <w:rsid w:val="4EB3158A"/>
    <w:rsid w:val="4EB96E27"/>
    <w:rsid w:val="4EBA6759"/>
    <w:rsid w:val="4EC03CA9"/>
    <w:rsid w:val="4EC112A5"/>
    <w:rsid w:val="4EC27DC2"/>
    <w:rsid w:val="4ECD7A91"/>
    <w:rsid w:val="4EE520BF"/>
    <w:rsid w:val="4EF56B4D"/>
    <w:rsid w:val="4F05494C"/>
    <w:rsid w:val="4F0C63A5"/>
    <w:rsid w:val="4F0D50A9"/>
    <w:rsid w:val="4F0F038D"/>
    <w:rsid w:val="4F1A1BAB"/>
    <w:rsid w:val="4F1A62E3"/>
    <w:rsid w:val="4F20737B"/>
    <w:rsid w:val="4F2E7B80"/>
    <w:rsid w:val="4F311C64"/>
    <w:rsid w:val="4F41177A"/>
    <w:rsid w:val="4F426511"/>
    <w:rsid w:val="4F460289"/>
    <w:rsid w:val="4F737BC5"/>
    <w:rsid w:val="4F74410C"/>
    <w:rsid w:val="4F794C9C"/>
    <w:rsid w:val="4F8306AF"/>
    <w:rsid w:val="4F836B95"/>
    <w:rsid w:val="4F897829"/>
    <w:rsid w:val="4F91108C"/>
    <w:rsid w:val="4F970DE9"/>
    <w:rsid w:val="4F971FC4"/>
    <w:rsid w:val="4FA5268C"/>
    <w:rsid w:val="4FC804D5"/>
    <w:rsid w:val="4FCC1A25"/>
    <w:rsid w:val="4FE55584"/>
    <w:rsid w:val="4FED55C7"/>
    <w:rsid w:val="4FF22676"/>
    <w:rsid w:val="4FF534DD"/>
    <w:rsid w:val="4FFE1B06"/>
    <w:rsid w:val="50047F66"/>
    <w:rsid w:val="500A40D7"/>
    <w:rsid w:val="500A7B7B"/>
    <w:rsid w:val="502138A5"/>
    <w:rsid w:val="504679E1"/>
    <w:rsid w:val="50577CF3"/>
    <w:rsid w:val="505A67EB"/>
    <w:rsid w:val="505B2A5F"/>
    <w:rsid w:val="505D6717"/>
    <w:rsid w:val="50671524"/>
    <w:rsid w:val="50750658"/>
    <w:rsid w:val="50765757"/>
    <w:rsid w:val="50786A5B"/>
    <w:rsid w:val="50893BCA"/>
    <w:rsid w:val="508C15FC"/>
    <w:rsid w:val="509949D5"/>
    <w:rsid w:val="50B63FD8"/>
    <w:rsid w:val="50BB47E0"/>
    <w:rsid w:val="50BD18A9"/>
    <w:rsid w:val="50C46BEE"/>
    <w:rsid w:val="50CD4459"/>
    <w:rsid w:val="50D24BCE"/>
    <w:rsid w:val="50E33CEC"/>
    <w:rsid w:val="50E53551"/>
    <w:rsid w:val="50F41063"/>
    <w:rsid w:val="50FC73BD"/>
    <w:rsid w:val="50FC78EC"/>
    <w:rsid w:val="5104794E"/>
    <w:rsid w:val="510A138F"/>
    <w:rsid w:val="510F1A3E"/>
    <w:rsid w:val="5111216C"/>
    <w:rsid w:val="511727DE"/>
    <w:rsid w:val="511C56B7"/>
    <w:rsid w:val="511D153D"/>
    <w:rsid w:val="51205FD8"/>
    <w:rsid w:val="512D743E"/>
    <w:rsid w:val="513C4376"/>
    <w:rsid w:val="51435D0C"/>
    <w:rsid w:val="51446169"/>
    <w:rsid w:val="51522E2C"/>
    <w:rsid w:val="516066DB"/>
    <w:rsid w:val="516B6A17"/>
    <w:rsid w:val="516E22FB"/>
    <w:rsid w:val="517765FC"/>
    <w:rsid w:val="517A2837"/>
    <w:rsid w:val="51844A77"/>
    <w:rsid w:val="518C0DE8"/>
    <w:rsid w:val="519A032B"/>
    <w:rsid w:val="519E21FD"/>
    <w:rsid w:val="51AA50F9"/>
    <w:rsid w:val="51AB49A2"/>
    <w:rsid w:val="51B06B92"/>
    <w:rsid w:val="51B07591"/>
    <w:rsid w:val="51B43002"/>
    <w:rsid w:val="51BA0805"/>
    <w:rsid w:val="51BB1A11"/>
    <w:rsid w:val="51BD6C11"/>
    <w:rsid w:val="51D6668D"/>
    <w:rsid w:val="51DA58AE"/>
    <w:rsid w:val="51E41A5B"/>
    <w:rsid w:val="51E5449B"/>
    <w:rsid w:val="51E66508"/>
    <w:rsid w:val="51E847AF"/>
    <w:rsid w:val="51EA7907"/>
    <w:rsid w:val="51F021AD"/>
    <w:rsid w:val="51FF13BB"/>
    <w:rsid w:val="52017EFE"/>
    <w:rsid w:val="521C3624"/>
    <w:rsid w:val="521E5FFD"/>
    <w:rsid w:val="524450A3"/>
    <w:rsid w:val="524C00D9"/>
    <w:rsid w:val="52503B7B"/>
    <w:rsid w:val="52506A55"/>
    <w:rsid w:val="52510CC8"/>
    <w:rsid w:val="52583CBA"/>
    <w:rsid w:val="52643FB3"/>
    <w:rsid w:val="526808AA"/>
    <w:rsid w:val="5270414C"/>
    <w:rsid w:val="52711162"/>
    <w:rsid w:val="52711725"/>
    <w:rsid w:val="52885E29"/>
    <w:rsid w:val="528D2EAA"/>
    <w:rsid w:val="5292692F"/>
    <w:rsid w:val="529D0F21"/>
    <w:rsid w:val="52A34F1C"/>
    <w:rsid w:val="52B224F0"/>
    <w:rsid w:val="52B41F04"/>
    <w:rsid w:val="52C660C9"/>
    <w:rsid w:val="52CF29D7"/>
    <w:rsid w:val="52D90E94"/>
    <w:rsid w:val="52D94139"/>
    <w:rsid w:val="52E3567F"/>
    <w:rsid w:val="52ED06D4"/>
    <w:rsid w:val="53001BB3"/>
    <w:rsid w:val="530265E4"/>
    <w:rsid w:val="53143779"/>
    <w:rsid w:val="531A32B3"/>
    <w:rsid w:val="531B3817"/>
    <w:rsid w:val="531D340B"/>
    <w:rsid w:val="53264D65"/>
    <w:rsid w:val="532931AC"/>
    <w:rsid w:val="533A61C8"/>
    <w:rsid w:val="534555A6"/>
    <w:rsid w:val="5349426B"/>
    <w:rsid w:val="534A29AE"/>
    <w:rsid w:val="53501B3A"/>
    <w:rsid w:val="535449BE"/>
    <w:rsid w:val="5367646B"/>
    <w:rsid w:val="53694B1D"/>
    <w:rsid w:val="537514ED"/>
    <w:rsid w:val="537E0953"/>
    <w:rsid w:val="53815461"/>
    <w:rsid w:val="53987838"/>
    <w:rsid w:val="53AB168D"/>
    <w:rsid w:val="53AC47FA"/>
    <w:rsid w:val="53AD1FC2"/>
    <w:rsid w:val="53B07B30"/>
    <w:rsid w:val="53CD3590"/>
    <w:rsid w:val="53D23837"/>
    <w:rsid w:val="53D32C63"/>
    <w:rsid w:val="53DE6F83"/>
    <w:rsid w:val="53E17EA9"/>
    <w:rsid w:val="53EF3446"/>
    <w:rsid w:val="53F01264"/>
    <w:rsid w:val="53F42D0B"/>
    <w:rsid w:val="53F87508"/>
    <w:rsid w:val="53FC0EC4"/>
    <w:rsid w:val="5400395F"/>
    <w:rsid w:val="54062707"/>
    <w:rsid w:val="541233D7"/>
    <w:rsid w:val="541C389D"/>
    <w:rsid w:val="541F29DD"/>
    <w:rsid w:val="54223CC7"/>
    <w:rsid w:val="542C1497"/>
    <w:rsid w:val="5448592B"/>
    <w:rsid w:val="544C7BFD"/>
    <w:rsid w:val="545029C2"/>
    <w:rsid w:val="5450301F"/>
    <w:rsid w:val="5450471C"/>
    <w:rsid w:val="546A3A38"/>
    <w:rsid w:val="54736A86"/>
    <w:rsid w:val="547651B8"/>
    <w:rsid w:val="54780EBC"/>
    <w:rsid w:val="5479292E"/>
    <w:rsid w:val="547F33FC"/>
    <w:rsid w:val="548379B4"/>
    <w:rsid w:val="54BD53A6"/>
    <w:rsid w:val="54BE6D3E"/>
    <w:rsid w:val="54C2646B"/>
    <w:rsid w:val="54C72B03"/>
    <w:rsid w:val="54CC69D9"/>
    <w:rsid w:val="54CD0339"/>
    <w:rsid w:val="54D65F23"/>
    <w:rsid w:val="54E94703"/>
    <w:rsid w:val="54EA17CF"/>
    <w:rsid w:val="54EF0AAE"/>
    <w:rsid w:val="54F77F3B"/>
    <w:rsid w:val="54F9507D"/>
    <w:rsid w:val="55090AE5"/>
    <w:rsid w:val="5518442B"/>
    <w:rsid w:val="552611B1"/>
    <w:rsid w:val="552D2C5C"/>
    <w:rsid w:val="55316CD7"/>
    <w:rsid w:val="553271D3"/>
    <w:rsid w:val="55431821"/>
    <w:rsid w:val="554B700A"/>
    <w:rsid w:val="554F2666"/>
    <w:rsid w:val="555719C5"/>
    <w:rsid w:val="55686B6E"/>
    <w:rsid w:val="556C60B3"/>
    <w:rsid w:val="55754E2B"/>
    <w:rsid w:val="55834C84"/>
    <w:rsid w:val="55945D37"/>
    <w:rsid w:val="559B1B11"/>
    <w:rsid w:val="559F584A"/>
    <w:rsid w:val="55AA0F8C"/>
    <w:rsid w:val="55B95652"/>
    <w:rsid w:val="55C87E5B"/>
    <w:rsid w:val="55CD5E8D"/>
    <w:rsid w:val="55D65B5E"/>
    <w:rsid w:val="55D86E38"/>
    <w:rsid w:val="55DB4561"/>
    <w:rsid w:val="55DC55DC"/>
    <w:rsid w:val="55E701D7"/>
    <w:rsid w:val="55EB1F25"/>
    <w:rsid w:val="56001380"/>
    <w:rsid w:val="56065C8C"/>
    <w:rsid w:val="560A33CE"/>
    <w:rsid w:val="563E5AB2"/>
    <w:rsid w:val="564C522B"/>
    <w:rsid w:val="56674E0C"/>
    <w:rsid w:val="566969D2"/>
    <w:rsid w:val="567B169F"/>
    <w:rsid w:val="568453E0"/>
    <w:rsid w:val="56884473"/>
    <w:rsid w:val="56974290"/>
    <w:rsid w:val="569F7D4B"/>
    <w:rsid w:val="56A1020D"/>
    <w:rsid w:val="56A501F8"/>
    <w:rsid w:val="56B67C5D"/>
    <w:rsid w:val="56C055FC"/>
    <w:rsid w:val="56CC1BC8"/>
    <w:rsid w:val="56CC638C"/>
    <w:rsid w:val="56D3410E"/>
    <w:rsid w:val="56D51BC3"/>
    <w:rsid w:val="56DB67A7"/>
    <w:rsid w:val="56DD0AA0"/>
    <w:rsid w:val="56DE5AB0"/>
    <w:rsid w:val="570D273C"/>
    <w:rsid w:val="57200641"/>
    <w:rsid w:val="573518D3"/>
    <w:rsid w:val="573A1E70"/>
    <w:rsid w:val="57501DED"/>
    <w:rsid w:val="57634140"/>
    <w:rsid w:val="576524BB"/>
    <w:rsid w:val="576D1337"/>
    <w:rsid w:val="576D1AD2"/>
    <w:rsid w:val="577E4029"/>
    <w:rsid w:val="577E63EE"/>
    <w:rsid w:val="577F5FA9"/>
    <w:rsid w:val="577F68C1"/>
    <w:rsid w:val="57803B2B"/>
    <w:rsid w:val="57812F5F"/>
    <w:rsid w:val="57A1557A"/>
    <w:rsid w:val="57A4269E"/>
    <w:rsid w:val="57C24C91"/>
    <w:rsid w:val="57CB1715"/>
    <w:rsid w:val="57E64E79"/>
    <w:rsid w:val="57EC4DC1"/>
    <w:rsid w:val="57EE6662"/>
    <w:rsid w:val="57FB15E9"/>
    <w:rsid w:val="57FC57BD"/>
    <w:rsid w:val="57FF6155"/>
    <w:rsid w:val="580140A6"/>
    <w:rsid w:val="580B6E3C"/>
    <w:rsid w:val="580C1C8E"/>
    <w:rsid w:val="58120B37"/>
    <w:rsid w:val="581E62DD"/>
    <w:rsid w:val="58291B84"/>
    <w:rsid w:val="582B2B9E"/>
    <w:rsid w:val="582D397D"/>
    <w:rsid w:val="58342026"/>
    <w:rsid w:val="585673E9"/>
    <w:rsid w:val="586C3CC6"/>
    <w:rsid w:val="58783CFA"/>
    <w:rsid w:val="588D4442"/>
    <w:rsid w:val="58951088"/>
    <w:rsid w:val="58990FC0"/>
    <w:rsid w:val="589F492D"/>
    <w:rsid w:val="58A14C54"/>
    <w:rsid w:val="58A52894"/>
    <w:rsid w:val="58A64233"/>
    <w:rsid w:val="58B242BD"/>
    <w:rsid w:val="58BB3DC0"/>
    <w:rsid w:val="58D95B4A"/>
    <w:rsid w:val="58E236F3"/>
    <w:rsid w:val="58E6430A"/>
    <w:rsid w:val="5906339C"/>
    <w:rsid w:val="590D5741"/>
    <w:rsid w:val="590F601D"/>
    <w:rsid w:val="59131292"/>
    <w:rsid w:val="59232A72"/>
    <w:rsid w:val="59233310"/>
    <w:rsid w:val="5942577F"/>
    <w:rsid w:val="59482305"/>
    <w:rsid w:val="594F1EAF"/>
    <w:rsid w:val="596A0C5D"/>
    <w:rsid w:val="596D0588"/>
    <w:rsid w:val="597F36A8"/>
    <w:rsid w:val="59924FF5"/>
    <w:rsid w:val="59B04836"/>
    <w:rsid w:val="59B3123E"/>
    <w:rsid w:val="59B56492"/>
    <w:rsid w:val="59C35ACF"/>
    <w:rsid w:val="59C53B23"/>
    <w:rsid w:val="59E7033A"/>
    <w:rsid w:val="59F44E3A"/>
    <w:rsid w:val="5A02182B"/>
    <w:rsid w:val="5A0330E1"/>
    <w:rsid w:val="5A0D509A"/>
    <w:rsid w:val="5A2400DF"/>
    <w:rsid w:val="5A3D4791"/>
    <w:rsid w:val="5A4F7291"/>
    <w:rsid w:val="5A552EDD"/>
    <w:rsid w:val="5A64740A"/>
    <w:rsid w:val="5A664CCE"/>
    <w:rsid w:val="5A6729CF"/>
    <w:rsid w:val="5A6F7636"/>
    <w:rsid w:val="5A746011"/>
    <w:rsid w:val="5A8A5E83"/>
    <w:rsid w:val="5A9850D3"/>
    <w:rsid w:val="5AA20ED6"/>
    <w:rsid w:val="5AA708CA"/>
    <w:rsid w:val="5AAC551A"/>
    <w:rsid w:val="5AB37F0E"/>
    <w:rsid w:val="5AC512E0"/>
    <w:rsid w:val="5AE22317"/>
    <w:rsid w:val="5AF17F45"/>
    <w:rsid w:val="5AF26392"/>
    <w:rsid w:val="5AFD5309"/>
    <w:rsid w:val="5B2A28AF"/>
    <w:rsid w:val="5B2D4026"/>
    <w:rsid w:val="5B324C4C"/>
    <w:rsid w:val="5B3B4BE1"/>
    <w:rsid w:val="5B4427C2"/>
    <w:rsid w:val="5B5E6F93"/>
    <w:rsid w:val="5B615ECA"/>
    <w:rsid w:val="5B6160B4"/>
    <w:rsid w:val="5B691244"/>
    <w:rsid w:val="5B7C1860"/>
    <w:rsid w:val="5B7F50BF"/>
    <w:rsid w:val="5B867F38"/>
    <w:rsid w:val="5B9207A8"/>
    <w:rsid w:val="5B9C5C71"/>
    <w:rsid w:val="5B9F7DAC"/>
    <w:rsid w:val="5BAF71A5"/>
    <w:rsid w:val="5BB77E50"/>
    <w:rsid w:val="5BBB37E1"/>
    <w:rsid w:val="5BBB3896"/>
    <w:rsid w:val="5BC8419B"/>
    <w:rsid w:val="5BCD17B1"/>
    <w:rsid w:val="5BE254D8"/>
    <w:rsid w:val="5BE74621"/>
    <w:rsid w:val="5C0553DC"/>
    <w:rsid w:val="5C111495"/>
    <w:rsid w:val="5C165947"/>
    <w:rsid w:val="5C1739FF"/>
    <w:rsid w:val="5C274D45"/>
    <w:rsid w:val="5C3405B2"/>
    <w:rsid w:val="5C4863C1"/>
    <w:rsid w:val="5C61437B"/>
    <w:rsid w:val="5C6C3BD8"/>
    <w:rsid w:val="5C7C4404"/>
    <w:rsid w:val="5C8C06C1"/>
    <w:rsid w:val="5C9763F6"/>
    <w:rsid w:val="5C992D62"/>
    <w:rsid w:val="5C9B540C"/>
    <w:rsid w:val="5CB02287"/>
    <w:rsid w:val="5CB54F34"/>
    <w:rsid w:val="5CB6629C"/>
    <w:rsid w:val="5CC06B42"/>
    <w:rsid w:val="5CC24B59"/>
    <w:rsid w:val="5CC910CD"/>
    <w:rsid w:val="5CCC5196"/>
    <w:rsid w:val="5CDF5473"/>
    <w:rsid w:val="5CF71428"/>
    <w:rsid w:val="5D056253"/>
    <w:rsid w:val="5D1773C9"/>
    <w:rsid w:val="5D296CE8"/>
    <w:rsid w:val="5D2C5732"/>
    <w:rsid w:val="5D34149D"/>
    <w:rsid w:val="5D3B5726"/>
    <w:rsid w:val="5D3C7E3C"/>
    <w:rsid w:val="5D4601B1"/>
    <w:rsid w:val="5D491C07"/>
    <w:rsid w:val="5D494DBC"/>
    <w:rsid w:val="5D5201C0"/>
    <w:rsid w:val="5D55588E"/>
    <w:rsid w:val="5D5A0839"/>
    <w:rsid w:val="5D703A41"/>
    <w:rsid w:val="5D7A5CAC"/>
    <w:rsid w:val="5D7B0085"/>
    <w:rsid w:val="5D7B50D7"/>
    <w:rsid w:val="5D811B5C"/>
    <w:rsid w:val="5D826269"/>
    <w:rsid w:val="5D9500AD"/>
    <w:rsid w:val="5DAB27C9"/>
    <w:rsid w:val="5DAF1680"/>
    <w:rsid w:val="5DB46EC8"/>
    <w:rsid w:val="5DBE0579"/>
    <w:rsid w:val="5DCB6A18"/>
    <w:rsid w:val="5DD371C8"/>
    <w:rsid w:val="5DD718EC"/>
    <w:rsid w:val="5DE801BD"/>
    <w:rsid w:val="5DF34352"/>
    <w:rsid w:val="5DF84E51"/>
    <w:rsid w:val="5E2336EE"/>
    <w:rsid w:val="5E2B736D"/>
    <w:rsid w:val="5E331DA0"/>
    <w:rsid w:val="5E3522E7"/>
    <w:rsid w:val="5E3564A3"/>
    <w:rsid w:val="5E39617D"/>
    <w:rsid w:val="5E5A73BB"/>
    <w:rsid w:val="5E6572A9"/>
    <w:rsid w:val="5E6A136D"/>
    <w:rsid w:val="5E6F4588"/>
    <w:rsid w:val="5E790CA0"/>
    <w:rsid w:val="5E7945FC"/>
    <w:rsid w:val="5E930082"/>
    <w:rsid w:val="5EB351E3"/>
    <w:rsid w:val="5EB6009E"/>
    <w:rsid w:val="5EC55306"/>
    <w:rsid w:val="5ECB5E0F"/>
    <w:rsid w:val="5ED32946"/>
    <w:rsid w:val="5EE278D0"/>
    <w:rsid w:val="5EE50BC0"/>
    <w:rsid w:val="5EE51D75"/>
    <w:rsid w:val="5EE75787"/>
    <w:rsid w:val="5EE834BB"/>
    <w:rsid w:val="5EEC2C11"/>
    <w:rsid w:val="5EED1D69"/>
    <w:rsid w:val="5EF05EE3"/>
    <w:rsid w:val="5F0E22EC"/>
    <w:rsid w:val="5F1D0C80"/>
    <w:rsid w:val="5F4C162A"/>
    <w:rsid w:val="5F531728"/>
    <w:rsid w:val="5F701D7B"/>
    <w:rsid w:val="5F727FC6"/>
    <w:rsid w:val="5FAC1A25"/>
    <w:rsid w:val="5FB756D9"/>
    <w:rsid w:val="5FB7715C"/>
    <w:rsid w:val="5FBE789B"/>
    <w:rsid w:val="5FC07F43"/>
    <w:rsid w:val="5FC469D3"/>
    <w:rsid w:val="5FD862BD"/>
    <w:rsid w:val="5FDD0F28"/>
    <w:rsid w:val="5FE025AA"/>
    <w:rsid w:val="5FE5531C"/>
    <w:rsid w:val="5FE8019C"/>
    <w:rsid w:val="60041A0C"/>
    <w:rsid w:val="60085D90"/>
    <w:rsid w:val="600E4D47"/>
    <w:rsid w:val="60107EBF"/>
    <w:rsid w:val="60162C80"/>
    <w:rsid w:val="60265BCA"/>
    <w:rsid w:val="603A2B07"/>
    <w:rsid w:val="604460FA"/>
    <w:rsid w:val="6054527B"/>
    <w:rsid w:val="6061385C"/>
    <w:rsid w:val="606F5B12"/>
    <w:rsid w:val="607019A0"/>
    <w:rsid w:val="607F45F5"/>
    <w:rsid w:val="607F6BA2"/>
    <w:rsid w:val="60895D44"/>
    <w:rsid w:val="608E4E60"/>
    <w:rsid w:val="60A35595"/>
    <w:rsid w:val="60A652C9"/>
    <w:rsid w:val="60B3575F"/>
    <w:rsid w:val="60BE3971"/>
    <w:rsid w:val="60C34F31"/>
    <w:rsid w:val="60C36BAA"/>
    <w:rsid w:val="60D10E63"/>
    <w:rsid w:val="60DA02C2"/>
    <w:rsid w:val="60E471F1"/>
    <w:rsid w:val="60EB7AB4"/>
    <w:rsid w:val="60F600EF"/>
    <w:rsid w:val="60F864F0"/>
    <w:rsid w:val="610244AA"/>
    <w:rsid w:val="611304E9"/>
    <w:rsid w:val="61186287"/>
    <w:rsid w:val="612400C6"/>
    <w:rsid w:val="613045F7"/>
    <w:rsid w:val="6145645F"/>
    <w:rsid w:val="614B50C1"/>
    <w:rsid w:val="61517443"/>
    <w:rsid w:val="61705093"/>
    <w:rsid w:val="61711958"/>
    <w:rsid w:val="617F52FC"/>
    <w:rsid w:val="618F5E5F"/>
    <w:rsid w:val="619863BE"/>
    <w:rsid w:val="619F4369"/>
    <w:rsid w:val="61AF3E33"/>
    <w:rsid w:val="61B00A1E"/>
    <w:rsid w:val="61C44FB6"/>
    <w:rsid w:val="61CA606C"/>
    <w:rsid w:val="61D66196"/>
    <w:rsid w:val="61DA5B73"/>
    <w:rsid w:val="61DE243F"/>
    <w:rsid w:val="61F86BE7"/>
    <w:rsid w:val="62006316"/>
    <w:rsid w:val="621A51B1"/>
    <w:rsid w:val="621B7911"/>
    <w:rsid w:val="62244482"/>
    <w:rsid w:val="622446F8"/>
    <w:rsid w:val="622C2A0D"/>
    <w:rsid w:val="622F0AD0"/>
    <w:rsid w:val="62364403"/>
    <w:rsid w:val="62387CD2"/>
    <w:rsid w:val="62436960"/>
    <w:rsid w:val="624D4109"/>
    <w:rsid w:val="625C6B16"/>
    <w:rsid w:val="625F53CD"/>
    <w:rsid w:val="62604FDE"/>
    <w:rsid w:val="62686E91"/>
    <w:rsid w:val="627B5880"/>
    <w:rsid w:val="6294124F"/>
    <w:rsid w:val="629F2877"/>
    <w:rsid w:val="629F5000"/>
    <w:rsid w:val="62A3639A"/>
    <w:rsid w:val="62D17676"/>
    <w:rsid w:val="62D32BA1"/>
    <w:rsid w:val="63027145"/>
    <w:rsid w:val="63033B15"/>
    <w:rsid w:val="63075750"/>
    <w:rsid w:val="632769E9"/>
    <w:rsid w:val="633571CC"/>
    <w:rsid w:val="633B709F"/>
    <w:rsid w:val="6348512C"/>
    <w:rsid w:val="634D0FFB"/>
    <w:rsid w:val="634D4E50"/>
    <w:rsid w:val="63573F5E"/>
    <w:rsid w:val="63607B63"/>
    <w:rsid w:val="63610FE4"/>
    <w:rsid w:val="636451F8"/>
    <w:rsid w:val="636C18D4"/>
    <w:rsid w:val="63845D0A"/>
    <w:rsid w:val="63864396"/>
    <w:rsid w:val="639F010A"/>
    <w:rsid w:val="63AC40B1"/>
    <w:rsid w:val="63AC7B01"/>
    <w:rsid w:val="63B069B7"/>
    <w:rsid w:val="63C45248"/>
    <w:rsid w:val="63C85E2C"/>
    <w:rsid w:val="63CD0D35"/>
    <w:rsid w:val="63D92960"/>
    <w:rsid w:val="63E35F3A"/>
    <w:rsid w:val="63EC4F0E"/>
    <w:rsid w:val="63FF4C2E"/>
    <w:rsid w:val="64002371"/>
    <w:rsid w:val="6419743D"/>
    <w:rsid w:val="642D197F"/>
    <w:rsid w:val="64341732"/>
    <w:rsid w:val="64351649"/>
    <w:rsid w:val="643D2074"/>
    <w:rsid w:val="64505561"/>
    <w:rsid w:val="6451172E"/>
    <w:rsid w:val="6457136C"/>
    <w:rsid w:val="645B218B"/>
    <w:rsid w:val="646949A2"/>
    <w:rsid w:val="64740A1C"/>
    <w:rsid w:val="64752152"/>
    <w:rsid w:val="64802D6E"/>
    <w:rsid w:val="64811E3B"/>
    <w:rsid w:val="6481537F"/>
    <w:rsid w:val="64A37A75"/>
    <w:rsid w:val="64B7696A"/>
    <w:rsid w:val="64B87B33"/>
    <w:rsid w:val="64BB0CDB"/>
    <w:rsid w:val="64BF2823"/>
    <w:rsid w:val="64D30230"/>
    <w:rsid w:val="64D81ED5"/>
    <w:rsid w:val="64D85ADD"/>
    <w:rsid w:val="64E35BA2"/>
    <w:rsid w:val="64E45A26"/>
    <w:rsid w:val="64FA0716"/>
    <w:rsid w:val="65077AE2"/>
    <w:rsid w:val="650B4776"/>
    <w:rsid w:val="650C64B0"/>
    <w:rsid w:val="65182A1E"/>
    <w:rsid w:val="65194470"/>
    <w:rsid w:val="65202952"/>
    <w:rsid w:val="65341AB7"/>
    <w:rsid w:val="653C09DE"/>
    <w:rsid w:val="653D34A1"/>
    <w:rsid w:val="65405652"/>
    <w:rsid w:val="654C0A01"/>
    <w:rsid w:val="654C400E"/>
    <w:rsid w:val="654E5711"/>
    <w:rsid w:val="654F76FD"/>
    <w:rsid w:val="655C6B59"/>
    <w:rsid w:val="655F14BD"/>
    <w:rsid w:val="65801643"/>
    <w:rsid w:val="658954BB"/>
    <w:rsid w:val="65931D3A"/>
    <w:rsid w:val="659822DD"/>
    <w:rsid w:val="65A3380C"/>
    <w:rsid w:val="65B44DD6"/>
    <w:rsid w:val="65B52BF2"/>
    <w:rsid w:val="65D21F83"/>
    <w:rsid w:val="65D60201"/>
    <w:rsid w:val="65D95B4E"/>
    <w:rsid w:val="65E174B2"/>
    <w:rsid w:val="65F01AB4"/>
    <w:rsid w:val="65FE7F42"/>
    <w:rsid w:val="66003776"/>
    <w:rsid w:val="660B3DE6"/>
    <w:rsid w:val="66100967"/>
    <w:rsid w:val="662720D2"/>
    <w:rsid w:val="663219D1"/>
    <w:rsid w:val="663A5586"/>
    <w:rsid w:val="6653533F"/>
    <w:rsid w:val="66646397"/>
    <w:rsid w:val="666502D8"/>
    <w:rsid w:val="666D301C"/>
    <w:rsid w:val="666E2833"/>
    <w:rsid w:val="66843B20"/>
    <w:rsid w:val="66894AAD"/>
    <w:rsid w:val="668D4037"/>
    <w:rsid w:val="669C06FE"/>
    <w:rsid w:val="669D0FFF"/>
    <w:rsid w:val="669E5062"/>
    <w:rsid w:val="66A37B86"/>
    <w:rsid w:val="66B87247"/>
    <w:rsid w:val="66C1139D"/>
    <w:rsid w:val="66D12486"/>
    <w:rsid w:val="66D4710B"/>
    <w:rsid w:val="66D87459"/>
    <w:rsid w:val="66DC5B3F"/>
    <w:rsid w:val="66E039BD"/>
    <w:rsid w:val="66E03F2D"/>
    <w:rsid w:val="66E93D22"/>
    <w:rsid w:val="66EF6A80"/>
    <w:rsid w:val="66F81E55"/>
    <w:rsid w:val="67105321"/>
    <w:rsid w:val="672748B6"/>
    <w:rsid w:val="67286393"/>
    <w:rsid w:val="67381AD5"/>
    <w:rsid w:val="673E6218"/>
    <w:rsid w:val="675146C2"/>
    <w:rsid w:val="675608AD"/>
    <w:rsid w:val="675E2286"/>
    <w:rsid w:val="676E7F3D"/>
    <w:rsid w:val="67704FAD"/>
    <w:rsid w:val="67740045"/>
    <w:rsid w:val="677E4332"/>
    <w:rsid w:val="67836156"/>
    <w:rsid w:val="678C6942"/>
    <w:rsid w:val="67A27CC2"/>
    <w:rsid w:val="67A60B9C"/>
    <w:rsid w:val="67AD0F3F"/>
    <w:rsid w:val="67B40416"/>
    <w:rsid w:val="67EF30B3"/>
    <w:rsid w:val="68061993"/>
    <w:rsid w:val="680D0939"/>
    <w:rsid w:val="6816128D"/>
    <w:rsid w:val="6821710D"/>
    <w:rsid w:val="68237FD2"/>
    <w:rsid w:val="68394CF3"/>
    <w:rsid w:val="684557CE"/>
    <w:rsid w:val="68466D27"/>
    <w:rsid w:val="68490412"/>
    <w:rsid w:val="684945F7"/>
    <w:rsid w:val="685F4B8F"/>
    <w:rsid w:val="68602587"/>
    <w:rsid w:val="686D127F"/>
    <w:rsid w:val="687067F6"/>
    <w:rsid w:val="68747A3A"/>
    <w:rsid w:val="687C1324"/>
    <w:rsid w:val="68802A41"/>
    <w:rsid w:val="689078F6"/>
    <w:rsid w:val="689304A0"/>
    <w:rsid w:val="68B518B7"/>
    <w:rsid w:val="68B827AC"/>
    <w:rsid w:val="68B93D81"/>
    <w:rsid w:val="68DE4FFE"/>
    <w:rsid w:val="68E3352F"/>
    <w:rsid w:val="68E65278"/>
    <w:rsid w:val="68E82A67"/>
    <w:rsid w:val="68EC04DE"/>
    <w:rsid w:val="68FC7FC0"/>
    <w:rsid w:val="69022832"/>
    <w:rsid w:val="69093CAF"/>
    <w:rsid w:val="690B7520"/>
    <w:rsid w:val="691200AE"/>
    <w:rsid w:val="69152147"/>
    <w:rsid w:val="691D7752"/>
    <w:rsid w:val="692A0E78"/>
    <w:rsid w:val="69317031"/>
    <w:rsid w:val="694B63AC"/>
    <w:rsid w:val="694C640B"/>
    <w:rsid w:val="695452C0"/>
    <w:rsid w:val="695667AA"/>
    <w:rsid w:val="695D11F2"/>
    <w:rsid w:val="69647D29"/>
    <w:rsid w:val="6970357F"/>
    <w:rsid w:val="69765236"/>
    <w:rsid w:val="697E74B0"/>
    <w:rsid w:val="6992357A"/>
    <w:rsid w:val="69AB1271"/>
    <w:rsid w:val="69C01BDF"/>
    <w:rsid w:val="69C76718"/>
    <w:rsid w:val="69CF00C0"/>
    <w:rsid w:val="69D85016"/>
    <w:rsid w:val="69DA61FE"/>
    <w:rsid w:val="69E53476"/>
    <w:rsid w:val="69E67C99"/>
    <w:rsid w:val="6A0456C2"/>
    <w:rsid w:val="6A0A518E"/>
    <w:rsid w:val="6A0B1654"/>
    <w:rsid w:val="6A220495"/>
    <w:rsid w:val="6A270AB0"/>
    <w:rsid w:val="6A305C56"/>
    <w:rsid w:val="6A441179"/>
    <w:rsid w:val="6A5318E5"/>
    <w:rsid w:val="6A6D40BC"/>
    <w:rsid w:val="6A74411B"/>
    <w:rsid w:val="6A76121E"/>
    <w:rsid w:val="6A817C93"/>
    <w:rsid w:val="6A83685F"/>
    <w:rsid w:val="6A871F0C"/>
    <w:rsid w:val="6A90546D"/>
    <w:rsid w:val="6AA320BF"/>
    <w:rsid w:val="6AAB7162"/>
    <w:rsid w:val="6AB5211E"/>
    <w:rsid w:val="6ABF0E6A"/>
    <w:rsid w:val="6AD56845"/>
    <w:rsid w:val="6AD97F5A"/>
    <w:rsid w:val="6ADC4D2F"/>
    <w:rsid w:val="6ADF1EB2"/>
    <w:rsid w:val="6AEA10D6"/>
    <w:rsid w:val="6AF42FD3"/>
    <w:rsid w:val="6AF60EE0"/>
    <w:rsid w:val="6B05038A"/>
    <w:rsid w:val="6B196067"/>
    <w:rsid w:val="6B23060F"/>
    <w:rsid w:val="6B2B66DF"/>
    <w:rsid w:val="6B616DCC"/>
    <w:rsid w:val="6B731697"/>
    <w:rsid w:val="6B733969"/>
    <w:rsid w:val="6B776695"/>
    <w:rsid w:val="6B8829BB"/>
    <w:rsid w:val="6B8A0EE1"/>
    <w:rsid w:val="6B9A59AF"/>
    <w:rsid w:val="6BA076F0"/>
    <w:rsid w:val="6BC3763E"/>
    <w:rsid w:val="6BC568DE"/>
    <w:rsid w:val="6BC90A33"/>
    <w:rsid w:val="6BCA00F3"/>
    <w:rsid w:val="6BD00565"/>
    <w:rsid w:val="6BD93FDA"/>
    <w:rsid w:val="6BDA756C"/>
    <w:rsid w:val="6BEB340B"/>
    <w:rsid w:val="6BFE0F82"/>
    <w:rsid w:val="6BFF36AF"/>
    <w:rsid w:val="6C127357"/>
    <w:rsid w:val="6C144674"/>
    <w:rsid w:val="6C2E38EE"/>
    <w:rsid w:val="6C3811AE"/>
    <w:rsid w:val="6C465394"/>
    <w:rsid w:val="6C5164C2"/>
    <w:rsid w:val="6C576A17"/>
    <w:rsid w:val="6C584BED"/>
    <w:rsid w:val="6C602F3C"/>
    <w:rsid w:val="6C647BD2"/>
    <w:rsid w:val="6C673653"/>
    <w:rsid w:val="6C774EA5"/>
    <w:rsid w:val="6C77611C"/>
    <w:rsid w:val="6C7D1340"/>
    <w:rsid w:val="6C7E0D8E"/>
    <w:rsid w:val="6C7E7AEE"/>
    <w:rsid w:val="6C8304A3"/>
    <w:rsid w:val="6C8A7F22"/>
    <w:rsid w:val="6C8E2466"/>
    <w:rsid w:val="6C9D26A9"/>
    <w:rsid w:val="6CB561E6"/>
    <w:rsid w:val="6CBA5618"/>
    <w:rsid w:val="6CC02E2E"/>
    <w:rsid w:val="6CC62AAC"/>
    <w:rsid w:val="6CC72155"/>
    <w:rsid w:val="6CD04B41"/>
    <w:rsid w:val="6CD7729B"/>
    <w:rsid w:val="6CD96E67"/>
    <w:rsid w:val="6CE27AF9"/>
    <w:rsid w:val="6CE30221"/>
    <w:rsid w:val="6CF14196"/>
    <w:rsid w:val="6CF83B19"/>
    <w:rsid w:val="6D001895"/>
    <w:rsid w:val="6D1B4843"/>
    <w:rsid w:val="6D242CB5"/>
    <w:rsid w:val="6D317997"/>
    <w:rsid w:val="6D324CAD"/>
    <w:rsid w:val="6D347EA9"/>
    <w:rsid w:val="6D36353D"/>
    <w:rsid w:val="6D3A1767"/>
    <w:rsid w:val="6D3B587B"/>
    <w:rsid w:val="6D594AFC"/>
    <w:rsid w:val="6D5B6C1D"/>
    <w:rsid w:val="6D62382B"/>
    <w:rsid w:val="6D696D90"/>
    <w:rsid w:val="6DA03382"/>
    <w:rsid w:val="6DBB120B"/>
    <w:rsid w:val="6DBE1A43"/>
    <w:rsid w:val="6DC24EEE"/>
    <w:rsid w:val="6DCF476F"/>
    <w:rsid w:val="6DD2377C"/>
    <w:rsid w:val="6DF04651"/>
    <w:rsid w:val="6DF825E5"/>
    <w:rsid w:val="6E001573"/>
    <w:rsid w:val="6E010E59"/>
    <w:rsid w:val="6E0D3650"/>
    <w:rsid w:val="6E1E28B0"/>
    <w:rsid w:val="6E1F30DA"/>
    <w:rsid w:val="6E282CF9"/>
    <w:rsid w:val="6E2D2C94"/>
    <w:rsid w:val="6E3916E2"/>
    <w:rsid w:val="6E461B04"/>
    <w:rsid w:val="6E582A2C"/>
    <w:rsid w:val="6E5C0F2E"/>
    <w:rsid w:val="6E6011F9"/>
    <w:rsid w:val="6E625F3F"/>
    <w:rsid w:val="6E6E1524"/>
    <w:rsid w:val="6E712A0A"/>
    <w:rsid w:val="6E7E2890"/>
    <w:rsid w:val="6E825693"/>
    <w:rsid w:val="6E86724E"/>
    <w:rsid w:val="6E970E23"/>
    <w:rsid w:val="6E9C73BB"/>
    <w:rsid w:val="6EA13BFA"/>
    <w:rsid w:val="6EC15B86"/>
    <w:rsid w:val="6EC543D7"/>
    <w:rsid w:val="6ECF56A9"/>
    <w:rsid w:val="6EE54ACA"/>
    <w:rsid w:val="6EFF229C"/>
    <w:rsid w:val="6F045092"/>
    <w:rsid w:val="6F095D45"/>
    <w:rsid w:val="6F1A2251"/>
    <w:rsid w:val="6F2A675D"/>
    <w:rsid w:val="6F5E47A3"/>
    <w:rsid w:val="6F721649"/>
    <w:rsid w:val="6F844DBC"/>
    <w:rsid w:val="6F8715EB"/>
    <w:rsid w:val="6F8725F7"/>
    <w:rsid w:val="6F8C1686"/>
    <w:rsid w:val="6F96218E"/>
    <w:rsid w:val="6FB47C33"/>
    <w:rsid w:val="6FB54193"/>
    <w:rsid w:val="6FBD6232"/>
    <w:rsid w:val="6FC01F8F"/>
    <w:rsid w:val="6FD64AE1"/>
    <w:rsid w:val="6FD920E4"/>
    <w:rsid w:val="6FDB6416"/>
    <w:rsid w:val="6FDC1942"/>
    <w:rsid w:val="6FE06C43"/>
    <w:rsid w:val="6FE20202"/>
    <w:rsid w:val="6FEC283D"/>
    <w:rsid w:val="6FF93153"/>
    <w:rsid w:val="6FFA2C08"/>
    <w:rsid w:val="700C21C5"/>
    <w:rsid w:val="702A275D"/>
    <w:rsid w:val="703D65DA"/>
    <w:rsid w:val="703F5BF3"/>
    <w:rsid w:val="704C260E"/>
    <w:rsid w:val="70543CE2"/>
    <w:rsid w:val="70561F0A"/>
    <w:rsid w:val="70587444"/>
    <w:rsid w:val="706458F5"/>
    <w:rsid w:val="70661382"/>
    <w:rsid w:val="707675BB"/>
    <w:rsid w:val="709D2DEC"/>
    <w:rsid w:val="709F20B3"/>
    <w:rsid w:val="70A01767"/>
    <w:rsid w:val="70AA46DF"/>
    <w:rsid w:val="70B82FD3"/>
    <w:rsid w:val="70B95679"/>
    <w:rsid w:val="70C224AB"/>
    <w:rsid w:val="70C432B4"/>
    <w:rsid w:val="70CC28E1"/>
    <w:rsid w:val="70CD0C4A"/>
    <w:rsid w:val="70CF4244"/>
    <w:rsid w:val="70D27F79"/>
    <w:rsid w:val="70D3165F"/>
    <w:rsid w:val="70D676F5"/>
    <w:rsid w:val="70DF7ED0"/>
    <w:rsid w:val="70EC65A4"/>
    <w:rsid w:val="70ED4155"/>
    <w:rsid w:val="70F82D59"/>
    <w:rsid w:val="71017ADB"/>
    <w:rsid w:val="710515F9"/>
    <w:rsid w:val="711606F7"/>
    <w:rsid w:val="711B3282"/>
    <w:rsid w:val="711C5DC8"/>
    <w:rsid w:val="71275730"/>
    <w:rsid w:val="712D6B22"/>
    <w:rsid w:val="713043DC"/>
    <w:rsid w:val="7136359B"/>
    <w:rsid w:val="714A763C"/>
    <w:rsid w:val="714F1722"/>
    <w:rsid w:val="7175261E"/>
    <w:rsid w:val="717C7162"/>
    <w:rsid w:val="718B4D1E"/>
    <w:rsid w:val="7198256C"/>
    <w:rsid w:val="719C7B18"/>
    <w:rsid w:val="719E7939"/>
    <w:rsid w:val="71A05546"/>
    <w:rsid w:val="71B31268"/>
    <w:rsid w:val="71B66B18"/>
    <w:rsid w:val="71BB5741"/>
    <w:rsid w:val="71C30E32"/>
    <w:rsid w:val="71CE7B26"/>
    <w:rsid w:val="71E02D3A"/>
    <w:rsid w:val="71E35AA0"/>
    <w:rsid w:val="71EB7849"/>
    <w:rsid w:val="71F24FB3"/>
    <w:rsid w:val="71F52906"/>
    <w:rsid w:val="720C2BDC"/>
    <w:rsid w:val="720D1F2F"/>
    <w:rsid w:val="72181794"/>
    <w:rsid w:val="72256327"/>
    <w:rsid w:val="723A7447"/>
    <w:rsid w:val="726D6FD7"/>
    <w:rsid w:val="726E59DE"/>
    <w:rsid w:val="72712692"/>
    <w:rsid w:val="727D4077"/>
    <w:rsid w:val="72817AAD"/>
    <w:rsid w:val="72834E1B"/>
    <w:rsid w:val="72863AA7"/>
    <w:rsid w:val="728F7ACD"/>
    <w:rsid w:val="72943159"/>
    <w:rsid w:val="72953AF1"/>
    <w:rsid w:val="72B20521"/>
    <w:rsid w:val="72B80B69"/>
    <w:rsid w:val="72C15774"/>
    <w:rsid w:val="72C4162D"/>
    <w:rsid w:val="72CF7B5F"/>
    <w:rsid w:val="72DC7380"/>
    <w:rsid w:val="72DE30C9"/>
    <w:rsid w:val="72E328D4"/>
    <w:rsid w:val="72E43F2E"/>
    <w:rsid w:val="7300264F"/>
    <w:rsid w:val="73150018"/>
    <w:rsid w:val="731F472C"/>
    <w:rsid w:val="73225980"/>
    <w:rsid w:val="733F2B3D"/>
    <w:rsid w:val="733F6D59"/>
    <w:rsid w:val="734C1455"/>
    <w:rsid w:val="735F1053"/>
    <w:rsid w:val="73691C33"/>
    <w:rsid w:val="7373536B"/>
    <w:rsid w:val="73770563"/>
    <w:rsid w:val="737D37CC"/>
    <w:rsid w:val="73852A1F"/>
    <w:rsid w:val="73893DB8"/>
    <w:rsid w:val="738C4998"/>
    <w:rsid w:val="73A24FAD"/>
    <w:rsid w:val="73AA47FB"/>
    <w:rsid w:val="73AD7669"/>
    <w:rsid w:val="73B04BCD"/>
    <w:rsid w:val="73B40CBC"/>
    <w:rsid w:val="73B437AC"/>
    <w:rsid w:val="73B65D64"/>
    <w:rsid w:val="73BC476F"/>
    <w:rsid w:val="73D14BBF"/>
    <w:rsid w:val="73D828A3"/>
    <w:rsid w:val="73E26FB6"/>
    <w:rsid w:val="73EC4687"/>
    <w:rsid w:val="73FD0584"/>
    <w:rsid w:val="74126BC0"/>
    <w:rsid w:val="74150779"/>
    <w:rsid w:val="742560F8"/>
    <w:rsid w:val="74273790"/>
    <w:rsid w:val="742A7349"/>
    <w:rsid w:val="74432E49"/>
    <w:rsid w:val="744732F4"/>
    <w:rsid w:val="744814A9"/>
    <w:rsid w:val="744D309E"/>
    <w:rsid w:val="74535B7F"/>
    <w:rsid w:val="745C1017"/>
    <w:rsid w:val="745C2583"/>
    <w:rsid w:val="746022ED"/>
    <w:rsid w:val="746A7EDD"/>
    <w:rsid w:val="74717262"/>
    <w:rsid w:val="747B47C1"/>
    <w:rsid w:val="747B6FB9"/>
    <w:rsid w:val="748969B2"/>
    <w:rsid w:val="748F55EA"/>
    <w:rsid w:val="74964603"/>
    <w:rsid w:val="74994604"/>
    <w:rsid w:val="74A25132"/>
    <w:rsid w:val="74A76C06"/>
    <w:rsid w:val="74C11875"/>
    <w:rsid w:val="74C177D1"/>
    <w:rsid w:val="74C43CC3"/>
    <w:rsid w:val="74D329FB"/>
    <w:rsid w:val="74D57736"/>
    <w:rsid w:val="74D76582"/>
    <w:rsid w:val="74D974C6"/>
    <w:rsid w:val="74DF6CA7"/>
    <w:rsid w:val="74E30911"/>
    <w:rsid w:val="74E41769"/>
    <w:rsid w:val="74E54B1E"/>
    <w:rsid w:val="74F16523"/>
    <w:rsid w:val="74FD6AF9"/>
    <w:rsid w:val="7505436A"/>
    <w:rsid w:val="750C1956"/>
    <w:rsid w:val="750C6A6D"/>
    <w:rsid w:val="7514582F"/>
    <w:rsid w:val="75207767"/>
    <w:rsid w:val="75257746"/>
    <w:rsid w:val="752B131B"/>
    <w:rsid w:val="7537110F"/>
    <w:rsid w:val="753900F5"/>
    <w:rsid w:val="754B359F"/>
    <w:rsid w:val="755334CE"/>
    <w:rsid w:val="755F4F63"/>
    <w:rsid w:val="756C77A6"/>
    <w:rsid w:val="75814EB7"/>
    <w:rsid w:val="75971833"/>
    <w:rsid w:val="75AE1913"/>
    <w:rsid w:val="75C24F30"/>
    <w:rsid w:val="75C97A4F"/>
    <w:rsid w:val="75CA6FC2"/>
    <w:rsid w:val="75D0102D"/>
    <w:rsid w:val="75D17E5F"/>
    <w:rsid w:val="75D72FE8"/>
    <w:rsid w:val="75D73A52"/>
    <w:rsid w:val="75D9071B"/>
    <w:rsid w:val="75DA0B91"/>
    <w:rsid w:val="75DD11C7"/>
    <w:rsid w:val="75FE1C7F"/>
    <w:rsid w:val="7608238C"/>
    <w:rsid w:val="76094850"/>
    <w:rsid w:val="762A6911"/>
    <w:rsid w:val="762B7BC5"/>
    <w:rsid w:val="76426BCC"/>
    <w:rsid w:val="764A13AC"/>
    <w:rsid w:val="76504B2A"/>
    <w:rsid w:val="76515480"/>
    <w:rsid w:val="76742690"/>
    <w:rsid w:val="767D65DB"/>
    <w:rsid w:val="768D6682"/>
    <w:rsid w:val="76A4332D"/>
    <w:rsid w:val="76CB270C"/>
    <w:rsid w:val="76CF55CF"/>
    <w:rsid w:val="76E00191"/>
    <w:rsid w:val="76E063E5"/>
    <w:rsid w:val="76F529B8"/>
    <w:rsid w:val="77125CD2"/>
    <w:rsid w:val="771D09A0"/>
    <w:rsid w:val="773310E3"/>
    <w:rsid w:val="773F0E83"/>
    <w:rsid w:val="773F5E69"/>
    <w:rsid w:val="77511B2F"/>
    <w:rsid w:val="77530965"/>
    <w:rsid w:val="776813F1"/>
    <w:rsid w:val="776B358A"/>
    <w:rsid w:val="777E7E85"/>
    <w:rsid w:val="77880CD0"/>
    <w:rsid w:val="77885880"/>
    <w:rsid w:val="779043E2"/>
    <w:rsid w:val="779150B9"/>
    <w:rsid w:val="77925FC7"/>
    <w:rsid w:val="77972F48"/>
    <w:rsid w:val="779D7E32"/>
    <w:rsid w:val="779D7FD8"/>
    <w:rsid w:val="77A67511"/>
    <w:rsid w:val="77AA6F77"/>
    <w:rsid w:val="77B203F2"/>
    <w:rsid w:val="77B24665"/>
    <w:rsid w:val="77B34168"/>
    <w:rsid w:val="77B853CE"/>
    <w:rsid w:val="77BE1E71"/>
    <w:rsid w:val="77C36C3C"/>
    <w:rsid w:val="77C5609A"/>
    <w:rsid w:val="77CB0788"/>
    <w:rsid w:val="77DF0EAD"/>
    <w:rsid w:val="780973DB"/>
    <w:rsid w:val="78102276"/>
    <w:rsid w:val="78160310"/>
    <w:rsid w:val="78164B46"/>
    <w:rsid w:val="781E71C5"/>
    <w:rsid w:val="782028E2"/>
    <w:rsid w:val="78256801"/>
    <w:rsid w:val="78340796"/>
    <w:rsid w:val="78347722"/>
    <w:rsid w:val="78472E67"/>
    <w:rsid w:val="784D556E"/>
    <w:rsid w:val="784E76DC"/>
    <w:rsid w:val="786367EE"/>
    <w:rsid w:val="786A010A"/>
    <w:rsid w:val="787C42DD"/>
    <w:rsid w:val="78893B30"/>
    <w:rsid w:val="788A5451"/>
    <w:rsid w:val="789D4FA3"/>
    <w:rsid w:val="78A504C8"/>
    <w:rsid w:val="78A924A3"/>
    <w:rsid w:val="78AF6B87"/>
    <w:rsid w:val="78B13B0E"/>
    <w:rsid w:val="78B64592"/>
    <w:rsid w:val="78B8775D"/>
    <w:rsid w:val="78C84750"/>
    <w:rsid w:val="78D90CFA"/>
    <w:rsid w:val="78DA2088"/>
    <w:rsid w:val="78DF77D5"/>
    <w:rsid w:val="78E30D70"/>
    <w:rsid w:val="78E656E7"/>
    <w:rsid w:val="78E75646"/>
    <w:rsid w:val="78EB5EFD"/>
    <w:rsid w:val="78F8672E"/>
    <w:rsid w:val="79062161"/>
    <w:rsid w:val="79162D4D"/>
    <w:rsid w:val="792D38DD"/>
    <w:rsid w:val="793C27D0"/>
    <w:rsid w:val="79481F08"/>
    <w:rsid w:val="79496D88"/>
    <w:rsid w:val="794A75B4"/>
    <w:rsid w:val="794C1DA6"/>
    <w:rsid w:val="795874B4"/>
    <w:rsid w:val="795E4FD6"/>
    <w:rsid w:val="7961710C"/>
    <w:rsid w:val="796226B7"/>
    <w:rsid w:val="798736BF"/>
    <w:rsid w:val="798813F5"/>
    <w:rsid w:val="7993561B"/>
    <w:rsid w:val="799514CA"/>
    <w:rsid w:val="799C5797"/>
    <w:rsid w:val="79A156EC"/>
    <w:rsid w:val="79A8041A"/>
    <w:rsid w:val="79B44348"/>
    <w:rsid w:val="79C32FEF"/>
    <w:rsid w:val="79CB537C"/>
    <w:rsid w:val="79D30053"/>
    <w:rsid w:val="79DE7C8F"/>
    <w:rsid w:val="79E52441"/>
    <w:rsid w:val="7A2013FC"/>
    <w:rsid w:val="7A215327"/>
    <w:rsid w:val="7A293534"/>
    <w:rsid w:val="7A3643BA"/>
    <w:rsid w:val="7A380C3F"/>
    <w:rsid w:val="7A4C0DA0"/>
    <w:rsid w:val="7A576A80"/>
    <w:rsid w:val="7A5C7ABE"/>
    <w:rsid w:val="7A6840CE"/>
    <w:rsid w:val="7A6A681C"/>
    <w:rsid w:val="7A7F4BEA"/>
    <w:rsid w:val="7A894151"/>
    <w:rsid w:val="7A9279F6"/>
    <w:rsid w:val="7A975B0F"/>
    <w:rsid w:val="7A986BFF"/>
    <w:rsid w:val="7AA76A5E"/>
    <w:rsid w:val="7AA9318C"/>
    <w:rsid w:val="7AAC0169"/>
    <w:rsid w:val="7ABD6E5B"/>
    <w:rsid w:val="7AC15514"/>
    <w:rsid w:val="7AC216EF"/>
    <w:rsid w:val="7AC330B7"/>
    <w:rsid w:val="7AC80836"/>
    <w:rsid w:val="7ACC2256"/>
    <w:rsid w:val="7ACE7B72"/>
    <w:rsid w:val="7ADB19DB"/>
    <w:rsid w:val="7ADC193F"/>
    <w:rsid w:val="7AE832A5"/>
    <w:rsid w:val="7AF95150"/>
    <w:rsid w:val="7B036EB4"/>
    <w:rsid w:val="7B0D3C52"/>
    <w:rsid w:val="7B1810CF"/>
    <w:rsid w:val="7B2A57DA"/>
    <w:rsid w:val="7B2C61C2"/>
    <w:rsid w:val="7B307440"/>
    <w:rsid w:val="7B390BF2"/>
    <w:rsid w:val="7B4162C7"/>
    <w:rsid w:val="7B480D0D"/>
    <w:rsid w:val="7B4C7AD1"/>
    <w:rsid w:val="7B534E2D"/>
    <w:rsid w:val="7B683189"/>
    <w:rsid w:val="7B742428"/>
    <w:rsid w:val="7B845591"/>
    <w:rsid w:val="7B85389D"/>
    <w:rsid w:val="7B975DD0"/>
    <w:rsid w:val="7B98535A"/>
    <w:rsid w:val="7BAE48FC"/>
    <w:rsid w:val="7BB83DF8"/>
    <w:rsid w:val="7BBA2E35"/>
    <w:rsid w:val="7BC44FA4"/>
    <w:rsid w:val="7BC76B4E"/>
    <w:rsid w:val="7BCC163B"/>
    <w:rsid w:val="7BE66796"/>
    <w:rsid w:val="7BFD0922"/>
    <w:rsid w:val="7BFF4559"/>
    <w:rsid w:val="7C031B8B"/>
    <w:rsid w:val="7C0827FE"/>
    <w:rsid w:val="7C0D35EB"/>
    <w:rsid w:val="7C1A447E"/>
    <w:rsid w:val="7C1A756B"/>
    <w:rsid w:val="7C1B1028"/>
    <w:rsid w:val="7C226546"/>
    <w:rsid w:val="7C22695B"/>
    <w:rsid w:val="7C2B2034"/>
    <w:rsid w:val="7C3043FE"/>
    <w:rsid w:val="7C4F607B"/>
    <w:rsid w:val="7C583982"/>
    <w:rsid w:val="7C7D0B32"/>
    <w:rsid w:val="7C8B0969"/>
    <w:rsid w:val="7C8C5EFB"/>
    <w:rsid w:val="7C943EFA"/>
    <w:rsid w:val="7C994BDF"/>
    <w:rsid w:val="7C9F6B5F"/>
    <w:rsid w:val="7CA31AB6"/>
    <w:rsid w:val="7CA4518D"/>
    <w:rsid w:val="7CAF0658"/>
    <w:rsid w:val="7CAF0A58"/>
    <w:rsid w:val="7CBE5D37"/>
    <w:rsid w:val="7CD17149"/>
    <w:rsid w:val="7CD30303"/>
    <w:rsid w:val="7CD730F8"/>
    <w:rsid w:val="7CD97B5E"/>
    <w:rsid w:val="7CEA06DC"/>
    <w:rsid w:val="7D027F2A"/>
    <w:rsid w:val="7D061726"/>
    <w:rsid w:val="7D0A1A32"/>
    <w:rsid w:val="7D0C1069"/>
    <w:rsid w:val="7D0D15B6"/>
    <w:rsid w:val="7D0E4B5B"/>
    <w:rsid w:val="7D1E280F"/>
    <w:rsid w:val="7D2F4D5B"/>
    <w:rsid w:val="7D33504E"/>
    <w:rsid w:val="7D362C54"/>
    <w:rsid w:val="7D3C08AA"/>
    <w:rsid w:val="7D3F3C97"/>
    <w:rsid w:val="7D4928DE"/>
    <w:rsid w:val="7D4C641E"/>
    <w:rsid w:val="7D580A83"/>
    <w:rsid w:val="7D5C493C"/>
    <w:rsid w:val="7D6314FA"/>
    <w:rsid w:val="7DA053C4"/>
    <w:rsid w:val="7DAE540F"/>
    <w:rsid w:val="7DB07FBB"/>
    <w:rsid w:val="7DC720AD"/>
    <w:rsid w:val="7DCF61C7"/>
    <w:rsid w:val="7DEA41A0"/>
    <w:rsid w:val="7DF5241B"/>
    <w:rsid w:val="7DF7247F"/>
    <w:rsid w:val="7E1075B0"/>
    <w:rsid w:val="7E1F2DD5"/>
    <w:rsid w:val="7E273F9F"/>
    <w:rsid w:val="7E41356B"/>
    <w:rsid w:val="7E4313B6"/>
    <w:rsid w:val="7E453660"/>
    <w:rsid w:val="7E480690"/>
    <w:rsid w:val="7E4B4882"/>
    <w:rsid w:val="7E537E01"/>
    <w:rsid w:val="7E6071B0"/>
    <w:rsid w:val="7E6B2A38"/>
    <w:rsid w:val="7E804FCB"/>
    <w:rsid w:val="7E8E42BF"/>
    <w:rsid w:val="7E9212CE"/>
    <w:rsid w:val="7E971EEC"/>
    <w:rsid w:val="7EB1324D"/>
    <w:rsid w:val="7ED44F77"/>
    <w:rsid w:val="7ED544B5"/>
    <w:rsid w:val="7EDB49B6"/>
    <w:rsid w:val="7EDB78AD"/>
    <w:rsid w:val="7EE84089"/>
    <w:rsid w:val="7EF249D0"/>
    <w:rsid w:val="7F081E74"/>
    <w:rsid w:val="7F0D0F48"/>
    <w:rsid w:val="7F1B5E8E"/>
    <w:rsid w:val="7F28395C"/>
    <w:rsid w:val="7F2E4552"/>
    <w:rsid w:val="7F3950C2"/>
    <w:rsid w:val="7F3A609B"/>
    <w:rsid w:val="7F453289"/>
    <w:rsid w:val="7F482D79"/>
    <w:rsid w:val="7F5117A9"/>
    <w:rsid w:val="7F694E44"/>
    <w:rsid w:val="7F7119F3"/>
    <w:rsid w:val="7F743902"/>
    <w:rsid w:val="7F853AB6"/>
    <w:rsid w:val="7F8D4C51"/>
    <w:rsid w:val="7F9741CD"/>
    <w:rsid w:val="7FA23687"/>
    <w:rsid w:val="7FA71F3A"/>
    <w:rsid w:val="7FB65585"/>
    <w:rsid w:val="7FC379A1"/>
    <w:rsid w:val="7FC638A9"/>
    <w:rsid w:val="7FE15B6A"/>
    <w:rsid w:val="7FF07C1F"/>
    <w:rsid w:val="7FF67CC8"/>
    <w:rsid w:val="7FF75E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宋体" w:cstheme="minorBidi"/>
      <w:kern w:val="2"/>
      <w:sz w:val="24"/>
      <w:szCs w:val="24"/>
      <w:lang w:val="en-US" w:eastAsia="zh-CN" w:bidi="ar-SA"/>
    </w:rPr>
  </w:style>
  <w:style w:type="paragraph" w:styleId="3">
    <w:name w:val="heading 1"/>
    <w:basedOn w:val="1"/>
    <w:next w:val="1"/>
    <w:qFormat/>
    <w:uiPriority w:val="0"/>
    <w:pPr>
      <w:keepNext/>
      <w:keepLines/>
      <w:outlineLvl w:val="0"/>
    </w:pPr>
    <w:rPr>
      <w:b/>
      <w:kern w:val="44"/>
      <w:sz w:val="44"/>
    </w:rPr>
  </w:style>
  <w:style w:type="paragraph" w:styleId="4">
    <w:name w:val="heading 2"/>
    <w:basedOn w:val="1"/>
    <w:next w:val="1"/>
    <w:link w:val="34"/>
    <w:unhideWhenUsed/>
    <w:qFormat/>
    <w:uiPriority w:val="0"/>
    <w:pPr>
      <w:keepNext/>
      <w:keepLines/>
      <w:spacing w:line="500" w:lineRule="exact"/>
      <w:outlineLvl w:val="1"/>
    </w:pPr>
    <w:rPr>
      <w:rFonts w:ascii="Arial" w:hAnsi="Arial" w:eastAsia="黑体"/>
      <w:b/>
      <w:sz w:val="28"/>
    </w:rPr>
  </w:style>
  <w:style w:type="paragraph" w:styleId="5">
    <w:name w:val="heading 3"/>
    <w:basedOn w:val="1"/>
    <w:next w:val="1"/>
    <w:unhideWhenUsed/>
    <w:qFormat/>
    <w:uiPriority w:val="0"/>
    <w:pPr>
      <w:outlineLvl w:val="2"/>
    </w:pPr>
    <w:rPr>
      <w:rFonts w:hint="eastAsia" w:cs="Times New Roman"/>
      <w:b/>
      <w:kern w:val="0"/>
      <w:sz w:val="27"/>
      <w:szCs w:val="27"/>
    </w:rPr>
  </w:style>
  <w:style w:type="paragraph" w:styleId="6">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7">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8">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9">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0">
    <w:name w:val="index 8"/>
    <w:basedOn w:val="1"/>
    <w:next w:val="1"/>
    <w:unhideWhenUsed/>
    <w:qFormat/>
    <w:uiPriority w:val="99"/>
    <w:pPr>
      <w:ind w:left="3920" w:leftChars="1400"/>
    </w:pPr>
  </w:style>
  <w:style w:type="paragraph" w:styleId="11">
    <w:name w:val="Normal Indent"/>
    <w:basedOn w:val="1"/>
    <w:qFormat/>
    <w:uiPriority w:val="0"/>
    <w:pPr>
      <w:ind w:firstLine="420" w:firstLineChars="200"/>
    </w:pPr>
  </w:style>
  <w:style w:type="paragraph" w:styleId="12">
    <w:name w:val="annotation text"/>
    <w:basedOn w:val="1"/>
    <w:qFormat/>
    <w:uiPriority w:val="0"/>
  </w:style>
  <w:style w:type="paragraph" w:styleId="13">
    <w:name w:val="Body Text"/>
    <w:basedOn w:val="1"/>
    <w:next w:val="1"/>
    <w:qFormat/>
    <w:uiPriority w:val="0"/>
    <w:pPr>
      <w:spacing w:after="120"/>
    </w:pPr>
    <w:rPr>
      <w:rFonts w:ascii="Times New Roman"/>
    </w:rPr>
  </w:style>
  <w:style w:type="paragraph" w:styleId="14">
    <w:name w:val="Body Text Indent"/>
    <w:basedOn w:val="1"/>
    <w:qFormat/>
    <w:uiPriority w:val="0"/>
    <w:pPr>
      <w:ind w:firstLine="538" w:firstLineChars="168"/>
    </w:pPr>
    <w:rPr>
      <w:rFonts w:ascii="仿宋_GB2312" w:eastAsia="仿宋_GB2312"/>
      <w:sz w:val="32"/>
    </w:rPr>
  </w:style>
  <w:style w:type="paragraph" w:styleId="15">
    <w:name w:val="toc 3"/>
    <w:basedOn w:val="1"/>
    <w:next w:val="1"/>
    <w:qFormat/>
    <w:uiPriority w:val="0"/>
    <w:pPr>
      <w:wordWrap w:val="0"/>
      <w:topLinePunct/>
      <w:spacing w:line="400" w:lineRule="exact"/>
      <w:ind w:left="840" w:leftChars="400"/>
    </w:pPr>
    <w:rPr>
      <w:sz w:val="21"/>
    </w:rPr>
  </w:style>
  <w:style w:type="paragraph" w:styleId="16">
    <w:name w:val="Plain Text"/>
    <w:basedOn w:val="1"/>
    <w:qFormat/>
    <w:uiPriority w:val="0"/>
    <w:pPr>
      <w:autoSpaceDE w:val="0"/>
      <w:autoSpaceDN w:val="0"/>
      <w:jc w:val="both"/>
    </w:pPr>
    <w:rPr>
      <w:rFonts w:hint="eastAsia" w:hAnsi="Tms Rmn"/>
      <w:sz w:val="21"/>
    </w:rPr>
  </w:style>
  <w:style w:type="paragraph" w:styleId="17">
    <w:name w:val="footer"/>
    <w:basedOn w:val="1"/>
    <w:link w:val="33"/>
    <w:qFormat/>
    <w:uiPriority w:val="0"/>
    <w:pPr>
      <w:spacing w:line="240" w:lineRule="auto"/>
    </w:pPr>
    <w:rPr>
      <w:sz w:val="18"/>
      <w:szCs w:val="18"/>
    </w:rPr>
  </w:style>
  <w:style w:type="paragraph" w:styleId="18">
    <w:name w:val="header"/>
    <w:basedOn w:val="1"/>
    <w:link w:val="32"/>
    <w:qFormat/>
    <w:uiPriority w:val="0"/>
    <w:pPr>
      <w:pBdr>
        <w:bottom w:val="single" w:color="auto" w:sz="6" w:space="1"/>
      </w:pBdr>
      <w:wordWrap w:val="0"/>
      <w:topLinePunct/>
      <w:spacing w:line="240" w:lineRule="auto"/>
      <w:jc w:val="center"/>
    </w:pPr>
    <w:rPr>
      <w:sz w:val="18"/>
      <w:szCs w:val="18"/>
    </w:rPr>
  </w:style>
  <w:style w:type="paragraph" w:styleId="19">
    <w:name w:val="toc 1"/>
    <w:basedOn w:val="1"/>
    <w:next w:val="1"/>
    <w:qFormat/>
    <w:uiPriority w:val="0"/>
    <w:pPr>
      <w:tabs>
        <w:tab w:val="right" w:leader="dot" w:pos="0"/>
        <w:tab w:val="right" w:leader="dot" w:pos="9746"/>
      </w:tabs>
      <w:wordWrap w:val="0"/>
      <w:topLinePunct/>
      <w:spacing w:line="400" w:lineRule="exact"/>
    </w:pPr>
    <w:rPr>
      <w:sz w:val="21"/>
    </w:rPr>
  </w:style>
  <w:style w:type="paragraph" w:styleId="20">
    <w:name w:val="toc 6"/>
    <w:basedOn w:val="1"/>
    <w:next w:val="1"/>
    <w:qFormat/>
    <w:uiPriority w:val="0"/>
    <w:pPr>
      <w:ind w:left="2100"/>
    </w:pPr>
  </w:style>
  <w:style w:type="paragraph" w:styleId="21">
    <w:name w:val="toc 2"/>
    <w:basedOn w:val="1"/>
    <w:next w:val="1"/>
    <w:qFormat/>
    <w:uiPriority w:val="0"/>
    <w:pPr>
      <w:wordWrap w:val="0"/>
      <w:topLinePunct/>
      <w:spacing w:line="400" w:lineRule="exact"/>
      <w:ind w:left="420" w:leftChars="200"/>
    </w:pPr>
    <w:rPr>
      <w:sz w:val="21"/>
    </w:rPr>
  </w:style>
  <w:style w:type="paragraph" w:styleId="22">
    <w:name w:val="Normal (Web)"/>
    <w:basedOn w:val="1"/>
    <w:qFormat/>
    <w:uiPriority w:val="0"/>
    <w:pPr>
      <w:spacing w:beforeAutospacing="1" w:afterAutospacing="1"/>
    </w:pPr>
    <w:rPr>
      <w:rFonts w:cs="Times New Roman"/>
      <w:kern w:val="0"/>
    </w:rPr>
  </w:style>
  <w:style w:type="paragraph" w:styleId="23">
    <w:name w:val="Body Text First Indent"/>
    <w:basedOn w:val="13"/>
    <w:unhideWhenUsed/>
    <w:qFormat/>
    <w:uiPriority w:val="99"/>
    <w:pPr>
      <w:ind w:firstLine="420" w:firstLineChars="1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qFormat/>
    <w:uiPriority w:val="0"/>
    <w:rPr>
      <w:color w:val="0000FF"/>
      <w:u w:val="single"/>
    </w:rPr>
  </w:style>
  <w:style w:type="paragraph" w:customStyle="1" w:styleId="29">
    <w:name w:val="样式 标题 2 + Times New Roman 四号 非加粗 段前: 5 磅 段后: 0 磅 行距: 固定值 20..."/>
    <w:basedOn w:val="4"/>
    <w:qFormat/>
    <w:uiPriority w:val="0"/>
    <w:pPr>
      <w:tabs>
        <w:tab w:val="clear" w:pos="0"/>
      </w:tabs>
      <w:spacing w:before="100" w:line="400" w:lineRule="exact"/>
    </w:pPr>
    <w:rPr>
      <w:rFonts w:ascii="Times New Roman" w:hAnsi="Times New Roman"/>
      <w:b w:val="0"/>
      <w:szCs w:val="20"/>
    </w:rPr>
  </w:style>
  <w:style w:type="paragraph" w:customStyle="1" w:styleId="30">
    <w:name w:val="标题 5（有编号）（绿盟科技）"/>
    <w:basedOn w:val="1"/>
    <w:next w:val="31"/>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31">
    <w:name w:val="正文（绿盟科技）"/>
    <w:next w:val="1"/>
    <w:qFormat/>
    <w:uiPriority w:val="0"/>
    <w:pPr>
      <w:spacing w:line="300" w:lineRule="auto"/>
    </w:pPr>
    <w:rPr>
      <w:rFonts w:ascii="Arial" w:hAnsi="Arial" w:eastAsia="宋体" w:cs="黑体"/>
      <w:sz w:val="21"/>
      <w:szCs w:val="21"/>
      <w:lang w:val="en-US" w:eastAsia="zh-CN" w:bidi="ar-SA"/>
    </w:rPr>
  </w:style>
  <w:style w:type="character" w:customStyle="1" w:styleId="32">
    <w:name w:val="页眉 Char"/>
    <w:basedOn w:val="26"/>
    <w:link w:val="18"/>
    <w:qFormat/>
    <w:uiPriority w:val="0"/>
    <w:rPr>
      <w:rFonts w:ascii="宋体" w:hAnsi="宋体" w:eastAsia="宋体" w:cstheme="minorBidi"/>
      <w:kern w:val="2"/>
      <w:sz w:val="18"/>
      <w:szCs w:val="18"/>
    </w:rPr>
  </w:style>
  <w:style w:type="character" w:customStyle="1" w:styleId="33">
    <w:name w:val="页脚 Char"/>
    <w:basedOn w:val="26"/>
    <w:link w:val="17"/>
    <w:qFormat/>
    <w:uiPriority w:val="0"/>
    <w:rPr>
      <w:rFonts w:ascii="宋体" w:hAnsi="宋体" w:eastAsia="宋体" w:cstheme="minorBidi"/>
      <w:kern w:val="2"/>
      <w:sz w:val="18"/>
      <w:szCs w:val="18"/>
    </w:rPr>
  </w:style>
  <w:style w:type="character" w:customStyle="1" w:styleId="34">
    <w:name w:val="标题 2 Char"/>
    <w:basedOn w:val="26"/>
    <w:link w:val="4"/>
    <w:qFormat/>
    <w:uiPriority w:val="0"/>
    <w:rPr>
      <w:rFonts w:ascii="Arial" w:hAnsi="Arial" w:eastAsia="黑体"/>
      <w:b/>
      <w:sz w:val="28"/>
    </w:rPr>
  </w:style>
  <w:style w:type="paragraph" w:customStyle="1" w:styleId="35">
    <w:name w:val="05、“(一)”正文三级标题"/>
    <w:basedOn w:val="1"/>
    <w:link w:val="60"/>
    <w:qFormat/>
    <w:uiPriority w:val="0"/>
    <w:pPr>
      <w:numPr>
        <w:ilvl w:val="1"/>
        <w:numId w:val="1"/>
      </w:numPr>
      <w:wordWrap w:val="0"/>
      <w:topLinePunct/>
      <w:ind w:firstLine="803" w:firstLineChars="200"/>
    </w:pPr>
  </w:style>
  <w:style w:type="paragraph" w:customStyle="1" w:styleId="36">
    <w:name w:val="00、封面正文(与其他内容无关的格式)"/>
    <w:basedOn w:val="1"/>
    <w:qFormat/>
    <w:uiPriority w:val="0"/>
  </w:style>
  <w:style w:type="paragraph" w:customStyle="1" w:styleId="37">
    <w:name w:val="15、“一、”二级标题"/>
    <w:basedOn w:val="1"/>
    <w:qFormat/>
    <w:uiPriority w:val="0"/>
    <w:pPr>
      <w:numPr>
        <w:ilvl w:val="1"/>
        <w:numId w:val="3"/>
      </w:numPr>
      <w:wordWrap w:val="0"/>
      <w:topLinePunct/>
      <w:ind w:firstLine="803" w:firstLineChars="200"/>
      <w:outlineLvl w:val="1"/>
    </w:pPr>
    <w:rPr>
      <w:b/>
    </w:rPr>
  </w:style>
  <w:style w:type="paragraph" w:customStyle="1" w:styleId="38">
    <w:name w:val="06、“1.”正文四级标题"/>
    <w:basedOn w:val="1"/>
    <w:link w:val="62"/>
    <w:qFormat/>
    <w:uiPriority w:val="0"/>
    <w:pPr>
      <w:numPr>
        <w:ilvl w:val="2"/>
        <w:numId w:val="1"/>
      </w:numPr>
      <w:wordWrap w:val="0"/>
      <w:topLinePunct/>
      <w:ind w:firstLine="803" w:firstLineChars="200"/>
    </w:pPr>
    <w:rPr>
      <w:snapToGrid w:val="0"/>
    </w:rPr>
  </w:style>
  <w:style w:type="paragraph" w:customStyle="1" w:styleId="39">
    <w:name w:val="07、“1.1”正文五级标题"/>
    <w:basedOn w:val="1"/>
    <w:link w:val="54"/>
    <w:qFormat/>
    <w:uiPriority w:val="0"/>
    <w:pPr>
      <w:numPr>
        <w:ilvl w:val="3"/>
        <w:numId w:val="1"/>
      </w:numPr>
      <w:ind w:firstLine="803" w:firstLineChars="200"/>
    </w:pPr>
  </w:style>
  <w:style w:type="paragraph" w:customStyle="1" w:styleId="40">
    <w:name w:val="08、“(1)”正文六级标题"/>
    <w:basedOn w:val="1"/>
    <w:link w:val="63"/>
    <w:qFormat/>
    <w:uiPriority w:val="0"/>
    <w:pPr>
      <w:numPr>
        <w:ilvl w:val="4"/>
        <w:numId w:val="1"/>
      </w:numPr>
      <w:ind w:firstLine="803" w:firstLineChars="200"/>
    </w:pPr>
    <w:rPr>
      <w:snapToGrid w:val="0"/>
    </w:rPr>
  </w:style>
  <w:style w:type="paragraph" w:customStyle="1" w:styleId="41">
    <w:name w:val="09、“1.”表格内一级标题"/>
    <w:basedOn w:val="1"/>
    <w:qFormat/>
    <w:uiPriority w:val="0"/>
    <w:pPr>
      <w:numPr>
        <w:ilvl w:val="0"/>
        <w:numId w:val="4"/>
      </w:numPr>
      <w:wordWrap w:val="0"/>
      <w:topLinePunct/>
      <w:spacing w:line="360" w:lineRule="exact"/>
      <w:ind w:left="48" w:leftChars="20"/>
    </w:pPr>
    <w:rPr>
      <w:snapToGrid w:val="0"/>
      <w:sz w:val="21"/>
    </w:rPr>
  </w:style>
  <w:style w:type="paragraph" w:customStyle="1" w:styleId="42">
    <w:name w:val="10、“1.1”表格内二级标题"/>
    <w:basedOn w:val="1"/>
    <w:link w:val="53"/>
    <w:qFormat/>
    <w:uiPriority w:val="0"/>
    <w:pPr>
      <w:numPr>
        <w:ilvl w:val="1"/>
        <w:numId w:val="4"/>
      </w:numPr>
      <w:wordWrap w:val="0"/>
      <w:topLinePunct/>
      <w:spacing w:line="360" w:lineRule="exact"/>
      <w:ind w:left="48" w:leftChars="20"/>
    </w:pPr>
    <w:rPr>
      <w:snapToGrid w:val="0"/>
      <w:sz w:val="21"/>
    </w:rPr>
  </w:style>
  <w:style w:type="paragraph" w:customStyle="1" w:styleId="43">
    <w:name w:val="11、“1.1.1”表格内三级标题"/>
    <w:basedOn w:val="1"/>
    <w:qFormat/>
    <w:uiPriority w:val="0"/>
    <w:pPr>
      <w:numPr>
        <w:ilvl w:val="2"/>
        <w:numId w:val="4"/>
      </w:numPr>
      <w:wordWrap w:val="0"/>
      <w:topLinePunct/>
      <w:spacing w:line="360" w:lineRule="exact"/>
      <w:ind w:left="48" w:leftChars="20"/>
    </w:pPr>
    <w:rPr>
      <w:snapToGrid w:val="0"/>
      <w:sz w:val="21"/>
    </w:rPr>
  </w:style>
  <w:style w:type="paragraph" w:customStyle="1" w:styleId="44">
    <w:name w:val="12、表格内左对齐正文"/>
    <w:basedOn w:val="1"/>
    <w:link w:val="64"/>
    <w:qFormat/>
    <w:uiPriority w:val="0"/>
    <w:pPr>
      <w:wordWrap w:val="0"/>
      <w:topLinePunct/>
      <w:spacing w:line="360" w:lineRule="exact"/>
      <w:ind w:left="48" w:leftChars="20"/>
    </w:pPr>
    <w:rPr>
      <w:snapToGrid w:val="0"/>
      <w:sz w:val="21"/>
    </w:rPr>
  </w:style>
  <w:style w:type="paragraph" w:customStyle="1" w:styleId="45">
    <w:name w:val="01、普通正文"/>
    <w:basedOn w:val="1"/>
    <w:next w:val="20"/>
    <w:link w:val="58"/>
    <w:qFormat/>
    <w:uiPriority w:val="0"/>
    <w:pPr>
      <w:wordWrap w:val="0"/>
      <w:topLinePunct/>
    </w:pPr>
    <w:rPr>
      <w:snapToGrid w:val="0"/>
    </w:rPr>
  </w:style>
  <w:style w:type="paragraph" w:customStyle="1" w:styleId="46">
    <w:name w:val="20、第五章“(一)”三级标题"/>
    <w:basedOn w:val="45"/>
    <w:link w:val="55"/>
    <w:qFormat/>
    <w:uiPriority w:val="0"/>
    <w:pPr>
      <w:pageBreakBefore/>
      <w:spacing w:before="50" w:beforeLines="50" w:after="50" w:afterLines="50"/>
      <w:jc w:val="center"/>
      <w:outlineLvl w:val="2"/>
    </w:pPr>
    <w:rPr>
      <w:b/>
      <w:sz w:val="28"/>
    </w:rPr>
  </w:style>
  <w:style w:type="paragraph" w:customStyle="1" w:styleId="47">
    <w:name w:val="13、表格内居中正文"/>
    <w:basedOn w:val="1"/>
    <w:qFormat/>
    <w:uiPriority w:val="0"/>
    <w:pPr>
      <w:wordWrap w:val="0"/>
      <w:topLinePunct/>
      <w:spacing w:line="360" w:lineRule="exact"/>
      <w:jc w:val="center"/>
    </w:pPr>
    <w:rPr>
      <w:sz w:val="21"/>
    </w:rPr>
  </w:style>
  <w:style w:type="paragraph" w:customStyle="1" w:styleId="48">
    <w:name w:val="02、首行缩进2字符正文"/>
    <w:basedOn w:val="1"/>
    <w:link w:val="57"/>
    <w:qFormat/>
    <w:uiPriority w:val="0"/>
    <w:pPr>
      <w:wordWrap w:val="0"/>
      <w:topLinePunct/>
      <w:ind w:firstLine="480" w:firstLineChars="200"/>
    </w:pPr>
  </w:style>
  <w:style w:type="paragraph" w:customStyle="1" w:styleId="49">
    <w:name w:val="03、“注：”正文(加粗，首行缩进2字符)"/>
    <w:basedOn w:val="45"/>
    <w:link w:val="59"/>
    <w:qFormat/>
    <w:uiPriority w:val="0"/>
    <w:pPr>
      <w:ind w:firstLine="480" w:firstLineChars="200"/>
    </w:pPr>
    <w:rPr>
      <w:b/>
    </w:rPr>
  </w:style>
  <w:style w:type="paragraph" w:customStyle="1" w:styleId="50">
    <w:name w:val="14、“第一章”一级标题"/>
    <w:basedOn w:val="45"/>
    <w:qFormat/>
    <w:uiPriority w:val="0"/>
    <w:pPr>
      <w:numPr>
        <w:ilvl w:val="0"/>
        <w:numId w:val="3"/>
      </w:numPr>
      <w:spacing w:before="50" w:beforeLines="50" w:after="50" w:afterLines="50" w:line="240" w:lineRule="auto"/>
      <w:jc w:val="center"/>
      <w:outlineLvl w:val="0"/>
    </w:pPr>
    <w:rPr>
      <w:b/>
      <w:sz w:val="36"/>
    </w:rPr>
  </w:style>
  <w:style w:type="paragraph" w:customStyle="1" w:styleId="51">
    <w:name w:val="16、“(一)”三级标题"/>
    <w:basedOn w:val="45"/>
    <w:link w:val="56"/>
    <w:qFormat/>
    <w:uiPriority w:val="0"/>
    <w:pPr>
      <w:numPr>
        <w:ilvl w:val="2"/>
        <w:numId w:val="3"/>
      </w:numPr>
      <w:ind w:firstLine="803" w:firstLineChars="200"/>
      <w:outlineLvl w:val="2"/>
    </w:pPr>
    <w:rPr>
      <w:b/>
    </w:rPr>
  </w:style>
  <w:style w:type="paragraph" w:customStyle="1" w:styleId="52">
    <w:name w:val="04“一、”正文二级标题"/>
    <w:basedOn w:val="45"/>
    <w:link w:val="61"/>
    <w:qFormat/>
    <w:uiPriority w:val="0"/>
    <w:pPr>
      <w:ind w:firstLine="803" w:firstLineChars="200"/>
    </w:pPr>
  </w:style>
  <w:style w:type="character" w:customStyle="1" w:styleId="53">
    <w:name w:val="10、“1.1”表格内二级标题 Char"/>
    <w:link w:val="42"/>
    <w:qFormat/>
    <w:uiPriority w:val="0"/>
    <w:rPr>
      <w:rFonts w:ascii="宋体" w:hAnsi="宋体" w:eastAsia="宋体"/>
      <w:snapToGrid w:val="0"/>
      <w:sz w:val="21"/>
    </w:rPr>
  </w:style>
  <w:style w:type="character" w:customStyle="1" w:styleId="54">
    <w:name w:val="07、“1.1”正文五级标题 Char"/>
    <w:link w:val="39"/>
    <w:qFormat/>
    <w:uiPriority w:val="0"/>
    <w:rPr>
      <w:rFonts w:ascii="宋体" w:hAnsi="宋体" w:eastAsia="宋体"/>
    </w:rPr>
  </w:style>
  <w:style w:type="character" w:customStyle="1" w:styleId="55">
    <w:name w:val="18、第三章“(一)”三级标题 Char"/>
    <w:link w:val="46"/>
    <w:qFormat/>
    <w:uiPriority w:val="0"/>
    <w:rPr>
      <w:rFonts w:ascii="宋体" w:hAnsi="宋体" w:cstheme="minorBidi"/>
      <w:b/>
      <w:snapToGrid w:val="0"/>
      <w:kern w:val="2"/>
      <w:sz w:val="28"/>
      <w:szCs w:val="24"/>
    </w:rPr>
  </w:style>
  <w:style w:type="character" w:customStyle="1" w:styleId="56">
    <w:name w:val="16、“(一)”三级标题 Char"/>
    <w:link w:val="51"/>
    <w:qFormat/>
    <w:uiPriority w:val="0"/>
    <w:rPr>
      <w:rFonts w:ascii="宋体" w:hAnsi="宋体" w:eastAsia="宋体"/>
      <w:b/>
    </w:rPr>
  </w:style>
  <w:style w:type="character" w:customStyle="1" w:styleId="57">
    <w:name w:val="02、首行缩进2字符正文 Char"/>
    <w:link w:val="48"/>
    <w:qFormat/>
    <w:uiPriority w:val="0"/>
    <w:rPr>
      <w:rFonts w:ascii="宋体" w:hAnsi="宋体" w:eastAsia="宋体"/>
    </w:rPr>
  </w:style>
  <w:style w:type="character" w:customStyle="1" w:styleId="58">
    <w:name w:val="01、普通正文 Char"/>
    <w:link w:val="45"/>
    <w:qFormat/>
    <w:uiPriority w:val="0"/>
    <w:rPr>
      <w:rFonts w:ascii="宋体" w:hAnsi="宋体" w:eastAsia="宋体"/>
      <w:snapToGrid w:val="0"/>
    </w:rPr>
  </w:style>
  <w:style w:type="character" w:customStyle="1" w:styleId="59">
    <w:name w:val="03、“注：”正文(加粗，首行缩进2字符) Char"/>
    <w:link w:val="49"/>
    <w:qFormat/>
    <w:uiPriority w:val="0"/>
    <w:rPr>
      <w:b/>
    </w:rPr>
  </w:style>
  <w:style w:type="character" w:customStyle="1" w:styleId="60">
    <w:name w:val="05、“(一)”正文三级标题 Char"/>
    <w:link w:val="35"/>
    <w:qFormat/>
    <w:uiPriority w:val="0"/>
    <w:rPr>
      <w:rFonts w:ascii="宋体" w:hAnsi="宋体" w:eastAsia="宋体"/>
    </w:rPr>
  </w:style>
  <w:style w:type="character" w:customStyle="1" w:styleId="61">
    <w:name w:val="04“一、”正文二级标题 Char"/>
    <w:link w:val="52"/>
    <w:qFormat/>
    <w:uiPriority w:val="0"/>
  </w:style>
  <w:style w:type="character" w:customStyle="1" w:styleId="62">
    <w:name w:val="06、“1.”正文四级标题 Char"/>
    <w:link w:val="38"/>
    <w:qFormat/>
    <w:uiPriority w:val="0"/>
    <w:rPr>
      <w:rFonts w:ascii="宋体" w:hAnsi="宋体" w:eastAsia="宋体"/>
      <w:snapToGrid w:val="0"/>
    </w:rPr>
  </w:style>
  <w:style w:type="character" w:customStyle="1" w:styleId="63">
    <w:name w:val="08、“(1)”正文六级标题 Char"/>
    <w:link w:val="40"/>
    <w:qFormat/>
    <w:uiPriority w:val="0"/>
    <w:rPr>
      <w:rFonts w:ascii="宋体" w:hAnsi="宋体" w:eastAsia="宋体"/>
      <w:snapToGrid w:val="0"/>
    </w:rPr>
  </w:style>
  <w:style w:type="character" w:customStyle="1" w:styleId="64">
    <w:name w:val="12、表格内左对齐正文 Char"/>
    <w:link w:val="44"/>
    <w:qFormat/>
    <w:uiPriority w:val="0"/>
    <w:rPr>
      <w:rFonts w:ascii="宋体" w:hAnsi="宋体" w:eastAsia="宋体"/>
      <w:snapToGrid w:val="0"/>
      <w:sz w:val="21"/>
    </w:rPr>
  </w:style>
  <w:style w:type="paragraph" w:customStyle="1" w:styleId="65">
    <w:name w:val="17“1.”四级标题"/>
    <w:basedOn w:val="48"/>
    <w:link w:val="71"/>
    <w:qFormat/>
    <w:uiPriority w:val="0"/>
    <w:pPr>
      <w:numPr>
        <w:ilvl w:val="3"/>
        <w:numId w:val="3"/>
      </w:numPr>
      <w:ind w:firstLine="803"/>
    </w:pPr>
  </w:style>
  <w:style w:type="paragraph" w:customStyle="1" w:styleId="66">
    <w:name w:val="18、“1.1”五级标题"/>
    <w:basedOn w:val="65"/>
    <w:qFormat/>
    <w:uiPriority w:val="0"/>
    <w:pPr>
      <w:numPr>
        <w:ilvl w:val="4"/>
      </w:numPr>
      <w:ind w:firstLine="803"/>
    </w:pPr>
  </w:style>
  <w:style w:type="paragraph" w:customStyle="1" w:styleId="67">
    <w:name w:val="19、“(1)”六级标题"/>
    <w:basedOn w:val="65"/>
    <w:qFormat/>
    <w:uiPriority w:val="0"/>
    <w:pPr>
      <w:numPr>
        <w:ilvl w:val="5"/>
      </w:numPr>
      <w:ind w:firstLine="803"/>
    </w:pPr>
  </w:style>
  <w:style w:type="paragraph" w:customStyle="1" w:styleId="68">
    <w:name w:val="21、合同二级标题序号"/>
    <w:basedOn w:val="45"/>
    <w:qFormat/>
    <w:uiPriority w:val="0"/>
    <w:pPr>
      <w:numPr>
        <w:ilvl w:val="0"/>
        <w:numId w:val="5"/>
      </w:numPr>
      <w:ind w:firstLine="803" w:firstLineChars="200"/>
      <w:outlineLvl w:val="1"/>
    </w:pPr>
    <w:rPr>
      <w:b/>
    </w:rPr>
  </w:style>
  <w:style w:type="paragraph" w:customStyle="1" w:styleId="69">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70">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character" w:customStyle="1" w:styleId="71">
    <w:name w:val="17“1.”四级标题 Char"/>
    <w:link w:val="65"/>
    <w:qFormat/>
    <w:uiPriority w:val="0"/>
    <w:rPr>
      <w:rFonts w:ascii="宋体" w:hAnsi="宋体" w:eastAsia="宋体"/>
    </w:rPr>
  </w:style>
  <w:style w:type="paragraph" w:customStyle="1" w:styleId="72">
    <w:name w:val="正文首行缩进两字符"/>
    <w:basedOn w:val="1"/>
    <w:qFormat/>
    <w:uiPriority w:val="0"/>
    <w:pPr>
      <w:spacing w:line="360" w:lineRule="auto"/>
      <w:ind w:firstLine="200" w:firstLineChars="200"/>
      <w:jc w:val="both"/>
    </w:pPr>
    <w:rPr>
      <w:sz w:val="21"/>
      <w:szCs w:val="20"/>
    </w:rPr>
  </w:style>
  <w:style w:type="paragraph" w:customStyle="1" w:styleId="73">
    <w:name w:val="样式 首行缩进:  2 字符"/>
    <w:basedOn w:val="1"/>
    <w:qFormat/>
    <w:uiPriority w:val="0"/>
    <w:pPr>
      <w:ind w:firstLine="420" w:firstLineChars="200"/>
      <w:jc w:val="both"/>
    </w:pPr>
    <w:rPr>
      <w:rFonts w:cs="宋体"/>
      <w:sz w:val="21"/>
      <w:szCs w:val="20"/>
    </w:rPr>
  </w:style>
  <w:style w:type="paragraph" w:customStyle="1" w:styleId="74">
    <w:name w:val="21、第三章“(一)”三级标题"/>
    <w:basedOn w:val="45"/>
    <w:qFormat/>
    <w:uiPriority w:val="0"/>
    <w:pPr>
      <w:pageBreakBefore/>
      <w:numPr>
        <w:ilvl w:val="0"/>
        <w:numId w:val="6"/>
      </w:numPr>
      <w:spacing w:before="50" w:beforeLines="50" w:after="50" w:afterLines="50"/>
      <w:jc w:val="center"/>
      <w:outlineLvl w:val="2"/>
    </w:pPr>
    <w:rPr>
      <w:b/>
      <w:sz w:val="28"/>
    </w:rPr>
  </w:style>
  <w:style w:type="paragraph" w:styleId="75">
    <w:name w:val="List Paragraph"/>
    <w:basedOn w:val="1"/>
    <w:qFormat/>
    <w:uiPriority w:val="99"/>
    <w:pPr>
      <w:ind w:firstLine="420" w:firstLineChars="200"/>
    </w:pPr>
    <w:rPr>
      <w:kern w:val="0"/>
    </w:rPr>
  </w:style>
  <w:style w:type="paragraph" w:customStyle="1" w:styleId="76">
    <w:name w:val="Plain Text1"/>
    <w:basedOn w:val="1"/>
    <w:qFormat/>
    <w:uiPriority w:val="99"/>
    <w:pPr>
      <w:textAlignment w:val="baseline"/>
    </w:pPr>
    <w:rPr>
      <w:rFonts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10988</Words>
  <Characters>62638</Characters>
  <Lines>521</Lines>
  <Paragraphs>146</Paragraphs>
  <TotalTime>28</TotalTime>
  <ScaleCrop>false</ScaleCrop>
  <LinksUpToDate>false</LinksUpToDate>
  <CharactersWithSpaces>73480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Lenovo</dc:creator>
  <cp:lastModifiedBy>494476397</cp:lastModifiedBy>
  <cp:lastPrinted>2023-07-10T09:00:00Z</cp:lastPrinted>
  <dcterms:modified xsi:type="dcterms:W3CDTF">2023-12-29T08:05:08Z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D6C426E689ED4AB78139821049F795D6</vt:lpwstr>
  </property>
</Properties>
</file>